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7FBFF" w14:textId="77777777" w:rsidR="00C26F2D" w:rsidRPr="00BF077B" w:rsidRDefault="009F018D" w:rsidP="00BF077B">
      <w:pPr>
        <w:pStyle w:val="ATSNormal"/>
        <w:rPr>
          <w:rStyle w:val="Ttulodellibro"/>
        </w:rPr>
      </w:pPr>
    </w:p>
    <w:p w14:paraId="48DB3583" w14:textId="77777777" w:rsidR="002F0A13" w:rsidRDefault="009F018D" w:rsidP="004B4A60">
      <w:pPr>
        <w:rPr>
          <w:b/>
          <w:u w:val="single"/>
          <w:lang w:val="es-ES_tradnl"/>
        </w:rPr>
      </w:pPr>
    </w:p>
    <w:p w14:paraId="1CA0B9B2" w14:textId="77777777" w:rsidR="002F0A13" w:rsidRDefault="009F018D" w:rsidP="004B4A60">
      <w:pPr>
        <w:rPr>
          <w:b/>
          <w:u w:val="single"/>
          <w:lang w:val="es-ES_tradnl"/>
        </w:rPr>
      </w:pPr>
    </w:p>
    <w:p w14:paraId="5D00AE64" w14:textId="77777777" w:rsidR="002F0A13" w:rsidRDefault="009F018D" w:rsidP="004B4A60">
      <w:pPr>
        <w:rPr>
          <w:b/>
          <w:u w:val="single"/>
          <w:lang w:val="es-ES_tradnl"/>
        </w:rPr>
      </w:pPr>
    </w:p>
    <w:p w14:paraId="7E2F0C2A" w14:textId="77777777" w:rsidR="002F0A13" w:rsidRDefault="009F018D" w:rsidP="004B4A60">
      <w:pPr>
        <w:rPr>
          <w:b/>
          <w:u w:val="single"/>
          <w:lang w:val="es-ES_tradnl"/>
        </w:rPr>
      </w:pPr>
    </w:p>
    <w:p w14:paraId="6DF29F4A" w14:textId="77777777" w:rsidR="00C26F2D" w:rsidRDefault="009F018D" w:rsidP="004B4A60">
      <w:pPr>
        <w:rPr>
          <w:b/>
          <w:u w:val="single"/>
          <w:lang w:val="es-ES_tradnl"/>
        </w:rPr>
      </w:pPr>
    </w:p>
    <w:p w14:paraId="0FD5D9CA" w14:textId="77777777" w:rsidR="004B4A60" w:rsidRPr="0057246E" w:rsidRDefault="009F018D" w:rsidP="001B789F">
      <w:pPr>
        <w:pStyle w:val="ATSTitle"/>
      </w:pPr>
      <w:bookmarkStart w:id="0" w:name="name"/>
      <w:r>
        <w:t>Review of progress in the implementation of the recommendations identified at the Joint CEP/SC-CAMLR Workshop on Climate Change and Monitoring (2016)</w:t>
      </w:r>
      <w:bookmarkEnd w:id="0"/>
    </w:p>
    <w:p w14:paraId="1A10D042" w14:textId="77777777" w:rsidR="004B4A60" w:rsidRPr="0057246E" w:rsidRDefault="009F018D" w:rsidP="00F75424">
      <w:pPr>
        <w:jc w:val="center"/>
      </w:pPr>
    </w:p>
    <w:p w14:paraId="12123E75" w14:textId="77777777" w:rsidR="004B4A60" w:rsidRPr="002F0A13" w:rsidRDefault="009F018D" w:rsidP="002F0A13"/>
    <w:p w14:paraId="60F2D71C" w14:textId="77777777" w:rsidR="004B4A60" w:rsidRDefault="009F018D" w:rsidP="00F75424">
      <w:pPr>
        <w:jc w:val="center"/>
      </w:pPr>
      <w:bookmarkStart w:id="1" w:name="memo"/>
      <w:bookmarkEnd w:id="1"/>
    </w:p>
    <w:p w14:paraId="5F332762" w14:textId="77777777" w:rsidR="0097629D" w:rsidRDefault="009F018D" w:rsidP="00F75424">
      <w:pPr>
        <w:jc w:val="center"/>
      </w:pPr>
    </w:p>
    <w:p w14:paraId="487ACF1D" w14:textId="77777777" w:rsidR="0097629D" w:rsidRDefault="009F018D" w:rsidP="00F75424">
      <w:pPr>
        <w:jc w:val="center"/>
      </w:pPr>
    </w:p>
    <w:p w14:paraId="2A6876AF" w14:textId="77777777" w:rsidR="0097629D" w:rsidRDefault="009F018D" w:rsidP="00F75424">
      <w:pPr>
        <w:jc w:val="center"/>
      </w:pPr>
    </w:p>
    <w:p w14:paraId="049DE7AD" w14:textId="77777777" w:rsidR="0097629D" w:rsidRPr="00C26F2D" w:rsidRDefault="009F018D" w:rsidP="00F75424">
      <w:pPr>
        <w:jc w:val="center"/>
      </w:pPr>
    </w:p>
    <w:p w14:paraId="38CD91FE" w14:textId="77777777" w:rsidR="004B4A60" w:rsidRPr="0057246E" w:rsidRDefault="009F018D" w:rsidP="004B4A60"/>
    <w:p w14:paraId="41669550" w14:textId="77777777" w:rsidR="00C26F2D" w:rsidRDefault="009F018D"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F732F43" w14:textId="77777777" w:rsidR="009F018D" w:rsidRPr="00E17C38" w:rsidRDefault="009F018D" w:rsidP="009F018D">
      <w:pPr>
        <w:jc w:val="center"/>
        <w:rPr>
          <w:rFonts w:ascii="Arial" w:hAnsi="Arial" w:cs="Arial"/>
          <w:b/>
          <w:bCs/>
          <w:iCs/>
          <w:sz w:val="32"/>
          <w:szCs w:val="32"/>
        </w:rPr>
      </w:pPr>
      <w:r w:rsidRPr="00E17C38">
        <w:rPr>
          <w:rFonts w:ascii="Arial" w:hAnsi="Arial" w:cs="Arial"/>
          <w:b/>
          <w:bCs/>
          <w:iCs/>
          <w:sz w:val="32"/>
          <w:szCs w:val="32"/>
        </w:rPr>
        <w:lastRenderedPageBreak/>
        <w:t>Review of progress in the implementation of the recommendations identified at the Joint CEP/SC-CAMLR Workshop on Climate Change and Monitoring (2016)</w:t>
      </w:r>
    </w:p>
    <w:p w14:paraId="40E8F348" w14:textId="77777777" w:rsidR="009F018D" w:rsidRPr="00A1119C" w:rsidRDefault="009F018D" w:rsidP="009F018D">
      <w:pPr>
        <w:jc w:val="center"/>
        <w:rPr>
          <w:rFonts w:ascii="Arial" w:hAnsi="Arial" w:cs="Arial"/>
          <w:b/>
          <w:bCs/>
          <w:i/>
          <w:iCs/>
          <w:szCs w:val="22"/>
        </w:rPr>
      </w:pPr>
    </w:p>
    <w:p w14:paraId="43C9F81C" w14:textId="77777777" w:rsidR="009F018D" w:rsidRPr="008C7FF4" w:rsidRDefault="009F018D" w:rsidP="009F018D">
      <w:pPr>
        <w:pStyle w:val="ATSHeading2"/>
        <w:spacing w:before="0" w:after="0"/>
        <w:jc w:val="center"/>
        <w:rPr>
          <w:rFonts w:ascii="Times New Roman" w:hAnsi="Times New Roman"/>
          <w:i w:val="0"/>
          <w:iCs/>
        </w:rPr>
      </w:pPr>
      <w:r w:rsidRPr="008C7FF4">
        <w:rPr>
          <w:rFonts w:ascii="Times New Roman" w:hAnsi="Times New Roman"/>
          <w:i w:val="0"/>
          <w:iCs/>
        </w:rPr>
        <w:t xml:space="preserve">Working Paper submitted by </w:t>
      </w:r>
      <w:r>
        <w:rPr>
          <w:rFonts w:ascii="Times New Roman" w:hAnsi="Times New Roman"/>
          <w:i w:val="0"/>
          <w:iCs/>
        </w:rPr>
        <w:t xml:space="preserve">Argentina, Australia, </w:t>
      </w:r>
      <w:proofErr w:type="gramStart"/>
      <w:r>
        <w:rPr>
          <w:rFonts w:ascii="Times New Roman" w:hAnsi="Times New Roman"/>
          <w:i w:val="0"/>
          <w:iCs/>
        </w:rPr>
        <w:t>France</w:t>
      </w:r>
      <w:proofErr w:type="gramEnd"/>
      <w:r>
        <w:rPr>
          <w:rFonts w:ascii="Times New Roman" w:hAnsi="Times New Roman"/>
          <w:i w:val="0"/>
          <w:iCs/>
        </w:rPr>
        <w:t xml:space="preserve"> and the United States</w:t>
      </w:r>
    </w:p>
    <w:p w14:paraId="364013AD" w14:textId="77777777" w:rsidR="009F018D" w:rsidRDefault="009F018D" w:rsidP="009F018D">
      <w:pPr>
        <w:pStyle w:val="ATSHeading2"/>
      </w:pPr>
      <w:r>
        <w:t>Summary</w:t>
      </w:r>
    </w:p>
    <w:p w14:paraId="533FB4F4" w14:textId="77777777" w:rsidR="009F018D" w:rsidRDefault="009F018D" w:rsidP="009F018D">
      <w:pPr>
        <w:pStyle w:val="ATSNormal"/>
        <w:jc w:val="both"/>
      </w:pPr>
      <w:r>
        <w:t xml:space="preserve">This paper presents the results of a </w:t>
      </w:r>
      <w:r w:rsidRPr="007028AA">
        <w:t>review of progress in the implementation of the recommendations identified in the Report of the Joint CEP/SC-CAMLR Workshop on Climate Change and Monitoring (2016).</w:t>
      </w:r>
      <w:r>
        <w:t xml:space="preserve"> This review was undertaken during the 2021-22 intersessional period by Argentina, Australia, </w:t>
      </w:r>
      <w:proofErr w:type="gramStart"/>
      <w:r>
        <w:t>France</w:t>
      </w:r>
      <w:proofErr w:type="gramEnd"/>
      <w:r>
        <w:t xml:space="preserve"> and the United States.</w:t>
      </w:r>
    </w:p>
    <w:p w14:paraId="4E0DDE10" w14:textId="77777777" w:rsidR="009F018D" w:rsidRPr="00FC5267" w:rsidRDefault="009F018D" w:rsidP="009F018D">
      <w:pPr>
        <w:pStyle w:val="ATSNormal"/>
        <w:rPr>
          <w:lang w:eastAsia="en-US"/>
        </w:rPr>
      </w:pPr>
      <w:r>
        <w:t xml:space="preserve">The </w:t>
      </w:r>
      <w:r w:rsidRPr="00FC5267">
        <w:t xml:space="preserve">working paper co-authors </w:t>
      </w:r>
      <w:r w:rsidRPr="00FC5267">
        <w:rPr>
          <w:lang w:eastAsia="en-US"/>
        </w:rPr>
        <w:t>recommend that the CEP:</w:t>
      </w:r>
    </w:p>
    <w:p w14:paraId="050CFB76" w14:textId="77777777" w:rsidR="009F018D" w:rsidRDefault="009F018D" w:rsidP="009F018D">
      <w:pPr>
        <w:pStyle w:val="ATSBullet1"/>
        <w:numPr>
          <w:ilvl w:val="0"/>
          <w:numId w:val="11"/>
        </w:numPr>
      </w:pPr>
      <w:r w:rsidRPr="00FC5267">
        <w:t xml:space="preserve">considers the review of progress in the implementation of the recommendations identified at the Joint CEP/SC-CAMLR Workshop on Climate Change and Monitoring (2016) presented in </w:t>
      </w:r>
      <w:r>
        <w:t>A</w:t>
      </w:r>
      <w:r w:rsidRPr="00FC5267">
        <w:t xml:space="preserve">nnex </w:t>
      </w:r>
      <w:proofErr w:type="gramStart"/>
      <w:r w:rsidRPr="00FC5267">
        <w:t>1;</w:t>
      </w:r>
      <w:proofErr w:type="gramEnd"/>
    </w:p>
    <w:p w14:paraId="5E1783B4" w14:textId="77777777" w:rsidR="009F018D" w:rsidRPr="00FC5267" w:rsidRDefault="009F018D" w:rsidP="009F018D">
      <w:pPr>
        <w:pStyle w:val="ATSBullet1"/>
        <w:numPr>
          <w:ilvl w:val="0"/>
          <w:numId w:val="11"/>
        </w:numPr>
      </w:pPr>
      <w:r>
        <w:t>refers this paper to SC-CAMLR for its consideration; and</w:t>
      </w:r>
    </w:p>
    <w:p w14:paraId="4724862E" w14:textId="77777777" w:rsidR="009F018D" w:rsidRDefault="009F018D" w:rsidP="009F018D">
      <w:pPr>
        <w:pStyle w:val="ATSBullet1"/>
        <w:numPr>
          <w:ilvl w:val="0"/>
          <w:numId w:val="11"/>
        </w:numPr>
      </w:pPr>
      <w:r>
        <w:t xml:space="preserve">in accordance with actions identified in the CEP Five-Year Work Plan, engages with SC-CAMLR to make plans for a further Joint CEP/SC-CAMLR workshop on Climate Change and Monitoring to be held </w:t>
      </w:r>
      <w:proofErr w:type="gramStart"/>
      <w:r>
        <w:t>in the near future</w:t>
      </w:r>
      <w:proofErr w:type="gramEnd"/>
      <w:r w:rsidRPr="00FC5267">
        <w:t>.</w:t>
      </w:r>
    </w:p>
    <w:p w14:paraId="5F3C5ADE" w14:textId="77777777" w:rsidR="009F018D" w:rsidRDefault="009F018D" w:rsidP="009F018D">
      <w:pPr>
        <w:pStyle w:val="ATSHeading2"/>
      </w:pPr>
      <w:r>
        <w:t>Background</w:t>
      </w:r>
    </w:p>
    <w:p w14:paraId="2976CD6B" w14:textId="77777777" w:rsidR="009F018D" w:rsidRDefault="009F018D" w:rsidP="009F018D">
      <w:pPr>
        <w:pStyle w:val="ATSNormal"/>
        <w:rPr>
          <w:lang w:val="en-US"/>
        </w:rPr>
      </w:pPr>
      <w:r w:rsidRPr="00557797">
        <w:t>The Climate Change Response Work Programme (CCRWP) was adopted through Resolution 4 (2015)</w:t>
      </w:r>
      <w:r>
        <w:t xml:space="preserve">.  </w:t>
      </w:r>
      <w:r w:rsidRPr="00B45FBC">
        <w:rPr>
          <w:lang w:val="en-US"/>
        </w:rPr>
        <w:t xml:space="preserve">Following discussions within </w:t>
      </w:r>
      <w:r>
        <w:rPr>
          <w:lang w:val="en-US"/>
        </w:rPr>
        <w:t xml:space="preserve">the </w:t>
      </w:r>
      <w:r w:rsidRPr="00B45FBC">
        <w:rPr>
          <w:lang w:val="en-US"/>
        </w:rPr>
        <w:t xml:space="preserve">CEP regarding updating, </w:t>
      </w:r>
      <w:proofErr w:type="gramStart"/>
      <w:r w:rsidRPr="00B45FBC">
        <w:rPr>
          <w:lang w:val="en-US"/>
        </w:rPr>
        <w:t>implementation</w:t>
      </w:r>
      <w:proofErr w:type="gramEnd"/>
      <w:r w:rsidRPr="00B45FBC">
        <w:rPr>
          <w:lang w:val="en-US"/>
        </w:rPr>
        <w:t xml:space="preserve"> and follow-up of the </w:t>
      </w:r>
      <w:r>
        <w:rPr>
          <w:lang w:val="en-US"/>
        </w:rPr>
        <w:t>CCRWP</w:t>
      </w:r>
      <w:r w:rsidRPr="00B45FBC">
        <w:rPr>
          <w:lang w:val="en-US"/>
        </w:rPr>
        <w:t xml:space="preserve">, a decision was made at ATCM XL (Decision 1 (2017)) to establish a new </w:t>
      </w:r>
      <w:r>
        <w:rPr>
          <w:lang w:val="en-US"/>
        </w:rPr>
        <w:t>S</w:t>
      </w:r>
      <w:r w:rsidRPr="00B45FBC">
        <w:rPr>
          <w:lang w:val="en-US"/>
        </w:rPr>
        <w:t xml:space="preserve">ubsidiary </w:t>
      </w:r>
      <w:r>
        <w:rPr>
          <w:lang w:val="en-US"/>
        </w:rPr>
        <w:t>G</w:t>
      </w:r>
      <w:r w:rsidRPr="00B45FBC">
        <w:rPr>
          <w:lang w:val="en-US"/>
        </w:rPr>
        <w:t>roup on Climate Changes Response (SGCCR).</w:t>
      </w:r>
      <w:r w:rsidRPr="00557797">
        <w:t xml:space="preserve"> </w:t>
      </w:r>
      <w:r w:rsidRPr="00557797">
        <w:rPr>
          <w:lang w:val="en-US"/>
        </w:rPr>
        <w:t>The Terms of Reference for the SGCCR are to facilitate the efficient and timely implementation of the CCRWP</w:t>
      </w:r>
      <w:r>
        <w:rPr>
          <w:lang w:val="en-US"/>
        </w:rPr>
        <w:t>.</w:t>
      </w:r>
    </w:p>
    <w:p w14:paraId="4DB34262" w14:textId="77777777" w:rsidR="009F018D" w:rsidRDefault="009F018D" w:rsidP="009F018D">
      <w:pPr>
        <w:pStyle w:val="ATSNormal"/>
        <w:rPr>
          <w:lang w:val="en-US"/>
        </w:rPr>
      </w:pPr>
      <w:r w:rsidRPr="00573144">
        <w:rPr>
          <w:lang w:val="en-US"/>
        </w:rPr>
        <w:t>The 2016 CCRWP contains an action (3e) to maintain a ‘</w:t>
      </w:r>
      <w:r w:rsidRPr="00573144">
        <w:rPr>
          <w:i/>
          <w:lang w:val="en-US"/>
        </w:rPr>
        <w:t>regular dialogue (or sharing of information)</w:t>
      </w:r>
      <w:r w:rsidRPr="00573144">
        <w:rPr>
          <w:lang w:val="en-US"/>
        </w:rPr>
        <w:t xml:space="preserve">’ with </w:t>
      </w:r>
      <w:r>
        <w:rPr>
          <w:lang w:eastAsia="en-US"/>
        </w:rPr>
        <w:t xml:space="preserve">the Scientific Committee </w:t>
      </w:r>
      <w:r w:rsidRPr="00105551">
        <w:rPr>
          <w:lang w:eastAsia="en-US"/>
        </w:rPr>
        <w:t>for the Conservation of Antarctic Marine Living Resources</w:t>
      </w:r>
      <w:r>
        <w:rPr>
          <w:lang w:eastAsia="en-US"/>
        </w:rPr>
        <w:t xml:space="preserve"> (SC-CAMLR)</w:t>
      </w:r>
      <w:r w:rsidRPr="00573144">
        <w:rPr>
          <w:lang w:val="en-US"/>
        </w:rPr>
        <w:t xml:space="preserve"> on climate change, </w:t>
      </w:r>
      <w:proofErr w:type="gramStart"/>
      <w:r w:rsidRPr="00573144">
        <w:rPr>
          <w:lang w:val="en-US"/>
        </w:rPr>
        <w:t>in particular on</w:t>
      </w:r>
      <w:proofErr w:type="gramEnd"/>
      <w:r w:rsidRPr="00573144">
        <w:rPr>
          <w:lang w:val="en-US"/>
        </w:rPr>
        <w:t xml:space="preserve"> actions being taken</w:t>
      </w:r>
      <w:r>
        <w:rPr>
          <w:lang w:val="en-US"/>
        </w:rPr>
        <w:t>.</w:t>
      </w:r>
    </w:p>
    <w:p w14:paraId="71069280" w14:textId="77777777" w:rsidR="009F018D" w:rsidRDefault="009F018D" w:rsidP="009F018D">
      <w:pPr>
        <w:pStyle w:val="ATSNormal"/>
        <w:rPr>
          <w:lang w:val="en-US"/>
        </w:rPr>
      </w:pPr>
      <w:r w:rsidRPr="00105551">
        <w:rPr>
          <w:lang w:val="en-US"/>
        </w:rPr>
        <w:t>The</w:t>
      </w:r>
      <w:r>
        <w:rPr>
          <w:lang w:val="en-US"/>
        </w:rPr>
        <w:t xml:space="preserve"> SGCCR work program for the 2021-22</w:t>
      </w:r>
      <w:r w:rsidRPr="00105551">
        <w:rPr>
          <w:lang w:val="en-US"/>
        </w:rPr>
        <w:t xml:space="preserve"> intersessional period </w:t>
      </w:r>
      <w:r>
        <w:rPr>
          <w:lang w:val="en-US"/>
        </w:rPr>
        <w:t xml:space="preserve">further </w:t>
      </w:r>
      <w:r w:rsidRPr="00105551">
        <w:rPr>
          <w:lang w:val="en-US"/>
        </w:rPr>
        <w:t>include</w:t>
      </w:r>
      <w:r>
        <w:rPr>
          <w:lang w:val="en-US"/>
        </w:rPr>
        <w:t>s</w:t>
      </w:r>
      <w:r w:rsidRPr="00105551">
        <w:rPr>
          <w:lang w:val="en-US"/>
        </w:rPr>
        <w:t xml:space="preserve"> </w:t>
      </w:r>
      <w:r>
        <w:rPr>
          <w:lang w:val="en-US"/>
        </w:rPr>
        <w:t>a</w:t>
      </w:r>
      <w:r w:rsidRPr="00105551">
        <w:rPr>
          <w:lang w:val="en-US"/>
        </w:rPr>
        <w:t xml:space="preserve"> task </w:t>
      </w:r>
      <w:r>
        <w:rPr>
          <w:lang w:val="en-US"/>
        </w:rPr>
        <w:t xml:space="preserve">(3d) </w:t>
      </w:r>
      <w:r w:rsidRPr="00105551">
        <w:rPr>
          <w:lang w:val="en-US"/>
        </w:rPr>
        <w:t>to</w:t>
      </w:r>
      <w:r>
        <w:rPr>
          <w:lang w:val="en-US"/>
        </w:rPr>
        <w:t xml:space="preserve"> ‘</w:t>
      </w:r>
      <w:r w:rsidRPr="00105551">
        <w:rPr>
          <w:i/>
          <w:lang w:val="en-US"/>
        </w:rPr>
        <w:t>Continue to work with CCAMLR to identify the process for deﬁning reference areas for future research</w:t>
      </w:r>
      <w:r>
        <w:rPr>
          <w:lang w:val="en-US"/>
        </w:rPr>
        <w:t xml:space="preserve">’. This task relates to the </w:t>
      </w:r>
      <w:r w:rsidRPr="000A5555">
        <w:rPr>
          <w:lang w:val="en-US"/>
        </w:rPr>
        <w:t xml:space="preserve">CCRWP issue of </w:t>
      </w:r>
      <w:r>
        <w:rPr>
          <w:lang w:val="en-US"/>
        </w:rPr>
        <w:t>‘</w:t>
      </w:r>
      <w:r w:rsidRPr="00105551">
        <w:rPr>
          <w:i/>
          <w:lang w:val="en-US"/>
        </w:rPr>
        <w:t>Change to marine near-shore abiotic and biotic environment</w:t>
      </w:r>
      <w:r>
        <w:rPr>
          <w:i/>
          <w:lang w:val="en-US"/>
        </w:rPr>
        <w:t xml:space="preserve"> (excluding Ocean Acidification</w:t>
      </w:r>
      <w:r>
        <w:rPr>
          <w:lang w:val="en-US"/>
        </w:rPr>
        <w:t xml:space="preserve">)’. During the 2021-22 intersessional period, the members of the SGCCR, led by the United Kingdom, were encouraged to </w:t>
      </w:r>
      <w:r w:rsidRPr="00557797">
        <w:rPr>
          <w:lang w:val="en-US"/>
        </w:rPr>
        <w:t>take actions to implement the CCRWP and progress the work of the SGCCR</w:t>
      </w:r>
      <w:r>
        <w:rPr>
          <w:lang w:val="en-US"/>
        </w:rPr>
        <w:t>.</w:t>
      </w:r>
    </w:p>
    <w:p w14:paraId="242F1DBB" w14:textId="77777777" w:rsidR="009F018D" w:rsidRDefault="009F018D" w:rsidP="009F018D">
      <w:pPr>
        <w:pStyle w:val="ATSNormal"/>
        <w:rPr>
          <w:lang w:val="en-US"/>
        </w:rPr>
      </w:pPr>
      <w:r>
        <w:rPr>
          <w:lang w:val="en-US"/>
        </w:rPr>
        <w:t>In addition,</w:t>
      </w:r>
      <w:r w:rsidRPr="00DA28C7">
        <w:rPr>
          <w:lang w:val="en-US"/>
        </w:rPr>
        <w:t xml:space="preserve"> </w:t>
      </w:r>
      <w:r>
        <w:rPr>
          <w:lang w:val="en-US"/>
        </w:rPr>
        <w:t xml:space="preserve">under the priority issue ‘Climate Change Implications for the Environment’, </w:t>
      </w:r>
      <w:r w:rsidRPr="00105551">
        <w:rPr>
          <w:lang w:val="en-US"/>
        </w:rPr>
        <w:t>the CEP Five-Year Work Plan contain</w:t>
      </w:r>
      <w:r>
        <w:rPr>
          <w:lang w:val="en-US"/>
        </w:rPr>
        <w:t>s</w:t>
      </w:r>
      <w:r w:rsidRPr="00105551">
        <w:rPr>
          <w:lang w:val="en-US"/>
        </w:rPr>
        <w:t xml:space="preserve"> action</w:t>
      </w:r>
      <w:r>
        <w:rPr>
          <w:lang w:val="en-US"/>
        </w:rPr>
        <w:t>s</w:t>
      </w:r>
      <w:r w:rsidRPr="00105551">
        <w:rPr>
          <w:lang w:val="en-US"/>
        </w:rPr>
        <w:t xml:space="preserve"> for CEP XXIV (2022) to ‘</w:t>
      </w:r>
      <w:r w:rsidRPr="00DA28C7">
        <w:rPr>
          <w:i/>
          <w:lang w:val="en-US"/>
        </w:rPr>
        <w:t>Review implementation of actions arising from 2016 joint CEP/SC-CAMLR</w:t>
      </w:r>
      <w:r>
        <w:rPr>
          <w:lang w:val="en-US"/>
        </w:rPr>
        <w:t xml:space="preserve"> </w:t>
      </w:r>
      <w:r w:rsidRPr="00DA28C7">
        <w:rPr>
          <w:i/>
          <w:lang w:val="en-US"/>
        </w:rPr>
        <w:t>workshop</w:t>
      </w:r>
      <w:r>
        <w:rPr>
          <w:lang w:val="en-US"/>
        </w:rPr>
        <w:t>’ and ‘</w:t>
      </w:r>
      <w:r>
        <w:rPr>
          <w:i/>
          <w:lang w:val="en-US"/>
        </w:rPr>
        <w:t>Plan for five-yearly joint workshop</w:t>
      </w:r>
      <w:r>
        <w:rPr>
          <w:lang w:val="en-US"/>
        </w:rPr>
        <w:t>’.</w:t>
      </w:r>
    </w:p>
    <w:p w14:paraId="3E9451B2" w14:textId="77777777" w:rsidR="009F018D" w:rsidRPr="00D00E3D" w:rsidRDefault="009F018D" w:rsidP="009F018D">
      <w:pPr>
        <w:pStyle w:val="ATSNormal"/>
        <w:rPr>
          <w:lang w:val="en-US"/>
        </w:rPr>
      </w:pPr>
      <w:proofErr w:type="gramStart"/>
      <w:r>
        <w:rPr>
          <w:lang w:val="en-US"/>
        </w:rPr>
        <w:t>In order to</w:t>
      </w:r>
      <w:proofErr w:type="gramEnd"/>
      <w:r>
        <w:rPr>
          <w:lang w:val="en-US"/>
        </w:rPr>
        <w:t xml:space="preserve"> contribute to the implementation of these actions/tasks, </w:t>
      </w:r>
      <w:r w:rsidRPr="00DA28C7">
        <w:rPr>
          <w:lang w:val="en-US"/>
        </w:rPr>
        <w:t>Argentina, Australia, France and the United States volunteered</w:t>
      </w:r>
      <w:r>
        <w:rPr>
          <w:lang w:val="en-US"/>
        </w:rPr>
        <w:t xml:space="preserve"> to r</w:t>
      </w:r>
      <w:r w:rsidRPr="00670DAD">
        <w:rPr>
          <w:lang w:val="en-US"/>
        </w:rPr>
        <w:t xml:space="preserve">eview progress in </w:t>
      </w:r>
      <w:r>
        <w:rPr>
          <w:lang w:val="en-US"/>
        </w:rPr>
        <w:t xml:space="preserve">the </w:t>
      </w:r>
      <w:r w:rsidRPr="00670DAD">
        <w:rPr>
          <w:lang w:val="en-US"/>
        </w:rPr>
        <w:t>implementation of the recommendations identified in the Report of the Joint CEP/SC-CAMLR Workshop on Clima</w:t>
      </w:r>
      <w:r>
        <w:rPr>
          <w:lang w:val="en-US"/>
        </w:rPr>
        <w:t xml:space="preserve">te Change and Monitoring (2016) held in Punta Arenas, Chile. </w:t>
      </w:r>
      <w:r w:rsidRPr="00573144">
        <w:rPr>
          <w:lang w:val="en-US"/>
        </w:rPr>
        <w:t>This work involved national CEP and SC-CAMLR representatives.</w:t>
      </w:r>
    </w:p>
    <w:p w14:paraId="5B0EED6F" w14:textId="77777777" w:rsidR="009F018D" w:rsidRPr="00824014" w:rsidRDefault="009F018D" w:rsidP="009F018D">
      <w:pPr>
        <w:pStyle w:val="ATSHeading2"/>
        <w:keepNext/>
      </w:pPr>
      <w:r>
        <w:lastRenderedPageBreak/>
        <w:t>Results</w:t>
      </w:r>
    </w:p>
    <w:p w14:paraId="66B79802" w14:textId="77777777" w:rsidR="009F018D" w:rsidRDefault="009F018D" w:rsidP="009F018D">
      <w:pPr>
        <w:pStyle w:val="ATSNormal"/>
        <w:jc w:val="both"/>
        <w:rPr>
          <w:lang w:eastAsia="en-US"/>
        </w:rPr>
      </w:pPr>
      <w:r>
        <w:rPr>
          <w:lang w:eastAsia="en-US"/>
        </w:rPr>
        <w:t xml:space="preserve">The result of this analysis is presented in Annex 1. The co-authors assessed for each of </w:t>
      </w:r>
      <w:r w:rsidRPr="00105551">
        <w:rPr>
          <w:lang w:eastAsia="en-US"/>
        </w:rPr>
        <w:t>the recommendations identified in the Report of the Joint CEP/SC-CAMLR Workshop on Clima</w:t>
      </w:r>
      <w:r>
        <w:rPr>
          <w:lang w:eastAsia="en-US"/>
        </w:rPr>
        <w:t>te Change and Monitoring (2016), the actions undertaken to fulfil these recommendations by the CEP and SC-CAMLR.</w:t>
      </w:r>
    </w:p>
    <w:p w14:paraId="2C4F7904" w14:textId="77777777" w:rsidR="009F018D" w:rsidRPr="004D7351" w:rsidRDefault="009F018D" w:rsidP="009F018D">
      <w:pPr>
        <w:pStyle w:val="ATSHeading2"/>
      </w:pPr>
      <w:r w:rsidRPr="004D7351">
        <w:t>Recommendation</w:t>
      </w:r>
    </w:p>
    <w:p w14:paraId="7FE264B1" w14:textId="77777777" w:rsidR="009F018D" w:rsidRDefault="009F018D" w:rsidP="009F018D">
      <w:pPr>
        <w:pStyle w:val="ATSNormal"/>
        <w:rPr>
          <w:lang w:eastAsia="en-US"/>
        </w:rPr>
      </w:pPr>
      <w:r>
        <w:rPr>
          <w:lang w:eastAsia="en-US"/>
        </w:rPr>
        <w:t xml:space="preserve">Argentina, Australia, </w:t>
      </w:r>
      <w:proofErr w:type="gramStart"/>
      <w:r>
        <w:rPr>
          <w:lang w:eastAsia="en-US"/>
        </w:rPr>
        <w:t>France</w:t>
      </w:r>
      <w:proofErr w:type="gramEnd"/>
      <w:r>
        <w:rPr>
          <w:lang w:eastAsia="en-US"/>
        </w:rPr>
        <w:t xml:space="preserve"> and the United States recommend that the CEP:</w:t>
      </w:r>
    </w:p>
    <w:p w14:paraId="2B3DDD21" w14:textId="77777777" w:rsidR="009F018D" w:rsidRDefault="009F018D" w:rsidP="009F018D">
      <w:pPr>
        <w:pStyle w:val="ATSBullet1"/>
        <w:numPr>
          <w:ilvl w:val="0"/>
          <w:numId w:val="11"/>
        </w:numPr>
      </w:pPr>
      <w:r w:rsidRPr="00FC5267">
        <w:t xml:space="preserve">considers the review of progress in the implementation of the recommendations identified at the Joint CEP/SC-CAMLR Workshop on Climate Change and Monitoring (2016) presented in </w:t>
      </w:r>
      <w:r>
        <w:t>A</w:t>
      </w:r>
      <w:r w:rsidRPr="00FC5267">
        <w:t xml:space="preserve">nnex </w:t>
      </w:r>
      <w:proofErr w:type="gramStart"/>
      <w:r w:rsidRPr="00FC5267">
        <w:t>1;</w:t>
      </w:r>
      <w:proofErr w:type="gramEnd"/>
    </w:p>
    <w:p w14:paraId="7F58F428" w14:textId="77777777" w:rsidR="009F018D" w:rsidRPr="00FC5267" w:rsidRDefault="009F018D" w:rsidP="009F018D">
      <w:pPr>
        <w:pStyle w:val="ATSBullet1"/>
        <w:numPr>
          <w:ilvl w:val="0"/>
          <w:numId w:val="11"/>
        </w:numPr>
      </w:pPr>
      <w:r>
        <w:t>refers this paper to SC-CAMLR for its consideration; and</w:t>
      </w:r>
    </w:p>
    <w:p w14:paraId="129B9314" w14:textId="77777777" w:rsidR="009F018D" w:rsidRDefault="009F018D" w:rsidP="009F018D">
      <w:pPr>
        <w:pStyle w:val="ATSBullet1"/>
        <w:numPr>
          <w:ilvl w:val="0"/>
          <w:numId w:val="11"/>
        </w:numPr>
      </w:pPr>
      <w:r>
        <w:t xml:space="preserve">in accordance with actions identified in the CEP Five-Year Work Plan, engages with SC-CAMLR to make plans for a further Joint CEP/SC-CAMLR workshop on Climate Change and Monitoring to be held </w:t>
      </w:r>
      <w:proofErr w:type="gramStart"/>
      <w:r>
        <w:t>in the near future</w:t>
      </w:r>
      <w:proofErr w:type="gramEnd"/>
      <w:r>
        <w:t xml:space="preserve">. </w:t>
      </w:r>
    </w:p>
    <w:p w14:paraId="75661325" w14:textId="77777777" w:rsidR="009F018D" w:rsidRDefault="009F018D" w:rsidP="009F018D"/>
    <w:p w14:paraId="67F96B13" w14:textId="77777777" w:rsidR="009F018D" w:rsidRDefault="009F018D" w:rsidP="009F018D"/>
    <w:p w14:paraId="668DA2D3" w14:textId="77777777" w:rsidR="009F018D" w:rsidRDefault="009F018D" w:rsidP="009F018D"/>
    <w:p w14:paraId="62AC5A35" w14:textId="77777777" w:rsidR="009F018D" w:rsidRDefault="009F018D" w:rsidP="009F018D"/>
    <w:p w14:paraId="5A89CEED" w14:textId="77777777" w:rsidR="009F018D" w:rsidRDefault="009F018D" w:rsidP="009F018D">
      <w:pPr>
        <w:sectPr w:rsidR="009F018D" w:rsidSect="00283F0F">
          <w:headerReference w:type="default" r:id="rId11"/>
          <w:footerReference w:type="default" r:id="rId12"/>
          <w:type w:val="oddPage"/>
          <w:pgSz w:w="11907" w:h="16840" w:code="9"/>
          <w:pgMar w:top="1134" w:right="1701" w:bottom="1134" w:left="1701" w:header="709" w:footer="709" w:gutter="0"/>
          <w:cols w:space="708"/>
          <w:docGrid w:linePitch="360"/>
        </w:sectPr>
      </w:pPr>
    </w:p>
    <w:p w14:paraId="38EF3653" w14:textId="77777777" w:rsidR="009F018D" w:rsidRDefault="009F018D" w:rsidP="009F018D">
      <w:pPr>
        <w:rPr>
          <w:b/>
        </w:rPr>
      </w:pPr>
      <w:bookmarkStart w:id="8" w:name="_Hlk100210813"/>
      <w:r w:rsidRPr="00482E5A">
        <w:rPr>
          <w:b/>
        </w:rPr>
        <w:lastRenderedPageBreak/>
        <w:t>A</w:t>
      </w:r>
      <w:r>
        <w:rPr>
          <w:b/>
        </w:rPr>
        <w:t>nnex 1</w:t>
      </w:r>
      <w:r w:rsidRPr="00482E5A">
        <w:rPr>
          <w:b/>
        </w:rPr>
        <w:t>: Review of progress in the implementation of the recommendations identified at the Joint CEP/SC-CAMLR Workshop on Climate Change and Monitoring (2016)</w:t>
      </w:r>
    </w:p>
    <w:p w14:paraId="4C03D050" w14:textId="77777777" w:rsidR="009F018D" w:rsidRDefault="009F018D" w:rsidP="009F018D">
      <w:pPr>
        <w:rPr>
          <w:b/>
        </w:rPr>
      </w:pPr>
    </w:p>
    <w:tbl>
      <w:tblPr>
        <w:tblW w:w="0" w:type="auto"/>
        <w:tblInd w:w="-108" w:type="dxa"/>
        <w:tblLook w:val="04A0" w:firstRow="1" w:lastRow="0" w:firstColumn="1" w:lastColumn="0" w:noHBand="0" w:noVBand="1"/>
      </w:tblPr>
      <w:tblGrid>
        <w:gridCol w:w="702"/>
        <w:gridCol w:w="2336"/>
        <w:gridCol w:w="5509"/>
        <w:gridCol w:w="5509"/>
      </w:tblGrid>
      <w:tr w:rsidR="009F018D" w:rsidRPr="00B7298F" w14:paraId="69C1ACCA" w14:textId="77777777" w:rsidTr="00A12816">
        <w:trPr>
          <w:trHeight w:val="274"/>
          <w:tblHeader/>
        </w:trPr>
        <w:tc>
          <w:tcPr>
            <w:tcW w:w="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495B75D0" w14:textId="77777777" w:rsidR="009F018D" w:rsidRPr="00B7298F" w:rsidRDefault="009F018D" w:rsidP="00A12816">
            <w:pPr>
              <w:jc w:val="center"/>
              <w:rPr>
                <w:b/>
              </w:rPr>
            </w:pPr>
            <w:r w:rsidRPr="00B7298F">
              <w:rPr>
                <w:b/>
              </w:rPr>
              <w:t>Rec #</w:t>
            </w:r>
          </w:p>
        </w:tc>
        <w:tc>
          <w:tcPr>
            <w:tcW w:w="2336" w:type="dxa"/>
            <w:tcBorders>
              <w:top w:val="single" w:sz="4" w:space="0" w:color="auto"/>
              <w:left w:val="nil"/>
              <w:bottom w:val="single" w:sz="4" w:space="0" w:color="auto"/>
              <w:right w:val="single" w:sz="4" w:space="0" w:color="auto"/>
            </w:tcBorders>
            <w:shd w:val="clear" w:color="auto" w:fill="D9D9D9" w:themeFill="background1" w:themeFillShade="D9"/>
            <w:hideMark/>
          </w:tcPr>
          <w:p w14:paraId="54C383DA" w14:textId="77777777" w:rsidR="009F018D" w:rsidRPr="00B7298F" w:rsidRDefault="009F018D" w:rsidP="00A12816">
            <w:pPr>
              <w:jc w:val="center"/>
              <w:rPr>
                <w:b/>
              </w:rPr>
            </w:pPr>
            <w:r w:rsidRPr="00B7298F">
              <w:rPr>
                <w:b/>
              </w:rPr>
              <w:t>Recommendation Text</w:t>
            </w:r>
          </w:p>
        </w:tc>
        <w:tc>
          <w:tcPr>
            <w:tcW w:w="5509" w:type="dxa"/>
            <w:tcBorders>
              <w:top w:val="single" w:sz="4" w:space="0" w:color="auto"/>
              <w:left w:val="nil"/>
              <w:bottom w:val="single" w:sz="4" w:space="0" w:color="auto"/>
              <w:right w:val="single" w:sz="4" w:space="0" w:color="auto"/>
            </w:tcBorders>
            <w:shd w:val="clear" w:color="auto" w:fill="D9D9D9" w:themeFill="background1" w:themeFillShade="D9"/>
            <w:hideMark/>
          </w:tcPr>
          <w:p w14:paraId="6BA6337C" w14:textId="77777777" w:rsidR="009F018D" w:rsidRPr="00D17133" w:rsidRDefault="009F018D" w:rsidP="00A12816">
            <w:pPr>
              <w:jc w:val="center"/>
              <w:rPr>
                <w:b/>
              </w:rPr>
            </w:pPr>
            <w:r w:rsidRPr="00D17133">
              <w:rPr>
                <w:b/>
              </w:rPr>
              <w:t>Related SC-CAMLR activities</w:t>
            </w:r>
          </w:p>
        </w:tc>
        <w:tc>
          <w:tcPr>
            <w:tcW w:w="5509" w:type="dxa"/>
            <w:tcBorders>
              <w:top w:val="single" w:sz="4" w:space="0" w:color="auto"/>
              <w:left w:val="nil"/>
              <w:bottom w:val="single" w:sz="4" w:space="0" w:color="auto"/>
              <w:right w:val="single" w:sz="4" w:space="0" w:color="auto"/>
            </w:tcBorders>
            <w:shd w:val="clear" w:color="auto" w:fill="D9D9D9" w:themeFill="background1" w:themeFillShade="D9"/>
          </w:tcPr>
          <w:p w14:paraId="62120E76" w14:textId="77777777" w:rsidR="009F018D" w:rsidRPr="00D17133" w:rsidRDefault="009F018D" w:rsidP="00A12816">
            <w:pPr>
              <w:jc w:val="center"/>
              <w:rPr>
                <w:b/>
              </w:rPr>
            </w:pPr>
            <w:r>
              <w:rPr>
                <w:b/>
              </w:rPr>
              <w:t>Related CEP Activities</w:t>
            </w:r>
          </w:p>
        </w:tc>
      </w:tr>
      <w:tr w:rsidR="009F018D" w:rsidRPr="00F13694" w14:paraId="064199A7" w14:textId="77777777" w:rsidTr="00A12816">
        <w:trPr>
          <w:trHeight w:val="703"/>
        </w:trPr>
        <w:tc>
          <w:tcPr>
            <w:tcW w:w="702" w:type="dxa"/>
            <w:tcBorders>
              <w:top w:val="nil"/>
              <w:left w:val="single" w:sz="4" w:space="0" w:color="auto"/>
              <w:bottom w:val="single" w:sz="4" w:space="0" w:color="auto"/>
              <w:right w:val="single" w:sz="4" w:space="0" w:color="auto"/>
            </w:tcBorders>
            <w:noWrap/>
            <w:hideMark/>
          </w:tcPr>
          <w:p w14:paraId="460EBF1D" w14:textId="77777777" w:rsidR="009F018D" w:rsidRPr="00F13694" w:rsidRDefault="009F018D" w:rsidP="00A12816">
            <w:r w:rsidRPr="00F13694">
              <w:t>1</w:t>
            </w:r>
          </w:p>
        </w:tc>
        <w:tc>
          <w:tcPr>
            <w:tcW w:w="2336" w:type="dxa"/>
            <w:tcBorders>
              <w:top w:val="nil"/>
              <w:left w:val="nil"/>
              <w:bottom w:val="single" w:sz="4" w:space="0" w:color="auto"/>
              <w:right w:val="single" w:sz="4" w:space="0" w:color="auto"/>
            </w:tcBorders>
            <w:hideMark/>
          </w:tcPr>
          <w:p w14:paraId="3EC68D6F" w14:textId="77777777" w:rsidR="009F018D" w:rsidRPr="00F13694" w:rsidRDefault="009F018D" w:rsidP="00A12816">
            <w:r w:rsidRPr="00F13694">
              <w:t xml:space="preserve">Encourage SC-CAMLR and CEP to recognize, encourage and support wherever possible the contribution that programmes such as SCAR, ICED and SOOS can make to their work on climate change and related monitoring. </w:t>
            </w:r>
          </w:p>
        </w:tc>
        <w:tc>
          <w:tcPr>
            <w:tcW w:w="5509" w:type="dxa"/>
            <w:tcBorders>
              <w:top w:val="nil"/>
              <w:left w:val="nil"/>
              <w:bottom w:val="single" w:sz="4" w:space="0" w:color="auto"/>
              <w:right w:val="single" w:sz="4" w:space="0" w:color="auto"/>
            </w:tcBorders>
            <w:hideMark/>
          </w:tcPr>
          <w:p w14:paraId="622CA341" w14:textId="77777777" w:rsidR="009F018D" w:rsidRPr="00D17133" w:rsidRDefault="009F018D" w:rsidP="009F018D">
            <w:pPr>
              <w:pStyle w:val="Prrafodelista"/>
              <w:numPr>
                <w:ilvl w:val="0"/>
                <w:numId w:val="21"/>
              </w:numPr>
              <w:contextualSpacing/>
              <w:rPr>
                <w:rFonts w:cs="Calibri"/>
              </w:rPr>
            </w:pPr>
            <w:r w:rsidRPr="00D17133">
              <w:t xml:space="preserve">SC-CAMLR-XXXV welcomed SC-CAMLR-XXXV/07 </w:t>
            </w:r>
            <w:r w:rsidRPr="00D17133">
              <w:rPr>
                <w:i/>
                <w:iCs/>
              </w:rPr>
              <w:t>Convener’s Report of the Joint CEP/SC-CAMLR Workshop on Climate Change and Monitoring</w:t>
            </w:r>
            <w:r w:rsidRPr="00D17133">
              <w:t xml:space="preserve"> (United Kingdom and the USA) and endorsed the workshop’s recommendations (SC-CAMLR XXXV para. 8.6).  </w:t>
            </w:r>
          </w:p>
          <w:p w14:paraId="657FDCD6" w14:textId="77777777" w:rsidR="009F018D" w:rsidRPr="00D17133" w:rsidRDefault="009F018D" w:rsidP="009F018D">
            <w:pPr>
              <w:pStyle w:val="Prrafodelista"/>
              <w:numPr>
                <w:ilvl w:val="0"/>
                <w:numId w:val="21"/>
              </w:numPr>
              <w:contextualSpacing/>
              <w:rPr>
                <w:rFonts w:cs="Calibri"/>
              </w:rPr>
            </w:pPr>
            <w:r w:rsidRPr="00D17133">
              <w:t xml:space="preserve">The SC discussed the importance of developing a strategic work plan and it was noted that the theme of ecosystem interactions and climate change would benefit from engagement with external expert groups (SC-CAMLR XXXV para. </w:t>
            </w:r>
            <w:r w:rsidRPr="00D17133">
              <w:rPr>
                <w:rFonts w:cs="Calibri"/>
              </w:rPr>
              <w:t xml:space="preserve">13.5) </w:t>
            </w:r>
          </w:p>
          <w:p w14:paraId="7547F0FB" w14:textId="77777777" w:rsidR="009F018D" w:rsidRPr="00D17133" w:rsidRDefault="009F018D" w:rsidP="009F018D">
            <w:pPr>
              <w:pStyle w:val="Prrafodelista"/>
              <w:numPr>
                <w:ilvl w:val="0"/>
                <w:numId w:val="21"/>
              </w:numPr>
              <w:contextualSpacing/>
              <w:rPr>
                <w:rFonts w:cs="Calibri"/>
              </w:rPr>
            </w:pPr>
            <w:r w:rsidRPr="00D17133">
              <w:rPr>
                <w:rFonts w:cs="Calibri"/>
              </w:rPr>
              <w:t>Since the workshop, the SC-CAMLR has welcomed several reports on the existing and planned activities of SCAR, WMO, ICED and SOOS, including:</w:t>
            </w:r>
          </w:p>
          <w:p w14:paraId="63F4B4F5" w14:textId="77777777" w:rsidR="009F018D" w:rsidRPr="00D17133" w:rsidRDefault="009F018D" w:rsidP="009F018D">
            <w:pPr>
              <w:pStyle w:val="Prrafodelista"/>
              <w:numPr>
                <w:ilvl w:val="1"/>
                <w:numId w:val="21"/>
              </w:numPr>
              <w:contextualSpacing/>
              <w:rPr>
                <w:rFonts w:cs="Calibri"/>
              </w:rPr>
            </w:pPr>
            <w:r w:rsidRPr="00D17133">
              <w:rPr>
                <w:rFonts w:cs="Calibri"/>
              </w:rPr>
              <w:t xml:space="preserve">SC-CAMLR-XXXVI/BG/14 </w:t>
            </w:r>
            <w:r w:rsidRPr="00D17133">
              <w:rPr>
                <w:rFonts w:cs="Calibri"/>
                <w:i/>
                <w:iCs/>
              </w:rPr>
              <w:t>Report on 2017 Activities of the Southern Ocean Observing System (SOOS), relevant to the work of CCAMLR</w:t>
            </w:r>
            <w:r w:rsidRPr="00D17133">
              <w:rPr>
                <w:rFonts w:cs="Calibri"/>
              </w:rPr>
              <w:t xml:space="preserve"> (SCOR)</w:t>
            </w:r>
          </w:p>
          <w:p w14:paraId="3DCF0ADF" w14:textId="77777777" w:rsidR="009F018D" w:rsidRPr="00D17133" w:rsidRDefault="009F018D" w:rsidP="009F018D">
            <w:pPr>
              <w:pStyle w:val="Prrafodelista"/>
              <w:numPr>
                <w:ilvl w:val="1"/>
                <w:numId w:val="21"/>
              </w:numPr>
              <w:contextualSpacing/>
              <w:rPr>
                <w:rFonts w:cs="Calibri"/>
                <w:i/>
              </w:rPr>
            </w:pPr>
            <w:r w:rsidRPr="00D17133">
              <w:rPr>
                <w:rFonts w:cs="Calibri"/>
              </w:rPr>
              <w:t xml:space="preserve">SC-CAMLR-XXXVI/BG/14 </w:t>
            </w:r>
            <w:r w:rsidRPr="00D17133">
              <w:rPr>
                <w:rFonts w:cs="Calibri"/>
                <w:i/>
              </w:rPr>
              <w:t>Mapping SCAR affiliated research to the CEP's Climate Change Response Work Programme (CCRWP)</w:t>
            </w:r>
            <w:r w:rsidRPr="00D17133">
              <w:rPr>
                <w:rFonts w:cs="Calibri"/>
              </w:rPr>
              <w:t xml:space="preserve"> (SCAR)</w:t>
            </w:r>
          </w:p>
          <w:p w14:paraId="4AE0EE1E" w14:textId="77777777" w:rsidR="009F018D" w:rsidRPr="00D17133" w:rsidRDefault="009F018D" w:rsidP="009F018D">
            <w:pPr>
              <w:pStyle w:val="Prrafodelista"/>
              <w:numPr>
                <w:ilvl w:val="1"/>
                <w:numId w:val="21"/>
              </w:numPr>
              <w:contextualSpacing/>
              <w:rPr>
                <w:rFonts w:cs="Calibri"/>
              </w:rPr>
            </w:pPr>
            <w:r w:rsidRPr="00D17133">
              <w:rPr>
                <w:rFonts w:cs="Calibri"/>
              </w:rPr>
              <w:t xml:space="preserve">SC-CAMLR-XXXVI/BG/16 </w:t>
            </w:r>
            <w:r w:rsidRPr="00D17133">
              <w:rPr>
                <w:rFonts w:cs="Calibri"/>
                <w:i/>
              </w:rPr>
              <w:t>Antarctic Climate Change and the Environment – 2017 Update</w:t>
            </w:r>
            <w:r w:rsidRPr="00D17133">
              <w:rPr>
                <w:rFonts w:cs="Calibri"/>
              </w:rPr>
              <w:t xml:space="preserve"> (SCAR)</w:t>
            </w:r>
          </w:p>
          <w:p w14:paraId="321BDE53" w14:textId="77777777" w:rsidR="009F018D" w:rsidRPr="00D17133" w:rsidRDefault="009F018D" w:rsidP="009F018D">
            <w:pPr>
              <w:pStyle w:val="Prrafodelista"/>
              <w:numPr>
                <w:ilvl w:val="1"/>
                <w:numId w:val="21"/>
              </w:numPr>
              <w:contextualSpacing/>
              <w:rPr>
                <w:rFonts w:cs="Calibri"/>
              </w:rPr>
            </w:pPr>
            <w:r w:rsidRPr="00D17133">
              <w:rPr>
                <w:rFonts w:cs="Calibri"/>
              </w:rPr>
              <w:t xml:space="preserve">SC-CAMLR-XXXVII/BG/16 </w:t>
            </w:r>
            <w:r w:rsidRPr="00D17133">
              <w:rPr>
                <w:rFonts w:cs="Calibri"/>
                <w:i/>
                <w:iCs/>
              </w:rPr>
              <w:t xml:space="preserve">Integrating Climate and Ecosystem Dynamics in the Southern Ocean (ICED) programme: Report of </w:t>
            </w:r>
            <w:r w:rsidRPr="00D17133">
              <w:rPr>
                <w:rFonts w:cs="Calibri"/>
                <w:i/>
                <w:iCs/>
              </w:rPr>
              <w:lastRenderedPageBreak/>
              <w:t>the ICED–CCAMLR Projections Workshop, 5 to 7 April 2018</w:t>
            </w:r>
            <w:r w:rsidRPr="00D17133">
              <w:rPr>
                <w:rFonts w:cs="Calibri"/>
              </w:rPr>
              <w:t xml:space="preserve"> (Multiple authors) </w:t>
            </w:r>
          </w:p>
          <w:p w14:paraId="722CDF6E" w14:textId="77777777" w:rsidR="009F018D" w:rsidRPr="00D17133" w:rsidRDefault="009F018D" w:rsidP="009F018D">
            <w:pPr>
              <w:pStyle w:val="Prrafodelista"/>
              <w:numPr>
                <w:ilvl w:val="1"/>
                <w:numId w:val="21"/>
              </w:numPr>
              <w:contextualSpacing/>
              <w:rPr>
                <w:rFonts w:cs="Calibri"/>
              </w:rPr>
            </w:pPr>
            <w:r w:rsidRPr="00D17133">
              <w:rPr>
                <w:rFonts w:cs="Calibri"/>
                <w:shd w:val="clear" w:color="auto" w:fill="FFFFFF"/>
              </w:rPr>
              <w:t xml:space="preserve">SC-CAMLR-XXXVII/BG/19 </w:t>
            </w:r>
            <w:r w:rsidRPr="00D17133">
              <w:rPr>
                <w:rFonts w:cs="Calibri"/>
                <w:i/>
                <w:iCs/>
                <w:shd w:val="clear" w:color="auto" w:fill="FFFFFF"/>
              </w:rPr>
              <w:t xml:space="preserve">Delivering enhanced data access through CCAMLR–SOOS collaboration </w:t>
            </w:r>
            <w:r w:rsidRPr="00D17133">
              <w:rPr>
                <w:rFonts w:cs="Calibri"/>
              </w:rPr>
              <w:t>(Multiple authors)</w:t>
            </w:r>
          </w:p>
          <w:p w14:paraId="3E847187" w14:textId="77777777" w:rsidR="009F018D" w:rsidRPr="00D17133" w:rsidRDefault="009F018D" w:rsidP="009F018D">
            <w:pPr>
              <w:pStyle w:val="Prrafodelista"/>
              <w:numPr>
                <w:ilvl w:val="1"/>
                <w:numId w:val="21"/>
              </w:numPr>
              <w:contextualSpacing/>
              <w:rPr>
                <w:rFonts w:cs="Calibri"/>
              </w:rPr>
            </w:pPr>
            <w:r w:rsidRPr="00D17133">
              <w:rPr>
                <w:rFonts w:cs="Calibri"/>
              </w:rPr>
              <w:t xml:space="preserve">SC-CAMLR-XXXVII/BG/31 </w:t>
            </w:r>
            <w:r w:rsidRPr="00D17133">
              <w:rPr>
                <w:rFonts w:cs="Calibri"/>
                <w:i/>
                <w:iCs/>
              </w:rPr>
              <w:t>Networks and tools to enhance collaboration and coordination of observational activities</w:t>
            </w:r>
            <w:r>
              <w:rPr>
                <w:rFonts w:cs="Calibri"/>
                <w:i/>
                <w:iCs/>
              </w:rPr>
              <w:t xml:space="preserve"> (SOOS)</w:t>
            </w:r>
          </w:p>
          <w:p w14:paraId="7A04178A" w14:textId="77777777" w:rsidR="009F018D" w:rsidRPr="00D17133" w:rsidRDefault="009F018D" w:rsidP="009F018D">
            <w:pPr>
              <w:pStyle w:val="Prrafodelista"/>
              <w:numPr>
                <w:ilvl w:val="1"/>
                <w:numId w:val="21"/>
              </w:numPr>
              <w:contextualSpacing/>
              <w:rPr>
                <w:rFonts w:cs="Calibri"/>
              </w:rPr>
            </w:pPr>
            <w:r w:rsidRPr="00D17133">
              <w:rPr>
                <w:rFonts w:cs="Calibri"/>
              </w:rPr>
              <w:t>SC-CAMLR-XXXVII/BG/22 Marine Ecosystem Assessment for the Southern Ocean (MEASO) (Multiple authors)</w:t>
            </w:r>
          </w:p>
          <w:p w14:paraId="0A07FEA0" w14:textId="77777777" w:rsidR="009F018D" w:rsidRPr="00D17133" w:rsidRDefault="009F018D" w:rsidP="009F018D">
            <w:pPr>
              <w:pStyle w:val="Prrafodelista"/>
              <w:numPr>
                <w:ilvl w:val="1"/>
                <w:numId w:val="21"/>
              </w:numPr>
              <w:contextualSpacing/>
              <w:rPr>
                <w:rFonts w:cs="Calibri"/>
              </w:rPr>
            </w:pPr>
            <w:r w:rsidRPr="00D17133">
              <w:rPr>
                <w:rFonts w:cs="Calibri"/>
                <w:shd w:val="clear" w:color="auto" w:fill="FFFFFF"/>
              </w:rPr>
              <w:t xml:space="preserve">SC-CAMLR-39/BG/12 </w:t>
            </w:r>
            <w:r w:rsidRPr="00D17133">
              <w:rPr>
                <w:rFonts w:cs="Calibri"/>
                <w:i/>
                <w:iCs/>
                <w:shd w:val="clear" w:color="auto" w:fill="FFFFFF"/>
              </w:rPr>
              <w:t>The United Nations’ Intergovernmental Panel on Climate Change’s (IPCC) Special Report on the Ocean and Cryosphere in a Changing Climate: what does CCAMLR need to know?</w:t>
            </w:r>
            <w:r w:rsidRPr="00D17133">
              <w:rPr>
                <w:rFonts w:cs="Calibri"/>
              </w:rPr>
              <w:t xml:space="preserve"> (Multiple authors)</w:t>
            </w:r>
          </w:p>
          <w:p w14:paraId="6FBFEC68" w14:textId="77777777" w:rsidR="009F018D" w:rsidRDefault="009F018D" w:rsidP="009F018D">
            <w:pPr>
              <w:pStyle w:val="Prrafodelista"/>
              <w:numPr>
                <w:ilvl w:val="1"/>
                <w:numId w:val="21"/>
              </w:numPr>
              <w:shd w:val="clear" w:color="auto" w:fill="FFFFFF"/>
              <w:contextualSpacing/>
              <w:rPr>
                <w:rFonts w:cs="Calibri"/>
                <w:lang w:val="en-US"/>
              </w:rPr>
            </w:pPr>
            <w:r w:rsidRPr="00D17133">
              <w:rPr>
                <w:rFonts w:cs="Calibri"/>
                <w:shd w:val="clear" w:color="auto" w:fill="FFFFFF"/>
              </w:rPr>
              <w:t>SC-CAMLR-39/BG/</w:t>
            </w:r>
            <w:r w:rsidRPr="00D17133">
              <w:rPr>
                <w:rFonts w:cs="Calibri"/>
                <w:i/>
                <w:iCs/>
                <w:shd w:val="clear" w:color="auto" w:fill="FFFFFF"/>
              </w:rPr>
              <w:t xml:space="preserve">22 </w:t>
            </w:r>
            <w:hyperlink r:id="rId13" w:history="1">
              <w:r w:rsidRPr="00D17133">
                <w:rPr>
                  <w:rFonts w:cs="Calibri"/>
                  <w:i/>
                  <w:iCs/>
                  <w:shd w:val="clear" w:color="auto" w:fill="FFFFFF"/>
                  <w:lang w:val="en-US"/>
                </w:rPr>
                <w:t>Climate change and CCAMLR – update on recent research</w:t>
              </w:r>
            </w:hyperlink>
            <w:r w:rsidRPr="00D17133">
              <w:rPr>
                <w:rFonts w:cs="Calibri"/>
                <w:lang w:val="en-US"/>
              </w:rPr>
              <w:t xml:space="preserve"> (SCAR)</w:t>
            </w:r>
          </w:p>
          <w:p w14:paraId="30DD3909" w14:textId="77777777" w:rsidR="009F018D" w:rsidRPr="00D17133" w:rsidRDefault="009F018D" w:rsidP="009F018D">
            <w:pPr>
              <w:pStyle w:val="Prrafodelista"/>
              <w:numPr>
                <w:ilvl w:val="0"/>
                <w:numId w:val="21"/>
              </w:numPr>
              <w:contextualSpacing/>
            </w:pPr>
            <w:r w:rsidRPr="00D17133">
              <w:t xml:space="preserve">In 2015, the Commission endorsed the formation of an ICG to consider approaches for integrating climate change into the work of CCAMLR and adopted </w:t>
            </w:r>
            <w:proofErr w:type="spellStart"/>
            <w:r w:rsidRPr="00D17133">
              <w:t>ToR</w:t>
            </w:r>
            <w:proofErr w:type="spellEnd"/>
            <w:r w:rsidRPr="00D17133">
              <w:t xml:space="preserve"> for this group (CCAMLR XXXIV para. 7.12 and Appendix 8). The </w:t>
            </w:r>
            <w:proofErr w:type="spellStart"/>
            <w:r w:rsidRPr="00D17133">
              <w:t>ToR</w:t>
            </w:r>
            <w:proofErr w:type="spellEnd"/>
            <w:r w:rsidRPr="00D17133">
              <w:t xml:space="preserve"> include developing recommendations for how the Commission might implement the outcomes of the Joint CEP/SC-CAMLR workshop to be held in 2016.</w:t>
            </w:r>
          </w:p>
          <w:p w14:paraId="31E1CD6F" w14:textId="77777777" w:rsidR="009F018D" w:rsidRPr="004B36D6" w:rsidRDefault="009F018D" w:rsidP="009F018D">
            <w:pPr>
              <w:pStyle w:val="Prrafodelista"/>
              <w:numPr>
                <w:ilvl w:val="0"/>
                <w:numId w:val="21"/>
              </w:numPr>
              <w:contextualSpacing/>
            </w:pPr>
            <w:r w:rsidRPr="00D17133">
              <w:rPr>
                <w:rFonts w:cs="Calibri"/>
              </w:rPr>
              <w:t>SCAR has been represented in the in the CCAMLR Climate Change e-group.</w:t>
            </w:r>
          </w:p>
          <w:p w14:paraId="3E92F9E2" w14:textId="77777777" w:rsidR="009F018D" w:rsidRPr="00D17133" w:rsidRDefault="009F018D" w:rsidP="009F018D">
            <w:pPr>
              <w:pStyle w:val="Prrafodelista"/>
              <w:numPr>
                <w:ilvl w:val="0"/>
                <w:numId w:val="21"/>
              </w:numPr>
              <w:contextualSpacing/>
            </w:pPr>
            <w:r w:rsidRPr="006348D3">
              <w:t xml:space="preserve"> In 2017, the Commission considered implementing a Climate Change Response Plan but was not able to </w:t>
            </w:r>
            <w:r w:rsidRPr="006348D3">
              <w:lastRenderedPageBreak/>
              <w:t xml:space="preserve">reach consensus to adopt the plan and associated </w:t>
            </w:r>
            <w:proofErr w:type="spellStart"/>
            <w:r w:rsidRPr="006348D3">
              <w:t>ToR</w:t>
            </w:r>
            <w:proofErr w:type="spellEnd"/>
            <w:r w:rsidRPr="006348D3">
              <w:t xml:space="preserve"> (CCAMRL-XXXVI 2017 para. 7.8)</w:t>
            </w:r>
            <w:r>
              <w:t>.</w:t>
            </w:r>
          </w:p>
          <w:p w14:paraId="278935C9" w14:textId="77777777" w:rsidR="009F018D" w:rsidRPr="0014624F" w:rsidRDefault="009F018D" w:rsidP="009F018D">
            <w:pPr>
              <w:pStyle w:val="Prrafodelista"/>
              <w:numPr>
                <w:ilvl w:val="0"/>
                <w:numId w:val="21"/>
              </w:numPr>
              <w:contextualSpacing/>
              <w:rPr>
                <w:rFonts w:cs="Calibri"/>
              </w:rPr>
            </w:pPr>
            <w:r w:rsidRPr="00D17133">
              <w:rPr>
                <w:rFonts w:cs="Calibri"/>
              </w:rPr>
              <w:t xml:space="preserve">In 2020, the Commission welcomed the intent to develop new </w:t>
            </w:r>
            <w:proofErr w:type="spellStart"/>
            <w:r w:rsidRPr="00D17133">
              <w:rPr>
                <w:rFonts w:cs="Calibri"/>
              </w:rPr>
              <w:t>ToR</w:t>
            </w:r>
            <w:proofErr w:type="spellEnd"/>
            <w:r w:rsidRPr="00D17133">
              <w:rPr>
                <w:rFonts w:cs="Calibri"/>
              </w:rPr>
              <w:t xml:space="preserve"> for the climate change e-group </w:t>
            </w:r>
            <w:proofErr w:type="gramStart"/>
            <w:r w:rsidRPr="00D17133">
              <w:rPr>
                <w:sz w:val="23"/>
                <w:szCs w:val="23"/>
              </w:rPr>
              <w:t>in order to</w:t>
            </w:r>
            <w:proofErr w:type="gramEnd"/>
            <w:r w:rsidRPr="00D17133">
              <w:rPr>
                <w:sz w:val="23"/>
                <w:szCs w:val="23"/>
              </w:rPr>
              <w:t xml:space="preserve"> further development of mechanisms to ensure the latest climate change research is integrated into the work of the Scientific Committee and considered in the development of management advice for the Commission (CCAMLR-39 para. 8.36).</w:t>
            </w:r>
          </w:p>
          <w:p w14:paraId="55E11BF6" w14:textId="77777777" w:rsidR="009F018D" w:rsidRPr="00D17133" w:rsidRDefault="009F018D" w:rsidP="009F018D">
            <w:pPr>
              <w:pStyle w:val="Prrafodelista"/>
              <w:numPr>
                <w:ilvl w:val="0"/>
                <w:numId w:val="21"/>
              </w:numPr>
              <w:contextualSpacing/>
            </w:pPr>
            <w:r w:rsidRPr="006348D3">
              <w:t xml:space="preserve">SC-CAMLR-40 </w:t>
            </w:r>
            <w:r>
              <w:t xml:space="preserve">(2021) </w:t>
            </w:r>
            <w:r w:rsidRPr="006348D3">
              <w:t xml:space="preserve">considered a proposal to update the </w:t>
            </w:r>
            <w:proofErr w:type="spellStart"/>
            <w:r w:rsidRPr="006348D3">
              <w:t>ToR</w:t>
            </w:r>
            <w:proofErr w:type="spellEnd"/>
            <w:r w:rsidRPr="006348D3">
              <w:t xml:space="preserve"> for the ‘Climate change impacts and CCAMLR’ e-group to allow the SC to assess the risks presented by Climate Change. While not endorsing the revised </w:t>
            </w:r>
            <w:proofErr w:type="spellStart"/>
            <w:r w:rsidRPr="006348D3">
              <w:t>ToR</w:t>
            </w:r>
            <w:proofErr w:type="spellEnd"/>
            <w:r w:rsidRPr="006348D3">
              <w:t>, the SC noted the importance of the group’s work (SC-CAMLR-40 para 5.4).</w:t>
            </w:r>
          </w:p>
        </w:tc>
        <w:tc>
          <w:tcPr>
            <w:tcW w:w="5509" w:type="dxa"/>
            <w:tcBorders>
              <w:top w:val="nil"/>
              <w:left w:val="nil"/>
              <w:bottom w:val="single" w:sz="4" w:space="0" w:color="auto"/>
              <w:right w:val="single" w:sz="4" w:space="0" w:color="auto"/>
            </w:tcBorders>
          </w:tcPr>
          <w:p w14:paraId="37FA9232" w14:textId="77777777" w:rsidR="009F018D" w:rsidRDefault="009F018D" w:rsidP="009F018D">
            <w:pPr>
              <w:pStyle w:val="Prrafodelista"/>
              <w:numPr>
                <w:ilvl w:val="0"/>
                <w:numId w:val="21"/>
              </w:numPr>
              <w:contextualSpacing/>
            </w:pPr>
            <w:r>
              <w:lastRenderedPageBreak/>
              <w:t xml:space="preserve">CEP XIX noted </w:t>
            </w:r>
            <w:r w:rsidRPr="000B2005">
              <w:t xml:space="preserve">that Recommendations 1 to 4 are closely aligned with actions prioritized in the existing Climate Change Response Work </w:t>
            </w:r>
            <w:proofErr w:type="gramStart"/>
            <w:r w:rsidRPr="000B2005">
              <w:t>Programme, and</w:t>
            </w:r>
            <w:proofErr w:type="gramEnd"/>
            <w:r w:rsidRPr="000B2005">
              <w:t xml:space="preserve"> encouraged further incorporation of these recommendations into CCRWP updates and the CEP’s 5-year work plan. SCAR noted that work was already underway or planned </w:t>
            </w:r>
            <w:proofErr w:type="gramStart"/>
            <w:r w:rsidRPr="000B2005">
              <w:t>in the near future</w:t>
            </w:r>
            <w:proofErr w:type="gramEnd"/>
            <w:r w:rsidRPr="000B2005">
              <w:t>, consistent with the priorities in the CCRWP</w:t>
            </w:r>
            <w:r>
              <w:t xml:space="preserve"> (CEP XIX Final Report para. 50)</w:t>
            </w:r>
            <w:r w:rsidRPr="000B2005">
              <w:t>.</w:t>
            </w:r>
          </w:p>
          <w:p w14:paraId="22C75C3C" w14:textId="77777777" w:rsidR="009F018D" w:rsidRDefault="009F018D" w:rsidP="009F018D">
            <w:pPr>
              <w:pStyle w:val="Prrafodelista"/>
              <w:numPr>
                <w:ilvl w:val="0"/>
                <w:numId w:val="21"/>
              </w:numPr>
              <w:contextualSpacing/>
            </w:pPr>
            <w:r>
              <w:t>Since the workshop, the CEP has welcomed several reports on the existing and planned activities of SCAR, WMO, ICED and SOOS, including:</w:t>
            </w:r>
          </w:p>
          <w:p w14:paraId="552A3BFE" w14:textId="77777777" w:rsidR="009F018D" w:rsidRDefault="009F018D" w:rsidP="009F018D">
            <w:pPr>
              <w:pStyle w:val="Prrafodelista"/>
              <w:numPr>
                <w:ilvl w:val="1"/>
                <w:numId w:val="21"/>
              </w:numPr>
              <w:contextualSpacing/>
            </w:pPr>
            <w:hyperlink r:id="rId14" w:history="1">
              <w:r w:rsidRPr="00651C57">
                <w:rPr>
                  <w:rStyle w:val="Hipervnculo"/>
                </w:rPr>
                <w:t>ATCM XL/IP052</w:t>
              </w:r>
            </w:hyperlink>
            <w:r>
              <w:t xml:space="preserve"> </w:t>
            </w:r>
            <w:r w:rsidRPr="00651C57">
              <w:rPr>
                <w:i/>
              </w:rPr>
              <w:t>Integrating Climate and Ecosystem Dynamics in the Southern Ocean (ICED) programme</w:t>
            </w:r>
            <w:r w:rsidRPr="00651C57">
              <w:t xml:space="preserve"> (United Kingdom)</w:t>
            </w:r>
          </w:p>
          <w:p w14:paraId="504C6314" w14:textId="77777777" w:rsidR="009F018D" w:rsidRDefault="009F018D" w:rsidP="009F018D">
            <w:pPr>
              <w:pStyle w:val="Prrafodelista"/>
              <w:numPr>
                <w:ilvl w:val="1"/>
                <w:numId w:val="21"/>
              </w:numPr>
              <w:contextualSpacing/>
            </w:pPr>
            <w:hyperlink r:id="rId15" w:history="1">
              <w:r w:rsidRPr="00AF23F9">
                <w:rPr>
                  <w:rStyle w:val="Hipervnculo"/>
                </w:rPr>
                <w:t>ATCM XL/IP068</w:t>
              </w:r>
            </w:hyperlink>
            <w:r>
              <w:t xml:space="preserve"> </w:t>
            </w:r>
            <w:r w:rsidRPr="00AF23F9">
              <w:rPr>
                <w:i/>
              </w:rPr>
              <w:t>Update on activities of the Southern Ocean Observing System (SOOS)</w:t>
            </w:r>
            <w:r w:rsidRPr="00DA16F7">
              <w:t xml:space="preserve"> (SCAR)</w:t>
            </w:r>
          </w:p>
          <w:p w14:paraId="1D81CE02" w14:textId="77777777" w:rsidR="009F018D" w:rsidRPr="00F22835" w:rsidRDefault="009F018D" w:rsidP="009F018D">
            <w:pPr>
              <w:pStyle w:val="Prrafodelista"/>
              <w:numPr>
                <w:ilvl w:val="1"/>
                <w:numId w:val="21"/>
              </w:numPr>
              <w:contextualSpacing/>
              <w:rPr>
                <w:i/>
              </w:rPr>
            </w:pPr>
            <w:hyperlink r:id="rId16" w:history="1">
              <w:r w:rsidRPr="00651C57">
                <w:rPr>
                  <w:rStyle w:val="Hipervnculo"/>
                </w:rPr>
                <w:t>ATCM XL/IP069</w:t>
              </w:r>
            </w:hyperlink>
            <w:r>
              <w:t xml:space="preserve"> </w:t>
            </w:r>
            <w:r w:rsidRPr="00651C57">
              <w:rPr>
                <w:i/>
              </w:rPr>
              <w:t>Mapping SCAR affiliated research to the CEP's Climate Change Response Work Programme (CCRWP)</w:t>
            </w:r>
            <w:r w:rsidRPr="00651C57">
              <w:t xml:space="preserve"> (SCAR)</w:t>
            </w:r>
          </w:p>
          <w:p w14:paraId="17C8F11B" w14:textId="77777777" w:rsidR="009F018D" w:rsidRDefault="009F018D" w:rsidP="009F018D">
            <w:pPr>
              <w:pStyle w:val="Prrafodelista"/>
              <w:numPr>
                <w:ilvl w:val="1"/>
                <w:numId w:val="21"/>
              </w:numPr>
              <w:contextualSpacing/>
            </w:pPr>
            <w:hyperlink r:id="rId17" w:history="1">
              <w:r w:rsidRPr="00F22835">
                <w:rPr>
                  <w:rStyle w:val="Hipervnculo"/>
                </w:rPr>
                <w:t>ATCM XL/IP80rev.1</w:t>
              </w:r>
            </w:hyperlink>
            <w:r w:rsidRPr="00F22835">
              <w:t xml:space="preserve"> </w:t>
            </w:r>
            <w:r w:rsidRPr="00F22835">
              <w:rPr>
                <w:i/>
              </w:rPr>
              <w:t>Antarctic Climate Change and the Environment – 2017 Update</w:t>
            </w:r>
            <w:r w:rsidRPr="00F22835">
              <w:t xml:space="preserve"> (SCAR)</w:t>
            </w:r>
          </w:p>
          <w:p w14:paraId="12D64C23" w14:textId="77777777" w:rsidR="009F018D" w:rsidRPr="00BB4959" w:rsidRDefault="009F018D" w:rsidP="009F018D">
            <w:pPr>
              <w:pStyle w:val="Prrafodelista"/>
              <w:numPr>
                <w:ilvl w:val="1"/>
                <w:numId w:val="21"/>
              </w:numPr>
              <w:contextualSpacing/>
              <w:rPr>
                <w:i/>
                <w:iCs/>
              </w:rPr>
            </w:pPr>
            <w:hyperlink r:id="rId18" w:history="1">
              <w:r w:rsidRPr="00BB4959">
                <w:rPr>
                  <w:rStyle w:val="Hipervnculo"/>
                </w:rPr>
                <w:t>ATCM XL/IP112</w:t>
              </w:r>
            </w:hyperlink>
            <w:r w:rsidRPr="00BB4959">
              <w:t xml:space="preserve"> </w:t>
            </w:r>
            <w:r w:rsidRPr="00BB4959">
              <w:rPr>
                <w:i/>
                <w:iCs/>
              </w:rPr>
              <w:t>WMO Annual Report 2016-2017</w:t>
            </w:r>
            <w:r w:rsidRPr="00BB4959">
              <w:rPr>
                <w:iCs/>
              </w:rPr>
              <w:t xml:space="preserve"> (WMO)</w:t>
            </w:r>
          </w:p>
          <w:p w14:paraId="42339E73" w14:textId="77777777" w:rsidR="009F018D" w:rsidRPr="00F22835" w:rsidRDefault="009F018D" w:rsidP="009F018D">
            <w:pPr>
              <w:pStyle w:val="Prrafodelista"/>
              <w:numPr>
                <w:ilvl w:val="1"/>
                <w:numId w:val="21"/>
              </w:numPr>
              <w:contextualSpacing/>
            </w:pPr>
            <w:hyperlink r:id="rId19" w:history="1">
              <w:r w:rsidRPr="0014761A">
                <w:rPr>
                  <w:rStyle w:val="Hipervnculo"/>
                </w:rPr>
                <w:t>ATCM XL/IP118</w:t>
              </w:r>
            </w:hyperlink>
            <w:r>
              <w:t xml:space="preserve"> </w:t>
            </w:r>
            <w:r>
              <w:rPr>
                <w:i/>
              </w:rPr>
              <w:t>Progress Update on WMO Polar Regional Climate Centres</w:t>
            </w:r>
            <w:r>
              <w:t xml:space="preserve"> (WMO)</w:t>
            </w:r>
          </w:p>
          <w:p w14:paraId="51528368" w14:textId="77777777" w:rsidR="009F018D" w:rsidRDefault="009F018D" w:rsidP="009F018D">
            <w:pPr>
              <w:pStyle w:val="Prrafodelista"/>
              <w:numPr>
                <w:ilvl w:val="1"/>
                <w:numId w:val="21"/>
              </w:numPr>
              <w:contextualSpacing/>
            </w:pPr>
            <w:hyperlink r:id="rId20" w:history="1">
              <w:r w:rsidRPr="00AF23F9">
                <w:rPr>
                  <w:rStyle w:val="Hipervnculo"/>
                </w:rPr>
                <w:t>ATCM XLI/IP033</w:t>
              </w:r>
            </w:hyperlink>
            <w:r>
              <w:t xml:space="preserve"> </w:t>
            </w:r>
            <w:r w:rsidRPr="00AF23F9">
              <w:rPr>
                <w:i/>
              </w:rPr>
              <w:t>Update on activities of the Southern Ocean Observing System (SOOS)</w:t>
            </w:r>
            <w:r w:rsidRPr="00AF23F9">
              <w:t xml:space="preserve"> (SCAR</w:t>
            </w:r>
            <w:r>
              <w:t>)</w:t>
            </w:r>
          </w:p>
          <w:p w14:paraId="6588209E" w14:textId="77777777" w:rsidR="009F018D" w:rsidRPr="00BB4959" w:rsidRDefault="009F018D" w:rsidP="009F018D">
            <w:pPr>
              <w:pStyle w:val="Prrafodelista"/>
              <w:numPr>
                <w:ilvl w:val="1"/>
                <w:numId w:val="21"/>
              </w:numPr>
              <w:contextualSpacing/>
              <w:rPr>
                <w:i/>
                <w:iCs/>
              </w:rPr>
            </w:pPr>
            <w:hyperlink r:id="rId21" w:history="1">
              <w:r w:rsidRPr="00F15612">
                <w:rPr>
                  <w:rStyle w:val="Hipervnculo"/>
                </w:rPr>
                <w:t>ATCM XLI/IP047</w:t>
              </w:r>
            </w:hyperlink>
            <w:r>
              <w:t xml:space="preserve"> </w:t>
            </w:r>
            <w:r w:rsidRPr="00BB4959">
              <w:rPr>
                <w:i/>
                <w:iCs/>
              </w:rPr>
              <w:t>WMO Annual Report 2017-2018</w:t>
            </w:r>
            <w:r>
              <w:rPr>
                <w:iCs/>
              </w:rPr>
              <w:t xml:space="preserve"> (WMO)</w:t>
            </w:r>
          </w:p>
          <w:p w14:paraId="3258468F" w14:textId="77777777" w:rsidR="009F018D" w:rsidRDefault="009F018D" w:rsidP="009F018D">
            <w:pPr>
              <w:pStyle w:val="Prrafodelista"/>
              <w:numPr>
                <w:ilvl w:val="1"/>
                <w:numId w:val="21"/>
              </w:numPr>
              <w:contextualSpacing/>
            </w:pPr>
            <w:hyperlink r:id="rId22" w:history="1">
              <w:r w:rsidRPr="00AF23F9">
                <w:rPr>
                  <w:rStyle w:val="Hipervnculo"/>
                </w:rPr>
                <w:t>ATCM XLII/IP075</w:t>
              </w:r>
            </w:hyperlink>
            <w:r>
              <w:t xml:space="preserve"> </w:t>
            </w:r>
            <w:r w:rsidRPr="00AF23F9">
              <w:t>Update on activities of the Southern Ocean Observing System (SOOS) (SCAR)</w:t>
            </w:r>
          </w:p>
          <w:p w14:paraId="7F97AAC5" w14:textId="77777777" w:rsidR="009F018D" w:rsidRPr="00BB4959" w:rsidRDefault="009F018D" w:rsidP="009F018D">
            <w:pPr>
              <w:pStyle w:val="Prrafodelista"/>
              <w:numPr>
                <w:ilvl w:val="1"/>
                <w:numId w:val="21"/>
              </w:numPr>
              <w:contextualSpacing/>
            </w:pPr>
            <w:hyperlink r:id="rId23" w:history="1">
              <w:r w:rsidRPr="00BB4959">
                <w:rPr>
                  <w:rStyle w:val="Hipervnculo"/>
                </w:rPr>
                <w:t>ATCM XLII/IP092</w:t>
              </w:r>
            </w:hyperlink>
            <w:r w:rsidRPr="00BB4959">
              <w:t xml:space="preserve"> </w:t>
            </w:r>
            <w:r w:rsidRPr="00BB4959">
              <w:rPr>
                <w:i/>
              </w:rPr>
              <w:t>WMO Annual Report 2018-2019</w:t>
            </w:r>
            <w:r>
              <w:t xml:space="preserve"> (WMO)</w:t>
            </w:r>
          </w:p>
          <w:p w14:paraId="787F4B10" w14:textId="77777777" w:rsidR="009F018D" w:rsidRDefault="009F018D" w:rsidP="009F018D">
            <w:pPr>
              <w:pStyle w:val="Prrafodelista"/>
              <w:numPr>
                <w:ilvl w:val="1"/>
                <w:numId w:val="21"/>
              </w:numPr>
              <w:contextualSpacing/>
            </w:pPr>
            <w:hyperlink r:id="rId24" w:history="1">
              <w:r w:rsidRPr="00F22835">
                <w:rPr>
                  <w:rStyle w:val="Hipervnculo"/>
                </w:rPr>
                <w:t>ATCM XLII/IP136</w:t>
              </w:r>
            </w:hyperlink>
            <w:r>
              <w:t xml:space="preserve"> </w:t>
            </w:r>
            <w:r w:rsidRPr="00F22835">
              <w:rPr>
                <w:i/>
              </w:rPr>
              <w:t>Antarctic Climate Change and the Environment – 2019 Updat</w:t>
            </w:r>
            <w:r w:rsidRPr="00F22835">
              <w:t>e (SCAR)</w:t>
            </w:r>
          </w:p>
          <w:p w14:paraId="466F9C9F" w14:textId="77777777" w:rsidR="009F018D" w:rsidRPr="00BB4959" w:rsidRDefault="009F018D" w:rsidP="009F018D">
            <w:pPr>
              <w:pStyle w:val="Prrafodelista"/>
              <w:numPr>
                <w:ilvl w:val="1"/>
                <w:numId w:val="21"/>
              </w:numPr>
              <w:contextualSpacing/>
            </w:pPr>
            <w:hyperlink r:id="rId25" w:history="1">
              <w:r w:rsidRPr="00BB4959">
                <w:rPr>
                  <w:rStyle w:val="Hipervnculo"/>
                </w:rPr>
                <w:t>ATCM XLII/IP135</w:t>
              </w:r>
            </w:hyperlink>
            <w:r w:rsidRPr="00BB4959">
              <w:t xml:space="preserve"> </w:t>
            </w:r>
            <w:r w:rsidRPr="00BB4959">
              <w:rPr>
                <w:i/>
              </w:rPr>
              <w:t>SCAR Science Lecture 2019: What Does the Paris Climate Agreement mean for Antarctic and Southern Ocean Environmental Protection?</w:t>
            </w:r>
            <w:r w:rsidRPr="00BB4959">
              <w:t xml:space="preserve"> (SCAR)</w:t>
            </w:r>
          </w:p>
          <w:p w14:paraId="42D86AAF" w14:textId="77777777" w:rsidR="009F018D" w:rsidRPr="00BB4959" w:rsidRDefault="009F018D" w:rsidP="009F018D">
            <w:pPr>
              <w:pStyle w:val="Prrafodelista"/>
              <w:numPr>
                <w:ilvl w:val="1"/>
                <w:numId w:val="21"/>
              </w:numPr>
              <w:contextualSpacing/>
            </w:pPr>
            <w:hyperlink r:id="rId26" w:history="1">
              <w:r w:rsidRPr="00F22835">
                <w:rPr>
                  <w:rStyle w:val="Hipervnculo"/>
                </w:rPr>
                <w:t>ATCM XLII/IP136</w:t>
              </w:r>
            </w:hyperlink>
            <w:r>
              <w:t xml:space="preserve"> </w:t>
            </w:r>
            <w:r w:rsidRPr="00F22835">
              <w:rPr>
                <w:i/>
              </w:rPr>
              <w:t xml:space="preserve">Antarctic Climate Change and </w:t>
            </w:r>
            <w:r w:rsidRPr="00BB4959">
              <w:rPr>
                <w:i/>
              </w:rPr>
              <w:t>the Environment – 2019 Updat</w:t>
            </w:r>
            <w:r w:rsidRPr="00BB4959">
              <w:t>e (SCAR)</w:t>
            </w:r>
          </w:p>
          <w:p w14:paraId="03819D23" w14:textId="77777777" w:rsidR="009F018D" w:rsidRPr="00BB4959" w:rsidRDefault="009F018D" w:rsidP="009F018D">
            <w:pPr>
              <w:pStyle w:val="Prrafodelista"/>
              <w:numPr>
                <w:ilvl w:val="1"/>
                <w:numId w:val="21"/>
              </w:numPr>
              <w:contextualSpacing/>
            </w:pPr>
            <w:hyperlink r:id="rId27" w:history="1">
              <w:r w:rsidRPr="00BB4959">
                <w:rPr>
                  <w:rStyle w:val="Hipervnculo"/>
                </w:rPr>
                <w:t>ATCM XLIII/WP017</w:t>
              </w:r>
            </w:hyperlink>
            <w:r w:rsidRPr="00BB4959">
              <w:t xml:space="preserve"> </w:t>
            </w:r>
            <w:r w:rsidRPr="00BB4959">
              <w:rPr>
                <w:i/>
              </w:rPr>
              <w:t>Antarctic and Southern Ocean Climate Change in a Global Context</w:t>
            </w:r>
            <w:r w:rsidRPr="00BB4959">
              <w:t xml:space="preserve"> (SCAR)</w:t>
            </w:r>
          </w:p>
          <w:p w14:paraId="1E75E7DD" w14:textId="77777777" w:rsidR="009F018D" w:rsidRPr="00BB4959" w:rsidRDefault="009F018D" w:rsidP="009F018D">
            <w:pPr>
              <w:pStyle w:val="Prrafodelista"/>
              <w:numPr>
                <w:ilvl w:val="1"/>
                <w:numId w:val="21"/>
              </w:numPr>
              <w:contextualSpacing/>
            </w:pPr>
            <w:hyperlink r:id="rId28" w:history="1">
              <w:r w:rsidRPr="00BB4959">
                <w:rPr>
                  <w:rStyle w:val="Hipervnculo"/>
                </w:rPr>
                <w:t>ATCM XLIII/WP037</w:t>
              </w:r>
            </w:hyperlink>
            <w:r w:rsidRPr="00BB4959">
              <w:t xml:space="preserve"> </w:t>
            </w:r>
            <w:r w:rsidRPr="00BB4959">
              <w:rPr>
                <w:i/>
              </w:rPr>
              <w:t>Projections of future population decline emphasise the need to designate the emperor penguin as an Antarctic Specially Protected Species</w:t>
            </w:r>
            <w:r w:rsidRPr="00BB4959">
              <w:t xml:space="preserve"> (SCAR)</w:t>
            </w:r>
          </w:p>
          <w:p w14:paraId="2C4CB9D7" w14:textId="77777777" w:rsidR="009F018D" w:rsidRPr="00BB4959" w:rsidRDefault="009F018D" w:rsidP="009F018D">
            <w:pPr>
              <w:pStyle w:val="Prrafodelista"/>
              <w:numPr>
                <w:ilvl w:val="1"/>
                <w:numId w:val="21"/>
              </w:numPr>
              <w:contextualSpacing/>
              <w:rPr>
                <w:rStyle w:val="Hipervnculo"/>
                <w:i/>
                <w:iCs/>
              </w:rPr>
            </w:pPr>
            <w:hyperlink r:id="rId29" w:history="1">
              <w:r w:rsidRPr="00BB4959">
                <w:rPr>
                  <w:rStyle w:val="Hipervnculo"/>
                </w:rPr>
                <w:t>ATCM XLIII/IP022rev.1</w:t>
              </w:r>
            </w:hyperlink>
            <w:r w:rsidRPr="00BB4959">
              <w:rPr>
                <w:rStyle w:val="Hipervnculo"/>
              </w:rPr>
              <w:t xml:space="preserve"> </w:t>
            </w:r>
            <w:r w:rsidRPr="00BB4959">
              <w:rPr>
                <w:rStyle w:val="Hipervnculo"/>
                <w:i/>
                <w:iCs/>
              </w:rPr>
              <w:t xml:space="preserve">Projections of future population decline emphasise the need to designate the emperor penguin as an Antarctic Specially Protected Species </w:t>
            </w:r>
            <w:r w:rsidRPr="00BB4959">
              <w:rPr>
                <w:rStyle w:val="Hipervnculo"/>
                <w:iCs/>
              </w:rPr>
              <w:t>(SCAR)</w:t>
            </w:r>
          </w:p>
          <w:p w14:paraId="16823B8F" w14:textId="77777777" w:rsidR="009F018D" w:rsidRPr="00BB4959" w:rsidRDefault="009F018D" w:rsidP="009F018D">
            <w:pPr>
              <w:pStyle w:val="Prrafodelista"/>
              <w:numPr>
                <w:ilvl w:val="1"/>
                <w:numId w:val="21"/>
              </w:numPr>
              <w:contextualSpacing/>
            </w:pPr>
            <w:hyperlink r:id="rId30" w:history="1">
              <w:r w:rsidRPr="00BB4959">
                <w:rPr>
                  <w:rStyle w:val="Hipervnculo"/>
                </w:rPr>
                <w:t>ATCM XLIII/IP093</w:t>
              </w:r>
            </w:hyperlink>
            <w:r w:rsidRPr="00BB4959">
              <w:t xml:space="preserve"> </w:t>
            </w:r>
            <w:r w:rsidRPr="00BB4959">
              <w:rPr>
                <w:i/>
              </w:rPr>
              <w:t xml:space="preserve">WMO Annual Report </w:t>
            </w:r>
            <w:r w:rsidRPr="00BB4959">
              <w:t>(WMO)</w:t>
            </w:r>
          </w:p>
          <w:p w14:paraId="1D33973F" w14:textId="77777777" w:rsidR="009F018D" w:rsidRPr="00BB4959" w:rsidRDefault="009F018D" w:rsidP="009F018D">
            <w:pPr>
              <w:pStyle w:val="Prrafodelista"/>
              <w:numPr>
                <w:ilvl w:val="1"/>
                <w:numId w:val="21"/>
              </w:numPr>
              <w:contextualSpacing/>
            </w:pPr>
            <w:hyperlink r:id="rId31" w:history="1">
              <w:r w:rsidRPr="00BB4959">
                <w:rPr>
                  <w:rStyle w:val="Hipervnculo"/>
                </w:rPr>
                <w:t>ATCM XLIII/IP095</w:t>
              </w:r>
            </w:hyperlink>
            <w:r w:rsidRPr="00BB4959">
              <w:t xml:space="preserve"> </w:t>
            </w:r>
            <w:r w:rsidRPr="00BB4959">
              <w:rPr>
                <w:i/>
              </w:rPr>
              <w:t>Antarctic Regional Climate Centre Network: the scope and concept</w:t>
            </w:r>
            <w:r w:rsidRPr="00BB4959">
              <w:t xml:space="preserve"> (WMO)</w:t>
            </w:r>
          </w:p>
          <w:p w14:paraId="5F3E0B80" w14:textId="77777777" w:rsidR="009F018D" w:rsidRPr="008C3E0E" w:rsidRDefault="009F018D" w:rsidP="009F018D">
            <w:pPr>
              <w:pStyle w:val="Prrafodelista"/>
              <w:numPr>
                <w:ilvl w:val="0"/>
                <w:numId w:val="21"/>
              </w:numPr>
              <w:contextualSpacing/>
            </w:pPr>
            <w:r w:rsidRPr="008C3E0E">
              <w:t xml:space="preserve">The </w:t>
            </w:r>
            <w:hyperlink r:id="rId32" w:history="1">
              <w:r w:rsidRPr="00581424">
                <w:rPr>
                  <w:rStyle w:val="Hipervnculo"/>
                </w:rPr>
                <w:t>CEP Climate Change Response Work Programme (CCRWP)</w:t>
              </w:r>
            </w:hyperlink>
            <w:r w:rsidRPr="008C3E0E">
              <w:t xml:space="preserve"> adopted at CEP XIX in 2016 </w:t>
            </w:r>
            <w:r>
              <w:t>identifies</w:t>
            </w:r>
            <w:r w:rsidRPr="008C3E0E">
              <w:t xml:space="preserve"> related actions, including:</w:t>
            </w:r>
          </w:p>
          <w:p w14:paraId="6A4C0F81" w14:textId="77777777" w:rsidR="009F018D" w:rsidRDefault="009F018D" w:rsidP="009F018D">
            <w:pPr>
              <w:pStyle w:val="Prrafodelista"/>
              <w:numPr>
                <w:ilvl w:val="1"/>
                <w:numId w:val="21"/>
              </w:numPr>
              <w:contextualSpacing/>
            </w:pPr>
            <w:r w:rsidRPr="008C3E0E">
              <w:t xml:space="preserve">Support and undertake collaborative </w:t>
            </w:r>
            <w:proofErr w:type="gramStart"/>
            <w:r w:rsidRPr="008C3E0E">
              <w:t>long term</w:t>
            </w:r>
            <w:proofErr w:type="gramEnd"/>
            <w:r w:rsidRPr="008C3E0E">
              <w:t xml:space="preserve"> monitoring of change (e</w:t>
            </w:r>
            <w:r>
              <w:t>.</w:t>
            </w:r>
            <w:r w:rsidRPr="008C3E0E">
              <w:t>g. SOOS, ANTOS) and seek regular state of knowledge reports from such programmes</w:t>
            </w:r>
            <w:r>
              <w:t>.</w:t>
            </w:r>
          </w:p>
          <w:p w14:paraId="02FBB82F" w14:textId="77777777" w:rsidR="009F018D" w:rsidRDefault="009F018D" w:rsidP="009F018D">
            <w:pPr>
              <w:pStyle w:val="Prrafodelista"/>
              <w:numPr>
                <w:ilvl w:val="1"/>
                <w:numId w:val="21"/>
              </w:numPr>
              <w:contextualSpacing/>
            </w:pPr>
            <w:r w:rsidRPr="008C3E0E">
              <w:t>SCAR to assimilate overview of how existing research programmes (such as SOOS and ANTOS) can contribute to CEP’s management interests.</w:t>
            </w:r>
          </w:p>
          <w:p w14:paraId="0DD5A145" w14:textId="77777777" w:rsidR="009F018D" w:rsidRDefault="009F018D" w:rsidP="009F018D">
            <w:pPr>
              <w:pStyle w:val="Prrafodelista"/>
              <w:numPr>
                <w:ilvl w:val="1"/>
                <w:numId w:val="21"/>
              </w:numPr>
              <w:contextualSpacing/>
            </w:pPr>
            <w:r w:rsidRPr="008C3E0E">
              <w:t>CEP Chair to write to Steering Committees of relevant international research programmes (</w:t>
            </w:r>
            <w:proofErr w:type="gramStart"/>
            <w:r w:rsidRPr="008C3E0E">
              <w:t>e.g.</w:t>
            </w:r>
            <w:proofErr w:type="gramEnd"/>
            <w:r w:rsidRPr="008C3E0E">
              <w:t xml:space="preserve"> ICED) to request regular update reports.</w:t>
            </w:r>
          </w:p>
          <w:p w14:paraId="57987E67" w14:textId="77777777" w:rsidR="009F018D" w:rsidRDefault="009F018D" w:rsidP="009F018D">
            <w:pPr>
              <w:pStyle w:val="Prrafodelista"/>
              <w:numPr>
                <w:ilvl w:val="0"/>
                <w:numId w:val="21"/>
              </w:numPr>
              <w:contextualSpacing/>
            </w:pPr>
            <w:r>
              <w:t>SCAR and WMO have also been represented in the Subsidiary Group on Climate Change Response (SGCCR).</w:t>
            </w:r>
          </w:p>
          <w:p w14:paraId="103617F4" w14:textId="77777777" w:rsidR="009F018D" w:rsidRPr="00D17133" w:rsidRDefault="009F018D" w:rsidP="009F018D">
            <w:pPr>
              <w:pStyle w:val="Prrafodelista"/>
              <w:numPr>
                <w:ilvl w:val="0"/>
                <w:numId w:val="21"/>
              </w:numPr>
              <w:contextualSpacing/>
            </w:pPr>
            <w:r>
              <w:t xml:space="preserve">At CEP XXIII, the Committee thanked SCAR for its high quality, comprehensive and important papers clearly highlighting the implications of climate change for the emperor </w:t>
            </w:r>
            <w:proofErr w:type="gramStart"/>
            <w:r>
              <w:t>penguin, and</w:t>
            </w:r>
            <w:proofErr w:type="gramEnd"/>
            <w:r>
              <w:t xml:space="preserve"> agreed to establish an ICG to prepare a revised draft action plan for the emperor penguin (CEP XXIII Final Report paras. 187, 194).</w:t>
            </w:r>
          </w:p>
        </w:tc>
      </w:tr>
      <w:tr w:rsidR="009F018D" w:rsidRPr="00F13694" w14:paraId="0076EDF3" w14:textId="77777777" w:rsidTr="00A12816">
        <w:trPr>
          <w:trHeight w:val="2030"/>
        </w:trPr>
        <w:tc>
          <w:tcPr>
            <w:tcW w:w="702" w:type="dxa"/>
            <w:tcBorders>
              <w:top w:val="nil"/>
              <w:left w:val="single" w:sz="4" w:space="0" w:color="auto"/>
              <w:bottom w:val="single" w:sz="4" w:space="0" w:color="auto"/>
              <w:right w:val="single" w:sz="4" w:space="0" w:color="auto"/>
            </w:tcBorders>
            <w:hideMark/>
          </w:tcPr>
          <w:p w14:paraId="1DB03D03" w14:textId="77777777" w:rsidR="009F018D" w:rsidRPr="00F13694" w:rsidRDefault="009F018D" w:rsidP="00A12816">
            <w:r w:rsidRPr="00F13694">
              <w:lastRenderedPageBreak/>
              <w:t>2</w:t>
            </w:r>
          </w:p>
        </w:tc>
        <w:tc>
          <w:tcPr>
            <w:tcW w:w="2336" w:type="dxa"/>
            <w:tcBorders>
              <w:top w:val="nil"/>
              <w:left w:val="nil"/>
              <w:bottom w:val="single" w:sz="4" w:space="0" w:color="auto"/>
              <w:right w:val="single" w:sz="4" w:space="0" w:color="auto"/>
            </w:tcBorders>
            <w:hideMark/>
          </w:tcPr>
          <w:p w14:paraId="0D216F6A" w14:textId="77777777" w:rsidR="009F018D" w:rsidRPr="004B36D6" w:rsidRDefault="009F018D" w:rsidP="00A12816">
            <w:r w:rsidRPr="004B36D6">
              <w:t xml:space="preserve">Encourage the articulation of clear questions to be addressed to scientific programmes </w:t>
            </w:r>
            <w:proofErr w:type="gramStart"/>
            <w:r w:rsidRPr="004B36D6">
              <w:t>in order to</w:t>
            </w:r>
            <w:proofErr w:type="gramEnd"/>
            <w:r w:rsidRPr="004B36D6">
              <w:t xml:space="preserve"> obtain the best scientific advice relevant to the goals of the CEP and SC-CAMLR. </w:t>
            </w:r>
          </w:p>
        </w:tc>
        <w:tc>
          <w:tcPr>
            <w:tcW w:w="5509" w:type="dxa"/>
            <w:tcBorders>
              <w:top w:val="nil"/>
              <w:left w:val="nil"/>
              <w:bottom w:val="single" w:sz="4" w:space="0" w:color="auto"/>
              <w:right w:val="single" w:sz="4" w:space="0" w:color="auto"/>
            </w:tcBorders>
            <w:hideMark/>
          </w:tcPr>
          <w:p w14:paraId="56BBE862" w14:textId="77777777" w:rsidR="009F018D" w:rsidRPr="009E58F8" w:rsidRDefault="009F018D" w:rsidP="009F018D">
            <w:pPr>
              <w:pStyle w:val="Prrafodelista"/>
              <w:numPr>
                <w:ilvl w:val="0"/>
                <w:numId w:val="21"/>
              </w:numPr>
              <w:contextualSpacing/>
            </w:pPr>
            <w:r w:rsidRPr="009E58F8">
              <w:rPr>
                <w:rFonts w:cs="Calibri"/>
              </w:rPr>
              <w:t>The 2017 five-year work plan (SC-CAMLR-XXXVI/BG/40</w:t>
            </w:r>
            <w:r w:rsidRPr="009E58F8">
              <w:rPr>
                <w:rFonts w:cs="Calibri"/>
                <w:lang w:val="en-US"/>
              </w:rPr>
              <w:t xml:space="preserve"> </w:t>
            </w:r>
            <w:r w:rsidRPr="009E58F8">
              <w:rPr>
                <w:rFonts w:cs="Calibri"/>
                <w:i/>
                <w:iCs/>
                <w:lang w:val="en-US"/>
              </w:rPr>
              <w:t>Development</w:t>
            </w:r>
            <w:r w:rsidRPr="009E58F8">
              <w:rPr>
                <w:rFonts w:cs="Calibri"/>
                <w:i/>
                <w:iCs/>
                <w:spacing w:val="-1"/>
                <w:lang w:val="en-US"/>
              </w:rPr>
              <w:t xml:space="preserve"> </w:t>
            </w:r>
            <w:r w:rsidRPr="009E58F8">
              <w:rPr>
                <w:rFonts w:cs="Calibri"/>
                <w:i/>
                <w:iCs/>
                <w:lang w:val="en-US"/>
              </w:rPr>
              <w:t>of a</w:t>
            </w:r>
            <w:r w:rsidRPr="009E58F8">
              <w:rPr>
                <w:rFonts w:cs="Calibri"/>
                <w:i/>
                <w:iCs/>
                <w:spacing w:val="-1"/>
                <w:lang w:val="en-US"/>
              </w:rPr>
              <w:t xml:space="preserve"> </w:t>
            </w:r>
            <w:r w:rsidRPr="009E58F8">
              <w:rPr>
                <w:rFonts w:cs="Calibri"/>
                <w:i/>
                <w:iCs/>
                <w:lang w:val="en-US"/>
              </w:rPr>
              <w:t>five-year work plan for the CCAMLR</w:t>
            </w:r>
            <w:r w:rsidRPr="009E58F8">
              <w:rPr>
                <w:rFonts w:cs="Calibri"/>
                <w:i/>
                <w:iCs/>
                <w:spacing w:val="-1"/>
                <w:lang w:val="en-US"/>
              </w:rPr>
              <w:t xml:space="preserve"> </w:t>
            </w:r>
            <w:r w:rsidRPr="009E58F8">
              <w:rPr>
                <w:rFonts w:cs="Calibri"/>
                <w:i/>
                <w:iCs/>
                <w:lang w:val="en-US"/>
              </w:rPr>
              <w:t>Scientific Committee</w:t>
            </w:r>
            <w:r w:rsidRPr="009E58F8">
              <w:rPr>
                <w:rFonts w:cs="Calibri"/>
                <w:lang w:val="en-US"/>
              </w:rPr>
              <w:t xml:space="preserve">) </w:t>
            </w:r>
            <w:r w:rsidRPr="009E58F8">
              <w:rPr>
                <w:rFonts w:cs="Calibri"/>
              </w:rPr>
              <w:t xml:space="preserve">includes the theme of spatial management of impacts on the Antarctic ecosystem and the development of research and monitoring plans for existing CCAMLR MPAs. The plan points to the use of spatial management to assist in understanding climate change impacts. </w:t>
            </w:r>
            <w:r w:rsidRPr="009E58F8">
              <w:t>The SC noted that climate change is a coherent thread throughout its work plan and essential to the work of the SC. The SC Chair suggested that climate change should be addressed at each working group (SC-CAMLR XXXVI para. 13.2).</w:t>
            </w:r>
          </w:p>
          <w:p w14:paraId="01CEDE42" w14:textId="77777777" w:rsidR="009F018D" w:rsidRPr="009E58F8" w:rsidRDefault="009F018D" w:rsidP="009F018D">
            <w:pPr>
              <w:pStyle w:val="Prrafodelista"/>
              <w:numPr>
                <w:ilvl w:val="0"/>
                <w:numId w:val="21"/>
              </w:numPr>
              <w:contextualSpacing/>
            </w:pPr>
            <w:r w:rsidRPr="009E58F8">
              <w:t xml:space="preserve">In 2017, the Commission considered implementing a Climate Change Response Plan but was not able to reach consensus to adopt the plan and associated </w:t>
            </w:r>
            <w:proofErr w:type="spellStart"/>
            <w:r w:rsidRPr="009E58F8">
              <w:t>ToR</w:t>
            </w:r>
            <w:proofErr w:type="spellEnd"/>
            <w:r w:rsidRPr="009E58F8">
              <w:t xml:space="preserve"> (CCAMRL-XXXVI 2017 para. 7.8)</w:t>
            </w:r>
          </w:p>
          <w:p w14:paraId="7831379B" w14:textId="77777777" w:rsidR="009F018D" w:rsidRDefault="009F018D" w:rsidP="009F018D">
            <w:pPr>
              <w:pStyle w:val="Prrafodelista"/>
              <w:numPr>
                <w:ilvl w:val="0"/>
                <w:numId w:val="21"/>
              </w:numPr>
              <w:spacing w:after="160" w:line="259" w:lineRule="auto"/>
              <w:contextualSpacing/>
            </w:pPr>
            <w:r w:rsidRPr="009E58F8">
              <w:t xml:space="preserve">Scientists from the SC-CAMLR community are regularly invited to participate in workshops and meetings held by external scientific programs where questions are posed as to research programs, e.g., Annual SCAR Krill Action Group meeting (2022) and are involved in posing and answering scientific questions. </w:t>
            </w:r>
          </w:p>
          <w:p w14:paraId="132F26E8" w14:textId="77777777" w:rsidR="009F018D" w:rsidRPr="009E58F8" w:rsidRDefault="009F018D" w:rsidP="00A12816">
            <w:pPr>
              <w:pStyle w:val="Prrafodelista"/>
              <w:ind w:left="360"/>
            </w:pPr>
          </w:p>
        </w:tc>
        <w:tc>
          <w:tcPr>
            <w:tcW w:w="5509" w:type="dxa"/>
            <w:tcBorders>
              <w:top w:val="nil"/>
              <w:left w:val="nil"/>
              <w:bottom w:val="single" w:sz="4" w:space="0" w:color="auto"/>
              <w:right w:val="single" w:sz="4" w:space="0" w:color="auto"/>
            </w:tcBorders>
          </w:tcPr>
          <w:p w14:paraId="12F44490" w14:textId="77777777" w:rsidR="009F018D" w:rsidRPr="00ED3521" w:rsidRDefault="009F018D" w:rsidP="009F018D">
            <w:pPr>
              <w:pStyle w:val="Prrafodelista"/>
              <w:numPr>
                <w:ilvl w:val="0"/>
                <w:numId w:val="21"/>
              </w:numPr>
              <w:contextualSpacing/>
            </w:pPr>
            <w:r w:rsidRPr="00ED3521">
              <w:t>At CEP XXI (2018) the Committee decided to update the format of its rolling five-year work plan to identify science, knowledge and information needs related to priority issues, including ‘Climate Change Implications for the Environment’</w:t>
            </w:r>
            <w:r>
              <w:t xml:space="preserve"> (CEP XXI Final Report para. 134)</w:t>
            </w:r>
            <w:r w:rsidRPr="00ED3521">
              <w:t>.</w:t>
            </w:r>
            <w:r>
              <w:t xml:space="preserve"> </w:t>
            </w:r>
          </w:p>
          <w:p w14:paraId="3FF6F738" w14:textId="77777777" w:rsidR="009F018D" w:rsidRPr="00BB4959" w:rsidRDefault="009F018D" w:rsidP="009F018D">
            <w:pPr>
              <w:pStyle w:val="Prrafodelista"/>
              <w:numPr>
                <w:ilvl w:val="0"/>
                <w:numId w:val="21"/>
              </w:numPr>
              <w:contextualSpacing/>
              <w:rPr>
                <w:rFonts w:cs="Calibri"/>
              </w:rPr>
            </w:pPr>
            <w:r>
              <w:t xml:space="preserve">As indicated in </w:t>
            </w:r>
            <w:hyperlink r:id="rId33" w:history="1">
              <w:r w:rsidRPr="00581424">
                <w:rPr>
                  <w:rStyle w:val="Hipervnculo"/>
                </w:rPr>
                <w:t>ATCM XLIII/WP014</w:t>
              </w:r>
            </w:hyperlink>
            <w:r>
              <w:t>, the SGCCR</w:t>
            </w:r>
            <w:r w:rsidRPr="00ED3521">
              <w:t xml:space="preserve"> has worked to identify science required to inform implementation of the CCRWP</w:t>
            </w:r>
            <w:r>
              <w:t xml:space="preserve">. To help facilitate communication of these to researchers (for example, in SCAR, WMO and other research organisations) in a succinct and easily understood manner, at CEP XXIII </w:t>
            </w:r>
            <w:r w:rsidRPr="00ED3521">
              <w:t xml:space="preserve">(2021) the Committee agreed add those science </w:t>
            </w:r>
            <w:r>
              <w:t xml:space="preserve">needs </w:t>
            </w:r>
            <w:r w:rsidRPr="00ED3521">
              <w:t>to CEP five-year work plan</w:t>
            </w:r>
            <w:r>
              <w:t xml:space="preserve"> (CEP XXIII Final Report para. 41)</w:t>
            </w:r>
            <w:r w:rsidRPr="00ED3521">
              <w:t>.</w:t>
            </w:r>
          </w:p>
        </w:tc>
      </w:tr>
      <w:tr w:rsidR="009F018D" w:rsidRPr="00F13694" w14:paraId="7CEFFFCE" w14:textId="77777777" w:rsidTr="00A12816">
        <w:trPr>
          <w:trHeight w:val="703"/>
        </w:trPr>
        <w:tc>
          <w:tcPr>
            <w:tcW w:w="702" w:type="dxa"/>
            <w:tcBorders>
              <w:top w:val="nil"/>
              <w:left w:val="single" w:sz="4" w:space="0" w:color="auto"/>
              <w:bottom w:val="single" w:sz="4" w:space="0" w:color="auto"/>
              <w:right w:val="single" w:sz="4" w:space="0" w:color="auto"/>
            </w:tcBorders>
            <w:hideMark/>
          </w:tcPr>
          <w:p w14:paraId="6D932524" w14:textId="77777777" w:rsidR="009F018D" w:rsidRPr="00F13694" w:rsidRDefault="009F018D" w:rsidP="00A12816">
            <w:r w:rsidRPr="00F13694">
              <w:t>3</w:t>
            </w:r>
          </w:p>
        </w:tc>
        <w:tc>
          <w:tcPr>
            <w:tcW w:w="2336" w:type="dxa"/>
            <w:tcBorders>
              <w:top w:val="nil"/>
              <w:left w:val="nil"/>
              <w:bottom w:val="single" w:sz="4" w:space="0" w:color="auto"/>
              <w:right w:val="single" w:sz="4" w:space="0" w:color="auto"/>
            </w:tcBorders>
            <w:hideMark/>
          </w:tcPr>
          <w:p w14:paraId="4104DA2E" w14:textId="77777777" w:rsidR="009F018D" w:rsidRPr="00F13694" w:rsidRDefault="009F018D" w:rsidP="00A12816">
            <w:r w:rsidRPr="00F13694">
              <w:t xml:space="preserve">Identify and convey shared climate change research and monitoring needs to SCAR, ICED and SOOS, and other </w:t>
            </w:r>
            <w:r w:rsidRPr="00F13694">
              <w:lastRenderedPageBreak/>
              <w:t xml:space="preserve">similar programs, using the process outlined in Table 2. </w:t>
            </w:r>
          </w:p>
        </w:tc>
        <w:tc>
          <w:tcPr>
            <w:tcW w:w="5509" w:type="dxa"/>
            <w:tcBorders>
              <w:top w:val="nil"/>
              <w:left w:val="nil"/>
              <w:bottom w:val="single" w:sz="4" w:space="0" w:color="auto"/>
              <w:right w:val="single" w:sz="4" w:space="0" w:color="auto"/>
            </w:tcBorders>
            <w:hideMark/>
          </w:tcPr>
          <w:p w14:paraId="7232DEB7" w14:textId="77777777" w:rsidR="009F018D" w:rsidRPr="009E58F8" w:rsidRDefault="009F018D" w:rsidP="009F018D">
            <w:pPr>
              <w:pStyle w:val="Prrafodelista"/>
              <w:numPr>
                <w:ilvl w:val="0"/>
                <w:numId w:val="21"/>
              </w:numPr>
              <w:contextualSpacing/>
            </w:pPr>
            <w:r w:rsidRPr="009E58F8">
              <w:rPr>
                <w:rFonts w:cs="Calibri"/>
              </w:rPr>
              <w:lastRenderedPageBreak/>
              <w:t>The 2017 five-year work plan (SC-CAMLR-XXXVI/BG/40</w:t>
            </w:r>
            <w:r w:rsidRPr="009E58F8">
              <w:rPr>
                <w:rFonts w:cs="Calibri"/>
                <w:lang w:val="en-US"/>
              </w:rPr>
              <w:t xml:space="preserve"> Development</w:t>
            </w:r>
            <w:r w:rsidRPr="009E58F8">
              <w:rPr>
                <w:rFonts w:cs="Calibri"/>
                <w:spacing w:val="-1"/>
                <w:lang w:val="en-US"/>
              </w:rPr>
              <w:t xml:space="preserve"> </w:t>
            </w:r>
            <w:r w:rsidRPr="009E58F8">
              <w:rPr>
                <w:rFonts w:cs="Calibri"/>
                <w:lang w:val="en-US"/>
              </w:rPr>
              <w:t>of a</w:t>
            </w:r>
            <w:r w:rsidRPr="009E58F8">
              <w:rPr>
                <w:rFonts w:cs="Calibri"/>
                <w:spacing w:val="-1"/>
                <w:lang w:val="en-US"/>
              </w:rPr>
              <w:t xml:space="preserve"> </w:t>
            </w:r>
            <w:r w:rsidRPr="009E58F8">
              <w:rPr>
                <w:rFonts w:cs="Calibri"/>
                <w:lang w:val="en-US"/>
              </w:rPr>
              <w:t>five-year work plan for the CCAMLR</w:t>
            </w:r>
            <w:r w:rsidRPr="009E58F8">
              <w:rPr>
                <w:rFonts w:cs="Calibri"/>
                <w:spacing w:val="-1"/>
                <w:lang w:val="en-US"/>
              </w:rPr>
              <w:t xml:space="preserve"> </w:t>
            </w:r>
            <w:r w:rsidRPr="009E58F8">
              <w:rPr>
                <w:rFonts w:cs="Calibri"/>
                <w:lang w:val="en-US"/>
              </w:rPr>
              <w:t xml:space="preserve">Scientific Committee) </w:t>
            </w:r>
            <w:r w:rsidRPr="009E58F8">
              <w:rPr>
                <w:rFonts w:cs="Calibri"/>
              </w:rPr>
              <w:t>includes interactions and joint activities involving SCAR, ICED, MEASO, and other programs.</w:t>
            </w:r>
          </w:p>
          <w:p w14:paraId="249701AD" w14:textId="77777777" w:rsidR="009F018D" w:rsidRPr="009E58F8" w:rsidRDefault="009F018D" w:rsidP="009F018D">
            <w:pPr>
              <w:pStyle w:val="Prrafodelista"/>
              <w:numPr>
                <w:ilvl w:val="0"/>
                <w:numId w:val="21"/>
              </w:numPr>
              <w:contextualSpacing/>
            </w:pPr>
            <w:r w:rsidRPr="009E58F8">
              <w:rPr>
                <w:rFonts w:cs="Calibri"/>
              </w:rPr>
              <w:lastRenderedPageBreak/>
              <w:t>SC-CAMLR held a strategic planning symposium in February 2022, and a new five-year work plan is likely to be adopted at the 2022 meeting of SC-CAMLR.</w:t>
            </w:r>
            <w:r>
              <w:rPr>
                <w:rFonts w:cs="Calibri"/>
              </w:rPr>
              <w:t xml:space="preserve"> Included</w:t>
            </w:r>
            <w:r w:rsidRPr="009E58F8">
              <w:t xml:space="preserve"> as priority research topics the following: research and monitoring of MPAs, monitoring and adaptation to effects of climate change, ecosystem monitoring. </w:t>
            </w:r>
            <w:r w:rsidRPr="009E58F8">
              <w:rPr>
                <w:rFonts w:cs="Calibri"/>
              </w:rPr>
              <w:t>This plan is likely to continue to identify interactions and joint activities involving SCAR, ICED, MEASO, etc.</w:t>
            </w:r>
          </w:p>
        </w:tc>
        <w:tc>
          <w:tcPr>
            <w:tcW w:w="5509" w:type="dxa"/>
            <w:tcBorders>
              <w:top w:val="nil"/>
              <w:left w:val="nil"/>
              <w:bottom w:val="single" w:sz="4" w:space="0" w:color="auto"/>
              <w:right w:val="single" w:sz="4" w:space="0" w:color="auto"/>
            </w:tcBorders>
          </w:tcPr>
          <w:p w14:paraId="5028129A" w14:textId="77777777" w:rsidR="009F018D" w:rsidRDefault="009F018D" w:rsidP="009F018D">
            <w:pPr>
              <w:pStyle w:val="Prrafodelista"/>
              <w:numPr>
                <w:ilvl w:val="0"/>
                <w:numId w:val="21"/>
              </w:numPr>
              <w:contextualSpacing/>
            </w:pPr>
            <w:r>
              <w:lastRenderedPageBreak/>
              <w:t>The terms of reference for the SGCCR include to facilitate coordination and communication of the CCRWP (including related research and monitoring needs) between Members, Observers and Experts, and to identify proposed research or monitoring actions.</w:t>
            </w:r>
          </w:p>
          <w:p w14:paraId="2C5E8619" w14:textId="77777777" w:rsidR="009F018D" w:rsidRDefault="009F018D" w:rsidP="009F018D">
            <w:pPr>
              <w:pStyle w:val="Prrafodelista"/>
              <w:numPr>
                <w:ilvl w:val="0"/>
                <w:numId w:val="21"/>
              </w:numPr>
              <w:contextualSpacing/>
            </w:pPr>
            <w:r>
              <w:lastRenderedPageBreak/>
              <w:t xml:space="preserve">At CEP XXI (2018) the Committee agreed that including science, knowledge and information needs in the five-year work plan would </w:t>
            </w:r>
            <w:r w:rsidRPr="00360946">
              <w:t>be beneficial to communicate the CEP science needs directly to relevant groups</w:t>
            </w:r>
            <w:r>
              <w:t>. It also noted that the SGCCR could play an important communication role for those science needs relevant to matters identified in the CCRWP (CEP XXI Final Report para. 134).</w:t>
            </w:r>
          </w:p>
          <w:p w14:paraId="414B32FE" w14:textId="77777777" w:rsidR="009F018D" w:rsidRPr="00D17133" w:rsidRDefault="009F018D" w:rsidP="00A12816">
            <w:pPr>
              <w:pStyle w:val="Prrafodelista"/>
              <w:ind w:left="360"/>
              <w:rPr>
                <w:rFonts w:cs="Calibri"/>
              </w:rPr>
            </w:pPr>
            <w:r>
              <w:t xml:space="preserve">As indicated in </w:t>
            </w:r>
            <w:hyperlink r:id="rId34" w:history="1">
              <w:r w:rsidRPr="00D4528F">
                <w:rPr>
                  <w:rStyle w:val="Hipervnculo"/>
                </w:rPr>
                <w:t>ATCM XLII/WP036</w:t>
              </w:r>
            </w:hyperlink>
            <w:r>
              <w:t xml:space="preserve"> </w:t>
            </w:r>
            <w:r w:rsidRPr="00D4528F">
              <w:rPr>
                <w:i/>
              </w:rPr>
              <w:t>Report of the Subsidiary Group on Climate Change Response (SGCCR) 2018-2019</w:t>
            </w:r>
            <w:r>
              <w:t xml:space="preserve"> (United Kingdom), the SGCCR has identified that its priority roles include ‘communicating Antarctic climate change response-related science needs to the research community’, and actions have been taken to reach out directly to relevant bodies engaged in Antarctic research and monitoring activities.</w:t>
            </w:r>
          </w:p>
        </w:tc>
      </w:tr>
      <w:tr w:rsidR="009F018D" w:rsidRPr="00F13694" w14:paraId="3E25736A" w14:textId="77777777" w:rsidTr="00A12816">
        <w:tc>
          <w:tcPr>
            <w:tcW w:w="702" w:type="dxa"/>
            <w:tcBorders>
              <w:top w:val="nil"/>
              <w:left w:val="single" w:sz="4" w:space="0" w:color="auto"/>
              <w:bottom w:val="single" w:sz="4" w:space="0" w:color="auto"/>
              <w:right w:val="single" w:sz="4" w:space="0" w:color="auto"/>
            </w:tcBorders>
            <w:hideMark/>
          </w:tcPr>
          <w:p w14:paraId="1E357142" w14:textId="77777777" w:rsidR="009F018D" w:rsidRPr="00F13694" w:rsidRDefault="009F018D" w:rsidP="00A12816">
            <w:r w:rsidRPr="00F13694">
              <w:lastRenderedPageBreak/>
              <w:t>4</w:t>
            </w:r>
          </w:p>
        </w:tc>
        <w:tc>
          <w:tcPr>
            <w:tcW w:w="2336" w:type="dxa"/>
            <w:tcBorders>
              <w:top w:val="nil"/>
              <w:left w:val="nil"/>
              <w:bottom w:val="single" w:sz="4" w:space="0" w:color="auto"/>
              <w:right w:val="single" w:sz="4" w:space="0" w:color="auto"/>
            </w:tcBorders>
            <w:hideMark/>
          </w:tcPr>
          <w:p w14:paraId="0346A85A" w14:textId="77777777" w:rsidR="009F018D" w:rsidRPr="00F13694" w:rsidRDefault="009F018D" w:rsidP="00A12816">
            <w:r w:rsidRPr="00F13694">
              <w:t xml:space="preserve">Encourage the periodic production of high-level summaries of outcomes and progress made in programmes such as ACCE, ICED, SOOS, etc. </w:t>
            </w:r>
            <w:proofErr w:type="gramStart"/>
            <w:r w:rsidRPr="00F13694">
              <w:t>in order to</w:t>
            </w:r>
            <w:proofErr w:type="gramEnd"/>
            <w:r w:rsidRPr="00F13694">
              <w:t xml:space="preserve"> aid the CEP and SC-CAMLR in the understanding of the current state of knowledge and in the formation of questions </w:t>
            </w:r>
            <w:r w:rsidRPr="00F13694">
              <w:lastRenderedPageBreak/>
              <w:t>to help progress work on climate change.</w:t>
            </w:r>
          </w:p>
        </w:tc>
        <w:tc>
          <w:tcPr>
            <w:tcW w:w="5509" w:type="dxa"/>
            <w:tcBorders>
              <w:top w:val="nil"/>
              <w:left w:val="nil"/>
              <w:bottom w:val="single" w:sz="4" w:space="0" w:color="auto"/>
              <w:right w:val="single" w:sz="4" w:space="0" w:color="auto"/>
            </w:tcBorders>
            <w:hideMark/>
          </w:tcPr>
          <w:p w14:paraId="48B54116" w14:textId="77777777" w:rsidR="009F018D" w:rsidRPr="00D17133" w:rsidRDefault="009F018D" w:rsidP="009F018D">
            <w:pPr>
              <w:pStyle w:val="Prrafodelista"/>
              <w:numPr>
                <w:ilvl w:val="0"/>
                <w:numId w:val="21"/>
              </w:numPr>
              <w:contextualSpacing/>
            </w:pPr>
            <w:r w:rsidRPr="00D17133">
              <w:lastRenderedPageBreak/>
              <w:t>See Recommendations 1 and 10.</w:t>
            </w:r>
          </w:p>
        </w:tc>
        <w:tc>
          <w:tcPr>
            <w:tcW w:w="5509" w:type="dxa"/>
            <w:tcBorders>
              <w:top w:val="nil"/>
              <w:left w:val="nil"/>
              <w:bottom w:val="single" w:sz="4" w:space="0" w:color="auto"/>
              <w:right w:val="single" w:sz="4" w:space="0" w:color="auto"/>
            </w:tcBorders>
          </w:tcPr>
          <w:p w14:paraId="6C8ED244" w14:textId="77777777" w:rsidR="009F018D" w:rsidRPr="00D17133" w:rsidRDefault="009F018D" w:rsidP="009F018D">
            <w:pPr>
              <w:pStyle w:val="Prrafodelista"/>
              <w:numPr>
                <w:ilvl w:val="0"/>
                <w:numId w:val="21"/>
              </w:numPr>
              <w:contextualSpacing/>
            </w:pPr>
            <w:r>
              <w:t>See Recommendations 1 and 10.</w:t>
            </w:r>
          </w:p>
        </w:tc>
      </w:tr>
      <w:tr w:rsidR="009F018D" w:rsidRPr="00F13694" w14:paraId="0E722642" w14:textId="77777777" w:rsidTr="00A12816">
        <w:trPr>
          <w:trHeight w:val="1270"/>
        </w:trPr>
        <w:tc>
          <w:tcPr>
            <w:tcW w:w="702" w:type="dxa"/>
            <w:tcBorders>
              <w:top w:val="nil"/>
              <w:left w:val="single" w:sz="4" w:space="0" w:color="auto"/>
              <w:bottom w:val="single" w:sz="4" w:space="0" w:color="auto"/>
              <w:right w:val="single" w:sz="4" w:space="0" w:color="auto"/>
            </w:tcBorders>
            <w:hideMark/>
          </w:tcPr>
          <w:p w14:paraId="3DC974F6" w14:textId="77777777" w:rsidR="009F018D" w:rsidRPr="00F13694" w:rsidRDefault="009F018D" w:rsidP="00A12816">
            <w:r w:rsidRPr="00F13694">
              <w:t>5</w:t>
            </w:r>
          </w:p>
        </w:tc>
        <w:tc>
          <w:tcPr>
            <w:tcW w:w="2336" w:type="dxa"/>
            <w:tcBorders>
              <w:top w:val="nil"/>
              <w:left w:val="nil"/>
              <w:bottom w:val="single" w:sz="4" w:space="0" w:color="auto"/>
              <w:right w:val="single" w:sz="4" w:space="0" w:color="auto"/>
            </w:tcBorders>
            <w:hideMark/>
          </w:tcPr>
          <w:p w14:paraId="7498D7D5" w14:textId="77777777" w:rsidR="009F018D" w:rsidRPr="00F13694" w:rsidRDefault="009F018D" w:rsidP="00A12816">
            <w:r w:rsidRPr="00F13694">
              <w:t xml:space="preserve">Encourage flexibility in the composition of national delegations according to relevant agenda items, to allow SC-CAMLR, CEP and SCAR to engage in discussions on specific topics. </w:t>
            </w:r>
          </w:p>
        </w:tc>
        <w:tc>
          <w:tcPr>
            <w:tcW w:w="5509" w:type="dxa"/>
            <w:tcBorders>
              <w:top w:val="nil"/>
              <w:left w:val="nil"/>
              <w:bottom w:val="single" w:sz="4" w:space="0" w:color="auto"/>
              <w:right w:val="single" w:sz="4" w:space="0" w:color="auto"/>
            </w:tcBorders>
            <w:hideMark/>
          </w:tcPr>
          <w:p w14:paraId="269CF7BF" w14:textId="77777777" w:rsidR="009F018D" w:rsidRPr="00D17133" w:rsidRDefault="009F018D" w:rsidP="009F018D">
            <w:pPr>
              <w:pStyle w:val="Prrafodelista"/>
              <w:numPr>
                <w:ilvl w:val="0"/>
                <w:numId w:val="21"/>
              </w:numPr>
              <w:contextualSpacing/>
            </w:pPr>
            <w:r w:rsidRPr="00D17133">
              <w:t>This recommendation is for individual SC-CAMLR Members to consider.</w:t>
            </w:r>
          </w:p>
        </w:tc>
        <w:tc>
          <w:tcPr>
            <w:tcW w:w="5509" w:type="dxa"/>
            <w:tcBorders>
              <w:top w:val="nil"/>
              <w:left w:val="nil"/>
              <w:bottom w:val="single" w:sz="4" w:space="0" w:color="auto"/>
              <w:right w:val="single" w:sz="4" w:space="0" w:color="auto"/>
            </w:tcBorders>
          </w:tcPr>
          <w:p w14:paraId="6ED92D7B" w14:textId="77777777" w:rsidR="009F018D" w:rsidRPr="007C22EA" w:rsidRDefault="009F018D" w:rsidP="009F018D">
            <w:pPr>
              <w:pStyle w:val="Prrafodelista"/>
              <w:numPr>
                <w:ilvl w:val="0"/>
                <w:numId w:val="21"/>
              </w:numPr>
              <w:contextualSpacing/>
            </w:pPr>
            <w:r w:rsidRPr="007C22EA">
              <w:t>CEP XIX noted that Recommendations 5 to 10 refer to actions that will facilitate the work of both the CEP and SC-CAMLR on climate change, noting that those relating specifically to SC-CAMLR will be considered during its discussions later in the year</w:t>
            </w:r>
            <w:r>
              <w:t xml:space="preserve"> (CEP XIX Final Report para. 51)</w:t>
            </w:r>
            <w:r w:rsidRPr="007C22EA">
              <w:t>.</w:t>
            </w:r>
          </w:p>
          <w:p w14:paraId="1CB2B262" w14:textId="77777777" w:rsidR="009F018D" w:rsidRPr="00D17133" w:rsidRDefault="009F018D" w:rsidP="009F018D">
            <w:pPr>
              <w:pStyle w:val="Prrafodelista"/>
              <w:numPr>
                <w:ilvl w:val="0"/>
                <w:numId w:val="21"/>
              </w:numPr>
              <w:contextualSpacing/>
            </w:pPr>
            <w:r w:rsidRPr="007C22EA">
              <w:t>This recommendation is for individual CEP Members to consider.</w:t>
            </w:r>
          </w:p>
        </w:tc>
      </w:tr>
      <w:tr w:rsidR="009F018D" w:rsidRPr="00F13694" w14:paraId="7DE76248" w14:textId="77777777" w:rsidTr="00A12816">
        <w:trPr>
          <w:trHeight w:val="892"/>
        </w:trPr>
        <w:tc>
          <w:tcPr>
            <w:tcW w:w="702" w:type="dxa"/>
            <w:tcBorders>
              <w:top w:val="nil"/>
              <w:left w:val="single" w:sz="4" w:space="0" w:color="auto"/>
              <w:bottom w:val="single" w:sz="4" w:space="0" w:color="auto"/>
              <w:right w:val="single" w:sz="4" w:space="0" w:color="auto"/>
            </w:tcBorders>
            <w:hideMark/>
          </w:tcPr>
          <w:p w14:paraId="4C325E7C" w14:textId="77777777" w:rsidR="009F018D" w:rsidRPr="00F13694" w:rsidRDefault="009F018D" w:rsidP="00A12816">
            <w:bookmarkStart w:id="9" w:name="_Hlk97564099"/>
            <w:r w:rsidRPr="00F13694">
              <w:t>6</w:t>
            </w:r>
          </w:p>
        </w:tc>
        <w:tc>
          <w:tcPr>
            <w:tcW w:w="2336" w:type="dxa"/>
            <w:tcBorders>
              <w:top w:val="nil"/>
              <w:left w:val="nil"/>
              <w:bottom w:val="single" w:sz="4" w:space="0" w:color="auto"/>
              <w:right w:val="single" w:sz="4" w:space="0" w:color="auto"/>
            </w:tcBorders>
            <w:hideMark/>
          </w:tcPr>
          <w:p w14:paraId="435F90D7" w14:textId="77777777" w:rsidR="009F018D" w:rsidRPr="00F13694" w:rsidRDefault="009F018D" w:rsidP="00A12816">
            <w:r w:rsidRPr="00F13694">
              <w:t xml:space="preserve">Consider invitation of experts to CCAMLR Working Groups (particularly WG-EMM for discussions relating to climate change), including appropriate input from programmes such as SCAR, ICED and SOOS. </w:t>
            </w:r>
          </w:p>
        </w:tc>
        <w:tc>
          <w:tcPr>
            <w:tcW w:w="5509" w:type="dxa"/>
            <w:tcBorders>
              <w:top w:val="nil"/>
              <w:left w:val="nil"/>
              <w:bottom w:val="single" w:sz="4" w:space="0" w:color="auto"/>
              <w:right w:val="single" w:sz="4" w:space="0" w:color="auto"/>
            </w:tcBorders>
            <w:hideMark/>
          </w:tcPr>
          <w:p w14:paraId="4444611F" w14:textId="77777777" w:rsidR="009F018D" w:rsidRPr="006E1502" w:rsidRDefault="009F018D" w:rsidP="009F018D">
            <w:pPr>
              <w:pStyle w:val="Prrafodelista"/>
              <w:numPr>
                <w:ilvl w:val="0"/>
                <w:numId w:val="21"/>
              </w:numPr>
              <w:contextualSpacing/>
            </w:pPr>
            <w:r>
              <w:t>Relatively few experts have been invited to participate in CCAMLR Working Groups, but d</w:t>
            </w:r>
            <w:r w:rsidRPr="00D17133">
              <w:t xml:space="preserve">iscussions are ongoing </w:t>
            </w:r>
            <w:proofErr w:type="gramStart"/>
            <w:r w:rsidRPr="00D17133">
              <w:t>with regard to</w:t>
            </w:r>
            <w:proofErr w:type="gramEnd"/>
            <w:r w:rsidRPr="00D17133">
              <w:t xml:space="preserve"> inviting</w:t>
            </w:r>
            <w:r>
              <w:t xml:space="preserve"> both</w:t>
            </w:r>
            <w:r w:rsidRPr="00D17133">
              <w:t xml:space="preserve"> experts and observers to participate in </w:t>
            </w:r>
            <w:r>
              <w:t>such g</w:t>
            </w:r>
            <w:r w:rsidRPr="00D17133">
              <w:t>roups.</w:t>
            </w:r>
            <w:r>
              <w:t xml:space="preserve"> There is an important distinction between Experts and Observers within CCAMLR, and some of the programs identified in the recommendation are official Observers, which generally do not participate in CCAMLR working groups.</w:t>
            </w:r>
          </w:p>
          <w:p w14:paraId="0E4EB403" w14:textId="77777777" w:rsidR="009F018D" w:rsidRDefault="009F018D" w:rsidP="009F018D">
            <w:pPr>
              <w:pStyle w:val="Prrafodelista"/>
              <w:numPr>
                <w:ilvl w:val="0"/>
                <w:numId w:val="21"/>
              </w:numPr>
              <w:spacing w:after="160" w:line="259" w:lineRule="auto"/>
              <w:contextualSpacing/>
            </w:pPr>
            <w:bookmarkStart w:id="10" w:name="_Hlk98243532"/>
            <w:r>
              <w:t xml:space="preserve">Exchanges with experts also occur outside of CCAMLR SC and WGs. For example, </w:t>
            </w:r>
            <w:r w:rsidRPr="004E5D1A">
              <w:t>WG-EMM-2021</w:t>
            </w:r>
            <w:r>
              <w:t>, para. 2.7 noted that 80 scientists, including CCAMLR scientists, attended the successful ICED workshop (WG-E</w:t>
            </w:r>
            <w:r w:rsidRPr="004E5D1A">
              <w:t>MM</w:t>
            </w:r>
            <w:r>
              <w:t xml:space="preserve">-2021/23 </w:t>
            </w:r>
            <w:r w:rsidRPr="00506DD7">
              <w:rPr>
                <w:i/>
                <w:iCs/>
              </w:rPr>
              <w:t>Using models to improve our understanding of Antarctic Krill and their ecological role: Report of the Integrating Climate and Ecosystem Dynamics of the Southern Ocean (ICED) workshop,</w:t>
            </w:r>
            <w:r>
              <w:t xml:space="preserve"> 2021 (multiple authors) and reflected that </w:t>
            </w:r>
            <w:r>
              <w:lastRenderedPageBreak/>
              <w:t>CCAMLR would benefit from more communication with the wider scientific community.</w:t>
            </w:r>
          </w:p>
          <w:bookmarkEnd w:id="10"/>
          <w:p w14:paraId="7C5C9115" w14:textId="77777777" w:rsidR="009F018D" w:rsidRPr="00D17133" w:rsidRDefault="009F018D" w:rsidP="00A12816">
            <w:pPr>
              <w:pStyle w:val="Prrafodelista"/>
              <w:ind w:left="360"/>
            </w:pPr>
          </w:p>
        </w:tc>
        <w:tc>
          <w:tcPr>
            <w:tcW w:w="5509" w:type="dxa"/>
            <w:tcBorders>
              <w:top w:val="nil"/>
              <w:left w:val="nil"/>
              <w:bottom w:val="single" w:sz="4" w:space="0" w:color="auto"/>
              <w:right w:val="single" w:sz="4" w:space="0" w:color="auto"/>
            </w:tcBorders>
          </w:tcPr>
          <w:p w14:paraId="0636C31A" w14:textId="77777777" w:rsidR="009F018D" w:rsidRPr="00D17133" w:rsidRDefault="009F018D" w:rsidP="009F018D">
            <w:pPr>
              <w:pStyle w:val="Prrafodelista"/>
              <w:numPr>
                <w:ilvl w:val="0"/>
                <w:numId w:val="21"/>
              </w:numPr>
              <w:contextualSpacing/>
            </w:pPr>
            <w:r w:rsidRPr="007C22EA">
              <w:lastRenderedPageBreak/>
              <w:t>For SC-CAMLR consideration</w:t>
            </w:r>
          </w:p>
        </w:tc>
      </w:tr>
      <w:bookmarkEnd w:id="9"/>
      <w:tr w:rsidR="009F018D" w:rsidRPr="00F13694" w14:paraId="7E513FC2" w14:textId="77777777" w:rsidTr="00A12816">
        <w:trPr>
          <w:trHeight w:val="653"/>
        </w:trPr>
        <w:tc>
          <w:tcPr>
            <w:tcW w:w="702" w:type="dxa"/>
            <w:tcBorders>
              <w:top w:val="nil"/>
              <w:left w:val="single" w:sz="4" w:space="0" w:color="auto"/>
              <w:bottom w:val="single" w:sz="4" w:space="0" w:color="auto"/>
              <w:right w:val="single" w:sz="4" w:space="0" w:color="auto"/>
            </w:tcBorders>
            <w:hideMark/>
          </w:tcPr>
          <w:p w14:paraId="30B259F2" w14:textId="77777777" w:rsidR="009F018D" w:rsidRPr="00F13694" w:rsidRDefault="009F018D" w:rsidP="00A12816">
            <w:r w:rsidRPr="00F13694">
              <w:t>7</w:t>
            </w:r>
          </w:p>
        </w:tc>
        <w:tc>
          <w:tcPr>
            <w:tcW w:w="2336" w:type="dxa"/>
            <w:tcBorders>
              <w:top w:val="nil"/>
              <w:left w:val="nil"/>
              <w:bottom w:val="single" w:sz="4" w:space="0" w:color="auto"/>
              <w:right w:val="single" w:sz="4" w:space="0" w:color="auto"/>
            </w:tcBorders>
            <w:hideMark/>
          </w:tcPr>
          <w:p w14:paraId="45316112" w14:textId="77777777" w:rsidR="009F018D" w:rsidRPr="00F13694" w:rsidRDefault="009F018D" w:rsidP="00A12816">
            <w:r w:rsidRPr="00F13694">
              <w:t>Promote the development of young scientists by encouraging participation in the CCAMLR Scholarship and SCAR Fellowship programmes, with the specific aim of contributing research relevant to climate change.</w:t>
            </w:r>
          </w:p>
        </w:tc>
        <w:tc>
          <w:tcPr>
            <w:tcW w:w="5509" w:type="dxa"/>
            <w:tcBorders>
              <w:top w:val="nil"/>
              <w:left w:val="nil"/>
              <w:bottom w:val="single" w:sz="4" w:space="0" w:color="auto"/>
              <w:right w:val="single" w:sz="4" w:space="0" w:color="auto"/>
            </w:tcBorders>
            <w:hideMark/>
          </w:tcPr>
          <w:p w14:paraId="1265C64F" w14:textId="77777777" w:rsidR="009F018D" w:rsidRDefault="009F018D" w:rsidP="009F018D">
            <w:pPr>
              <w:pStyle w:val="Prrafodelista"/>
              <w:numPr>
                <w:ilvl w:val="0"/>
                <w:numId w:val="21"/>
              </w:numPr>
              <w:contextualSpacing/>
            </w:pPr>
            <w:r w:rsidRPr="00D17133">
              <w:t>Between the years 2012 – 2022, eleven young scientists were awarded fellowships from the scholarship programs of CCAMLR, SCAR, COMNAP and IAATO in the areas of climate change, monitoring, and development of MPAs.</w:t>
            </w:r>
          </w:p>
          <w:p w14:paraId="65758536" w14:textId="77777777" w:rsidR="009F018D" w:rsidRDefault="009F018D" w:rsidP="009F018D">
            <w:pPr>
              <w:pStyle w:val="Prrafodelista"/>
              <w:numPr>
                <w:ilvl w:val="0"/>
                <w:numId w:val="21"/>
              </w:numPr>
              <w:contextualSpacing/>
            </w:pPr>
            <w:r>
              <w:t>The CCAMLR Scholarship scheme is generally considered to be successful, with several former scholars now playing increased roles within the SC-CAMLR community.</w:t>
            </w:r>
          </w:p>
          <w:p w14:paraId="68845184" w14:textId="77777777" w:rsidR="009F018D" w:rsidRPr="00D17133" w:rsidRDefault="009F018D" w:rsidP="009F018D">
            <w:pPr>
              <w:pStyle w:val="Prrafodelista"/>
              <w:numPr>
                <w:ilvl w:val="0"/>
                <w:numId w:val="21"/>
              </w:numPr>
              <w:contextualSpacing/>
            </w:pPr>
            <w:r>
              <w:t xml:space="preserve">The pandemic has challenged the implementation of the scholarship program in 2020 and 2021 but it is expected the program will resume as international travel </w:t>
            </w:r>
            <w:proofErr w:type="gramStart"/>
            <w:r>
              <w:t>opens up</w:t>
            </w:r>
            <w:proofErr w:type="gramEnd"/>
            <w:r>
              <w:t xml:space="preserve"> and work of CCAMLR returns more to pre-pandemic conditions.</w:t>
            </w:r>
          </w:p>
        </w:tc>
        <w:tc>
          <w:tcPr>
            <w:tcW w:w="5509" w:type="dxa"/>
            <w:tcBorders>
              <w:top w:val="nil"/>
              <w:left w:val="nil"/>
              <w:bottom w:val="single" w:sz="4" w:space="0" w:color="auto"/>
              <w:right w:val="single" w:sz="4" w:space="0" w:color="auto"/>
            </w:tcBorders>
          </w:tcPr>
          <w:p w14:paraId="37381A2F" w14:textId="77777777" w:rsidR="009F018D" w:rsidRPr="00D17133" w:rsidRDefault="009F018D" w:rsidP="009F018D">
            <w:pPr>
              <w:pStyle w:val="Prrafodelista"/>
              <w:numPr>
                <w:ilvl w:val="0"/>
                <w:numId w:val="21"/>
              </w:numPr>
              <w:contextualSpacing/>
            </w:pPr>
            <w:r w:rsidRPr="007C22EA">
              <w:t>For SC-CAMLR consideration</w:t>
            </w:r>
          </w:p>
        </w:tc>
      </w:tr>
      <w:tr w:rsidR="009F018D" w:rsidRPr="00F13694" w14:paraId="2E8C6C9C" w14:textId="77777777" w:rsidTr="00A12816">
        <w:trPr>
          <w:trHeight w:val="555"/>
        </w:trPr>
        <w:tc>
          <w:tcPr>
            <w:tcW w:w="702" w:type="dxa"/>
            <w:tcBorders>
              <w:top w:val="nil"/>
              <w:left w:val="single" w:sz="4" w:space="0" w:color="auto"/>
              <w:bottom w:val="single" w:sz="4" w:space="0" w:color="auto"/>
              <w:right w:val="single" w:sz="4" w:space="0" w:color="auto"/>
            </w:tcBorders>
            <w:hideMark/>
          </w:tcPr>
          <w:p w14:paraId="0E07E8A5" w14:textId="77777777" w:rsidR="009F018D" w:rsidRPr="00F13694" w:rsidRDefault="009F018D" w:rsidP="00A12816">
            <w:bookmarkStart w:id="11" w:name="_Hlk97564337"/>
            <w:r w:rsidRPr="00F13694">
              <w:t>8</w:t>
            </w:r>
          </w:p>
        </w:tc>
        <w:tc>
          <w:tcPr>
            <w:tcW w:w="2336" w:type="dxa"/>
            <w:tcBorders>
              <w:top w:val="nil"/>
              <w:left w:val="nil"/>
              <w:bottom w:val="single" w:sz="4" w:space="0" w:color="auto"/>
              <w:right w:val="single" w:sz="4" w:space="0" w:color="auto"/>
            </w:tcBorders>
            <w:hideMark/>
          </w:tcPr>
          <w:p w14:paraId="6074BC75" w14:textId="77777777" w:rsidR="009F018D" w:rsidRPr="00F13694" w:rsidRDefault="009F018D" w:rsidP="00A12816">
            <w:r w:rsidRPr="00F13694">
              <w:t xml:space="preserve">Encourage improved visibility of CCAMLR metadata to facilitate discoverability and exploration of data relevant to matters of mutual interest, particularly including CEMP data.  </w:t>
            </w:r>
          </w:p>
        </w:tc>
        <w:tc>
          <w:tcPr>
            <w:tcW w:w="5509" w:type="dxa"/>
            <w:tcBorders>
              <w:top w:val="nil"/>
              <w:left w:val="nil"/>
              <w:bottom w:val="single" w:sz="4" w:space="0" w:color="auto"/>
              <w:right w:val="single" w:sz="4" w:space="0" w:color="auto"/>
            </w:tcBorders>
            <w:hideMark/>
          </w:tcPr>
          <w:p w14:paraId="796ECF62" w14:textId="77777777" w:rsidR="009F018D" w:rsidRPr="00D17133" w:rsidRDefault="009F018D" w:rsidP="009F018D">
            <w:pPr>
              <w:pStyle w:val="Prrafodelista"/>
              <w:numPr>
                <w:ilvl w:val="0"/>
                <w:numId w:val="24"/>
              </w:numPr>
              <w:contextualSpacing/>
            </w:pPr>
            <w:r w:rsidRPr="00D17133">
              <w:t>CCAMLR Secretariat’s Data Centre</w:t>
            </w:r>
            <w:r>
              <w:t xml:space="preserve"> </w:t>
            </w:r>
            <w:r w:rsidRPr="00D17133">
              <w:t xml:space="preserve">is the custodian of data </w:t>
            </w:r>
            <w:r w:rsidRPr="00D17133">
              <w:rPr>
                <w:rFonts w:cs="Calibri"/>
              </w:rPr>
              <w:t>collected through CCAMLR’s activities</w:t>
            </w:r>
            <w:r>
              <w:rPr>
                <w:rFonts w:cs="Calibri"/>
              </w:rPr>
              <w:t>.</w:t>
            </w:r>
            <w:r w:rsidRPr="00D17133">
              <w:rPr>
                <w:rFonts w:cs="Calibri"/>
              </w:rPr>
              <w:t xml:space="preserve"> </w:t>
            </w:r>
            <w:r w:rsidRPr="00241CC5">
              <w:rPr>
                <w:rFonts w:cs="Calibri"/>
              </w:rPr>
              <w:t xml:space="preserve">The use of this data is found in the </w:t>
            </w:r>
            <w:hyperlink r:id="rId35" w:history="1">
              <w:r w:rsidRPr="00241CC5">
                <w:rPr>
                  <w:rFonts w:cs="Calibri"/>
                  <w:color w:val="BB1122"/>
                  <w:u w:val="single"/>
                </w:rPr>
                <w:t>Rules for Access and Use of CCAMLR Data</w:t>
              </w:r>
            </w:hyperlink>
            <w:r>
              <w:rPr>
                <w:rFonts w:cs="Calibri"/>
                <w:color w:val="000000"/>
              </w:rPr>
              <w:t>.</w:t>
            </w:r>
            <w:r w:rsidRPr="00D17133">
              <w:rPr>
                <w:rFonts w:cs="Calibri"/>
              </w:rPr>
              <w:t xml:space="preserve"> </w:t>
            </w:r>
          </w:p>
          <w:p w14:paraId="2B16DE9C" w14:textId="77777777" w:rsidR="009F018D" w:rsidRPr="00D17133" w:rsidRDefault="009F018D" w:rsidP="009F018D">
            <w:pPr>
              <w:pStyle w:val="Prrafodelista"/>
              <w:numPr>
                <w:ilvl w:val="0"/>
                <w:numId w:val="21"/>
              </w:numPr>
              <w:contextualSpacing/>
              <w:rPr>
                <w:rFonts w:cs="Calibri"/>
              </w:rPr>
            </w:pPr>
            <w:r w:rsidRPr="00D17133">
              <w:rPr>
                <w:rFonts w:cs="Calibri"/>
              </w:rPr>
              <w:t>Discussions are ongoing within SC-CAMLR related to the constraints of the data release policy.  </w:t>
            </w:r>
          </w:p>
        </w:tc>
        <w:tc>
          <w:tcPr>
            <w:tcW w:w="5509" w:type="dxa"/>
            <w:tcBorders>
              <w:top w:val="nil"/>
              <w:left w:val="nil"/>
              <w:bottom w:val="single" w:sz="4" w:space="0" w:color="auto"/>
              <w:right w:val="single" w:sz="4" w:space="0" w:color="auto"/>
            </w:tcBorders>
          </w:tcPr>
          <w:p w14:paraId="2766D1D4" w14:textId="77777777" w:rsidR="009F018D" w:rsidRPr="00D17133" w:rsidRDefault="009F018D" w:rsidP="009F018D">
            <w:pPr>
              <w:pStyle w:val="Prrafodelista"/>
              <w:numPr>
                <w:ilvl w:val="0"/>
                <w:numId w:val="24"/>
              </w:numPr>
              <w:contextualSpacing/>
            </w:pPr>
            <w:r w:rsidRPr="007C22EA">
              <w:t>For SC-CAMLR consideration</w:t>
            </w:r>
          </w:p>
        </w:tc>
      </w:tr>
      <w:bookmarkEnd w:id="11"/>
      <w:tr w:rsidR="009F018D" w:rsidRPr="00F13694" w14:paraId="46978E70" w14:textId="77777777" w:rsidTr="00A12816">
        <w:trPr>
          <w:trHeight w:val="405"/>
        </w:trPr>
        <w:tc>
          <w:tcPr>
            <w:tcW w:w="702" w:type="dxa"/>
            <w:tcBorders>
              <w:top w:val="nil"/>
              <w:left w:val="single" w:sz="4" w:space="0" w:color="auto"/>
              <w:bottom w:val="single" w:sz="4" w:space="0" w:color="auto"/>
              <w:right w:val="single" w:sz="4" w:space="0" w:color="auto"/>
            </w:tcBorders>
            <w:hideMark/>
          </w:tcPr>
          <w:p w14:paraId="5C2F7828" w14:textId="77777777" w:rsidR="009F018D" w:rsidRPr="00F13694" w:rsidRDefault="009F018D" w:rsidP="00A12816">
            <w:r w:rsidRPr="00F13694">
              <w:t>9</w:t>
            </w:r>
          </w:p>
        </w:tc>
        <w:tc>
          <w:tcPr>
            <w:tcW w:w="2336" w:type="dxa"/>
            <w:tcBorders>
              <w:top w:val="nil"/>
              <w:left w:val="nil"/>
              <w:bottom w:val="single" w:sz="4" w:space="0" w:color="auto"/>
              <w:right w:val="single" w:sz="4" w:space="0" w:color="auto"/>
            </w:tcBorders>
            <w:hideMark/>
          </w:tcPr>
          <w:p w14:paraId="24218E6B" w14:textId="77777777" w:rsidR="009F018D" w:rsidRPr="00F13694" w:rsidRDefault="009F018D" w:rsidP="00A12816">
            <w:r w:rsidRPr="00F13694">
              <w:t xml:space="preserve">Recognize that data sharing is not just sharing the products of research already </w:t>
            </w:r>
            <w:r w:rsidRPr="00F13694">
              <w:lastRenderedPageBreak/>
              <w:t xml:space="preserve">collected, but information is also needed on </w:t>
            </w:r>
            <w:proofErr w:type="gramStart"/>
            <w:r w:rsidRPr="00F13694">
              <w:t>future plans</w:t>
            </w:r>
            <w:proofErr w:type="gramEnd"/>
            <w:r w:rsidRPr="00F13694">
              <w:t xml:space="preserve"> to collect additional data, to facilitate combined efforts and avoid duplication of effort.</w:t>
            </w:r>
          </w:p>
        </w:tc>
        <w:tc>
          <w:tcPr>
            <w:tcW w:w="5509" w:type="dxa"/>
            <w:tcBorders>
              <w:top w:val="nil"/>
              <w:left w:val="nil"/>
              <w:bottom w:val="single" w:sz="4" w:space="0" w:color="auto"/>
              <w:right w:val="single" w:sz="4" w:space="0" w:color="auto"/>
            </w:tcBorders>
            <w:hideMark/>
          </w:tcPr>
          <w:p w14:paraId="36616A53" w14:textId="77777777" w:rsidR="009F018D" w:rsidRDefault="009F018D" w:rsidP="009F018D">
            <w:pPr>
              <w:pStyle w:val="Prrafodelista"/>
              <w:numPr>
                <w:ilvl w:val="0"/>
                <w:numId w:val="21"/>
              </w:numPr>
              <w:contextualSpacing/>
            </w:pPr>
            <w:r w:rsidRPr="00D17133">
              <w:lastRenderedPageBreak/>
              <w:t xml:space="preserve">CCAMLR’s ICG to integrate climate change considerations includes a </w:t>
            </w:r>
            <w:proofErr w:type="spellStart"/>
            <w:r w:rsidRPr="00D17133">
              <w:t>ToR</w:t>
            </w:r>
            <w:proofErr w:type="spellEnd"/>
            <w:r w:rsidRPr="00D17133">
              <w:t xml:space="preserve"> which </w:t>
            </w:r>
            <w:proofErr w:type="gramStart"/>
            <w:r w:rsidRPr="00D17133">
              <w:t>takes into account</w:t>
            </w:r>
            <w:proofErr w:type="gramEnd"/>
            <w:r w:rsidRPr="00D17133">
              <w:t xml:space="preserve"> the work of the ATCM/CEP to identify opportunities </w:t>
            </w:r>
            <w:r w:rsidRPr="00D17133">
              <w:lastRenderedPageBreak/>
              <w:t>for collaboration and information sharing (Report CCAMLR XXXIV Appendix 8).</w:t>
            </w:r>
          </w:p>
          <w:p w14:paraId="5238C89E" w14:textId="77777777" w:rsidR="009F018D" w:rsidRDefault="009F018D" w:rsidP="009F018D">
            <w:pPr>
              <w:pStyle w:val="Prrafodelista"/>
              <w:numPr>
                <w:ilvl w:val="0"/>
                <w:numId w:val="21"/>
              </w:numPr>
              <w:contextualSpacing/>
            </w:pPr>
            <w:r>
              <w:t xml:space="preserve">Members frequently discuss </w:t>
            </w:r>
            <w:proofErr w:type="gramStart"/>
            <w:r>
              <w:t>future plans</w:t>
            </w:r>
            <w:proofErr w:type="gramEnd"/>
            <w:r>
              <w:t xml:space="preserve"> at CCAMLR Working Groups, and, to the extent that such plans are captured in the reports of such groups, this information is distributed more widely.</w:t>
            </w:r>
          </w:p>
          <w:p w14:paraId="677546C3" w14:textId="77777777" w:rsidR="009F018D" w:rsidRPr="00D17133" w:rsidRDefault="009F018D" w:rsidP="009F018D">
            <w:pPr>
              <w:pStyle w:val="Prrafodelista"/>
              <w:numPr>
                <w:ilvl w:val="0"/>
                <w:numId w:val="21"/>
              </w:numPr>
              <w:spacing w:after="160" w:line="259" w:lineRule="auto"/>
              <w:contextualSpacing/>
            </w:pPr>
            <w:bookmarkStart w:id="12" w:name="_Hlk98242385"/>
            <w:r>
              <w:t>In 2021, t</w:t>
            </w:r>
            <w:r w:rsidRPr="00A31CC2">
              <w:t xml:space="preserve">he </w:t>
            </w:r>
            <w:r>
              <w:t xml:space="preserve">SC-CCAMLR considered SC-CAMLR-40/09 Rev.1 </w:t>
            </w:r>
            <w:r w:rsidRPr="009A3220">
              <w:rPr>
                <w:i/>
                <w:iCs/>
              </w:rPr>
              <w:t>Update on the emperor penguin-vulnerable to projected rates of warming and sea ice loss</w:t>
            </w:r>
            <w:r>
              <w:t xml:space="preserve"> (multiple authors) which reported on</w:t>
            </w:r>
            <w:r w:rsidRPr="00A31CC2">
              <w:t xml:space="preserve"> the </w:t>
            </w:r>
            <w:r>
              <w:t>v</w:t>
            </w:r>
            <w:r w:rsidRPr="00A31CC2">
              <w:t>ulnerability of emperor penguin populations to ongoing and projected climate change</w:t>
            </w:r>
            <w:r>
              <w:t xml:space="preserve">. The paper was accompanied by a </w:t>
            </w:r>
            <w:r w:rsidRPr="00A31CC2">
              <w:t>draft version of the</w:t>
            </w:r>
            <w:r>
              <w:t xml:space="preserve"> </w:t>
            </w:r>
            <w:r w:rsidRPr="00A31CC2">
              <w:t>revised Specially Protected Species Action Plan for the emper</w:t>
            </w:r>
            <w:r>
              <w:t>or penguin developed for consideration by the CEP (SC-CCAMLR-40 para. 5.6).</w:t>
            </w:r>
            <w:bookmarkEnd w:id="12"/>
          </w:p>
        </w:tc>
        <w:tc>
          <w:tcPr>
            <w:tcW w:w="5509" w:type="dxa"/>
            <w:tcBorders>
              <w:top w:val="nil"/>
              <w:left w:val="nil"/>
              <w:bottom w:val="single" w:sz="4" w:space="0" w:color="auto"/>
              <w:right w:val="single" w:sz="4" w:space="0" w:color="auto"/>
            </w:tcBorders>
          </w:tcPr>
          <w:p w14:paraId="1928A03A" w14:textId="77777777" w:rsidR="009F018D" w:rsidRPr="00D17133" w:rsidRDefault="009F018D" w:rsidP="009F018D">
            <w:pPr>
              <w:pStyle w:val="Prrafodelista"/>
              <w:numPr>
                <w:ilvl w:val="0"/>
                <w:numId w:val="21"/>
              </w:numPr>
              <w:contextualSpacing/>
            </w:pPr>
            <w:r w:rsidRPr="00941050">
              <w:lastRenderedPageBreak/>
              <w:t xml:space="preserve">The SGCCR terms of reference include to facilitating coordination and communication of the CCRWP between Members, Observers and Experts, highlighting actions identified for the coming year(s) and requesting </w:t>
            </w:r>
            <w:r w:rsidRPr="00941050">
              <w:lastRenderedPageBreak/>
              <w:t>relevant updates on planned activities</w:t>
            </w:r>
            <w:r>
              <w:t xml:space="preserve"> (CEP XX Final Report, Appendix 2)</w:t>
            </w:r>
            <w:r w:rsidRPr="00941050">
              <w:t>.</w:t>
            </w:r>
          </w:p>
        </w:tc>
      </w:tr>
      <w:tr w:rsidR="009F018D" w:rsidRPr="00F13694" w14:paraId="1A33B005" w14:textId="77777777" w:rsidTr="00A12816">
        <w:trPr>
          <w:trHeight w:val="561"/>
        </w:trPr>
        <w:tc>
          <w:tcPr>
            <w:tcW w:w="702" w:type="dxa"/>
            <w:tcBorders>
              <w:top w:val="nil"/>
              <w:left w:val="single" w:sz="4" w:space="0" w:color="auto"/>
              <w:bottom w:val="single" w:sz="4" w:space="0" w:color="auto"/>
              <w:right w:val="single" w:sz="4" w:space="0" w:color="auto"/>
            </w:tcBorders>
            <w:hideMark/>
          </w:tcPr>
          <w:p w14:paraId="3F402F76" w14:textId="77777777" w:rsidR="009F018D" w:rsidRPr="00F13694" w:rsidRDefault="009F018D" w:rsidP="00A12816">
            <w:r w:rsidRPr="00F13694">
              <w:lastRenderedPageBreak/>
              <w:t>10</w:t>
            </w:r>
          </w:p>
        </w:tc>
        <w:tc>
          <w:tcPr>
            <w:tcW w:w="2336" w:type="dxa"/>
            <w:tcBorders>
              <w:top w:val="nil"/>
              <w:left w:val="nil"/>
              <w:bottom w:val="single" w:sz="4" w:space="0" w:color="auto"/>
              <w:right w:val="single" w:sz="4" w:space="0" w:color="auto"/>
            </w:tcBorders>
            <w:hideMark/>
          </w:tcPr>
          <w:p w14:paraId="1C69945E" w14:textId="77777777" w:rsidR="009F018D" w:rsidRPr="00F13694" w:rsidRDefault="009F018D" w:rsidP="00A12816">
            <w:r w:rsidRPr="00F13694">
              <w:t>Encourage use of the Antarctic Environments Portal in providing policy-ready summaries on issues of mutual interest to members of both Committees. SC-CAMLR could be encouraged to request topics for inclusion, or to author summaries in due course.</w:t>
            </w:r>
          </w:p>
        </w:tc>
        <w:tc>
          <w:tcPr>
            <w:tcW w:w="5509" w:type="dxa"/>
            <w:tcBorders>
              <w:top w:val="nil"/>
              <w:left w:val="nil"/>
              <w:bottom w:val="single" w:sz="4" w:space="0" w:color="auto"/>
              <w:right w:val="single" w:sz="4" w:space="0" w:color="auto"/>
            </w:tcBorders>
            <w:hideMark/>
          </w:tcPr>
          <w:p w14:paraId="196D8D1A" w14:textId="77777777" w:rsidR="009F018D" w:rsidRPr="00D17133" w:rsidRDefault="009F018D" w:rsidP="009F018D">
            <w:pPr>
              <w:pStyle w:val="Default"/>
              <w:numPr>
                <w:ilvl w:val="0"/>
                <w:numId w:val="22"/>
              </w:numPr>
              <w:rPr>
                <w:rFonts w:asciiTheme="minorHAnsi" w:hAnsiTheme="minorHAnsi" w:cs="Calibri"/>
                <w:color w:val="auto"/>
                <w:sz w:val="22"/>
                <w:szCs w:val="22"/>
              </w:rPr>
            </w:pPr>
            <w:r w:rsidRPr="00D17133">
              <w:rPr>
                <w:rFonts w:asciiTheme="minorHAnsi" w:hAnsiTheme="minorHAnsi" w:cs="Calibri"/>
                <w:color w:val="auto"/>
                <w:sz w:val="22"/>
                <w:szCs w:val="22"/>
              </w:rPr>
              <w:t xml:space="preserve">SC-CAMLR noted that the </w:t>
            </w:r>
            <w:r>
              <w:rPr>
                <w:rFonts w:asciiTheme="minorHAnsi" w:hAnsiTheme="minorHAnsi" w:cs="Calibri"/>
                <w:color w:val="auto"/>
                <w:sz w:val="22"/>
                <w:szCs w:val="22"/>
              </w:rPr>
              <w:t>J</w:t>
            </w:r>
            <w:r w:rsidRPr="00D17133">
              <w:rPr>
                <w:rFonts w:asciiTheme="minorHAnsi" w:hAnsiTheme="minorHAnsi" w:cs="Calibri"/>
                <w:color w:val="auto"/>
                <w:sz w:val="22"/>
                <w:szCs w:val="22"/>
              </w:rPr>
              <w:t xml:space="preserve">oint </w:t>
            </w:r>
            <w:r>
              <w:rPr>
                <w:rFonts w:asciiTheme="minorHAnsi" w:hAnsiTheme="minorHAnsi" w:cs="Calibri"/>
                <w:color w:val="auto"/>
                <w:sz w:val="22"/>
                <w:szCs w:val="22"/>
              </w:rPr>
              <w:t>W</w:t>
            </w:r>
            <w:r w:rsidRPr="00D17133">
              <w:rPr>
                <w:rFonts w:asciiTheme="minorHAnsi" w:hAnsiTheme="minorHAnsi" w:cs="Calibri"/>
                <w:color w:val="auto"/>
                <w:sz w:val="22"/>
                <w:szCs w:val="22"/>
              </w:rPr>
              <w:t>orkshop recognised that the Antarctic Environments Portal was an important means of bringing the best available research knowledge</w:t>
            </w:r>
            <w:r w:rsidRPr="00D17133">
              <w:rPr>
                <w:rFonts w:asciiTheme="minorHAnsi" w:hAnsiTheme="minorHAnsi" w:cs="Calibri"/>
                <w:color w:val="auto"/>
                <w:spacing w:val="58"/>
                <w:sz w:val="22"/>
                <w:szCs w:val="22"/>
              </w:rPr>
              <w:t xml:space="preserve"> </w:t>
            </w:r>
            <w:r w:rsidRPr="00D17133">
              <w:rPr>
                <w:rFonts w:asciiTheme="minorHAnsi" w:hAnsiTheme="minorHAnsi" w:cs="Calibri"/>
                <w:color w:val="auto"/>
                <w:sz w:val="22"/>
                <w:szCs w:val="22"/>
              </w:rPr>
              <w:t>to</w:t>
            </w:r>
            <w:r w:rsidRPr="00D17133">
              <w:rPr>
                <w:rFonts w:asciiTheme="minorHAnsi" w:hAnsiTheme="minorHAnsi" w:cs="Calibri"/>
                <w:color w:val="auto"/>
                <w:spacing w:val="60"/>
                <w:sz w:val="22"/>
                <w:szCs w:val="22"/>
              </w:rPr>
              <w:t xml:space="preserve"> </w:t>
            </w:r>
            <w:r w:rsidRPr="00D17133">
              <w:rPr>
                <w:rFonts w:asciiTheme="minorHAnsi" w:hAnsiTheme="minorHAnsi" w:cs="Calibri"/>
                <w:color w:val="auto"/>
                <w:sz w:val="22"/>
                <w:szCs w:val="22"/>
              </w:rPr>
              <w:t>the</w:t>
            </w:r>
            <w:r w:rsidRPr="00D17133">
              <w:rPr>
                <w:rFonts w:asciiTheme="minorHAnsi" w:hAnsiTheme="minorHAnsi" w:cs="Calibri"/>
                <w:color w:val="auto"/>
                <w:spacing w:val="59"/>
                <w:sz w:val="22"/>
                <w:szCs w:val="22"/>
              </w:rPr>
              <w:t xml:space="preserve"> </w:t>
            </w:r>
            <w:r w:rsidRPr="00D17133">
              <w:rPr>
                <w:rFonts w:asciiTheme="minorHAnsi" w:hAnsiTheme="minorHAnsi" w:cs="Calibri"/>
                <w:color w:val="auto"/>
                <w:sz w:val="22"/>
                <w:szCs w:val="22"/>
              </w:rPr>
              <w:t>attention</w:t>
            </w:r>
            <w:r w:rsidRPr="00D17133">
              <w:rPr>
                <w:rFonts w:asciiTheme="minorHAnsi" w:hAnsiTheme="minorHAnsi" w:cs="Calibri"/>
                <w:color w:val="auto"/>
                <w:spacing w:val="60"/>
                <w:sz w:val="22"/>
                <w:szCs w:val="22"/>
              </w:rPr>
              <w:t xml:space="preserve"> </w:t>
            </w:r>
            <w:r w:rsidRPr="00D17133">
              <w:rPr>
                <w:rFonts w:asciiTheme="minorHAnsi" w:hAnsiTheme="minorHAnsi" w:cs="Calibri"/>
                <w:color w:val="auto"/>
                <w:sz w:val="22"/>
                <w:szCs w:val="22"/>
              </w:rPr>
              <w:t>of</w:t>
            </w:r>
            <w:r w:rsidRPr="00D17133">
              <w:rPr>
                <w:rFonts w:asciiTheme="minorHAnsi" w:hAnsiTheme="minorHAnsi" w:cs="Calibri"/>
                <w:color w:val="auto"/>
                <w:spacing w:val="59"/>
                <w:sz w:val="22"/>
                <w:szCs w:val="22"/>
              </w:rPr>
              <w:t xml:space="preserve"> </w:t>
            </w:r>
            <w:r w:rsidRPr="00D17133">
              <w:rPr>
                <w:rFonts w:asciiTheme="minorHAnsi" w:hAnsiTheme="minorHAnsi" w:cs="Calibri"/>
                <w:color w:val="auto"/>
                <w:sz w:val="22"/>
                <w:szCs w:val="22"/>
              </w:rPr>
              <w:t>Antarctic</w:t>
            </w:r>
            <w:r w:rsidRPr="00D17133">
              <w:rPr>
                <w:rFonts w:asciiTheme="minorHAnsi" w:hAnsiTheme="minorHAnsi" w:cs="Calibri"/>
                <w:color w:val="auto"/>
                <w:spacing w:val="59"/>
                <w:sz w:val="22"/>
                <w:szCs w:val="22"/>
              </w:rPr>
              <w:t xml:space="preserve"> </w:t>
            </w:r>
            <w:r w:rsidRPr="00D17133">
              <w:rPr>
                <w:rFonts w:asciiTheme="minorHAnsi" w:hAnsiTheme="minorHAnsi" w:cs="Calibri"/>
                <w:color w:val="auto"/>
                <w:sz w:val="22"/>
                <w:szCs w:val="22"/>
              </w:rPr>
              <w:t>policy</w:t>
            </w:r>
            <w:r w:rsidRPr="00D17133">
              <w:rPr>
                <w:rFonts w:asciiTheme="minorHAnsi" w:hAnsiTheme="minorHAnsi" w:cs="Calibri"/>
                <w:color w:val="auto"/>
                <w:spacing w:val="57"/>
                <w:sz w:val="22"/>
                <w:szCs w:val="22"/>
              </w:rPr>
              <w:t xml:space="preserve"> </w:t>
            </w:r>
            <w:r w:rsidRPr="00D17133">
              <w:rPr>
                <w:rFonts w:asciiTheme="minorHAnsi" w:hAnsiTheme="minorHAnsi" w:cs="Calibri"/>
                <w:color w:val="auto"/>
                <w:sz w:val="22"/>
                <w:szCs w:val="22"/>
              </w:rPr>
              <w:t>makers.</w:t>
            </w:r>
            <w:r w:rsidRPr="00D17133">
              <w:rPr>
                <w:rFonts w:asciiTheme="minorHAnsi" w:hAnsiTheme="minorHAnsi" w:cs="Calibri"/>
                <w:color w:val="auto"/>
                <w:spacing w:val="60"/>
                <w:sz w:val="22"/>
                <w:szCs w:val="22"/>
              </w:rPr>
              <w:t xml:space="preserve"> </w:t>
            </w:r>
            <w:r w:rsidRPr="00D17133">
              <w:rPr>
                <w:rFonts w:asciiTheme="minorHAnsi" w:hAnsiTheme="minorHAnsi" w:cs="Calibri"/>
                <w:color w:val="auto"/>
                <w:sz w:val="22"/>
                <w:szCs w:val="22"/>
              </w:rPr>
              <w:t>The</w:t>
            </w:r>
            <w:r w:rsidRPr="00D17133">
              <w:rPr>
                <w:rFonts w:asciiTheme="minorHAnsi" w:hAnsiTheme="minorHAnsi" w:cs="Calibri"/>
                <w:color w:val="auto"/>
                <w:spacing w:val="8"/>
                <w:sz w:val="22"/>
                <w:szCs w:val="22"/>
              </w:rPr>
              <w:t xml:space="preserve"> SC-CAMLR</w:t>
            </w:r>
            <w:r w:rsidRPr="00D17133">
              <w:rPr>
                <w:rFonts w:asciiTheme="minorHAnsi" w:hAnsiTheme="minorHAnsi" w:cs="Calibri"/>
                <w:color w:val="auto"/>
                <w:spacing w:val="6"/>
                <w:sz w:val="22"/>
                <w:szCs w:val="22"/>
              </w:rPr>
              <w:t xml:space="preserve"> </w:t>
            </w:r>
            <w:r w:rsidRPr="00D17133">
              <w:rPr>
                <w:rFonts w:asciiTheme="minorHAnsi" w:hAnsiTheme="minorHAnsi" w:cs="Calibri"/>
                <w:color w:val="auto"/>
                <w:sz w:val="22"/>
                <w:szCs w:val="22"/>
              </w:rPr>
              <w:t>was</w:t>
            </w:r>
            <w:r w:rsidRPr="00D17133">
              <w:rPr>
                <w:rFonts w:asciiTheme="minorHAnsi" w:hAnsiTheme="minorHAnsi" w:cs="Calibri"/>
                <w:color w:val="auto"/>
                <w:spacing w:val="7"/>
                <w:sz w:val="22"/>
                <w:szCs w:val="22"/>
              </w:rPr>
              <w:t xml:space="preserve"> </w:t>
            </w:r>
            <w:r w:rsidRPr="00D17133">
              <w:rPr>
                <w:rFonts w:asciiTheme="minorHAnsi" w:hAnsiTheme="minorHAnsi" w:cs="Calibri"/>
                <w:color w:val="auto"/>
                <w:sz w:val="22"/>
                <w:szCs w:val="22"/>
              </w:rPr>
              <w:t>encouraged</w:t>
            </w:r>
            <w:r w:rsidRPr="00D17133">
              <w:rPr>
                <w:rFonts w:asciiTheme="minorHAnsi" w:hAnsiTheme="minorHAnsi" w:cs="Calibri"/>
                <w:color w:val="auto"/>
                <w:spacing w:val="9"/>
                <w:sz w:val="22"/>
                <w:szCs w:val="22"/>
              </w:rPr>
              <w:t xml:space="preserve"> </w:t>
            </w:r>
            <w:r w:rsidRPr="00D17133">
              <w:rPr>
                <w:rFonts w:asciiTheme="minorHAnsi" w:hAnsiTheme="minorHAnsi" w:cs="Calibri"/>
                <w:color w:val="auto"/>
                <w:sz w:val="22"/>
                <w:szCs w:val="22"/>
              </w:rPr>
              <w:t>to</w:t>
            </w:r>
            <w:r w:rsidRPr="00D17133">
              <w:rPr>
                <w:rFonts w:asciiTheme="minorHAnsi" w:hAnsiTheme="minorHAnsi" w:cs="Calibri"/>
                <w:color w:val="auto"/>
                <w:spacing w:val="7"/>
                <w:sz w:val="22"/>
                <w:szCs w:val="22"/>
              </w:rPr>
              <w:t xml:space="preserve"> </w:t>
            </w:r>
            <w:r w:rsidRPr="00D17133">
              <w:rPr>
                <w:rFonts w:asciiTheme="minorHAnsi" w:hAnsiTheme="minorHAnsi" w:cs="Calibri"/>
                <w:color w:val="auto"/>
                <w:sz w:val="22"/>
                <w:szCs w:val="22"/>
              </w:rPr>
              <w:t>make</w:t>
            </w:r>
            <w:r w:rsidRPr="00D17133">
              <w:rPr>
                <w:rFonts w:asciiTheme="minorHAnsi" w:hAnsiTheme="minorHAnsi" w:cs="Calibri"/>
                <w:color w:val="auto"/>
                <w:spacing w:val="6"/>
                <w:sz w:val="22"/>
                <w:szCs w:val="22"/>
              </w:rPr>
              <w:t xml:space="preserve"> </w:t>
            </w:r>
            <w:r w:rsidRPr="00D17133">
              <w:rPr>
                <w:rFonts w:asciiTheme="minorHAnsi" w:hAnsiTheme="minorHAnsi" w:cs="Calibri"/>
                <w:color w:val="auto"/>
                <w:sz w:val="22"/>
                <w:szCs w:val="22"/>
              </w:rPr>
              <w:t>further</w:t>
            </w:r>
            <w:r w:rsidRPr="00D17133">
              <w:rPr>
                <w:rFonts w:asciiTheme="minorHAnsi" w:hAnsiTheme="minorHAnsi" w:cs="Calibri"/>
                <w:color w:val="auto"/>
                <w:spacing w:val="6"/>
                <w:sz w:val="22"/>
                <w:szCs w:val="22"/>
              </w:rPr>
              <w:t xml:space="preserve"> </w:t>
            </w:r>
            <w:r w:rsidRPr="00D17133">
              <w:rPr>
                <w:rFonts w:asciiTheme="minorHAnsi" w:hAnsiTheme="minorHAnsi" w:cs="Calibri"/>
                <w:color w:val="auto"/>
                <w:sz w:val="22"/>
                <w:szCs w:val="22"/>
              </w:rPr>
              <w:t>suggestions</w:t>
            </w:r>
            <w:r w:rsidRPr="00D17133">
              <w:rPr>
                <w:rFonts w:asciiTheme="minorHAnsi" w:hAnsiTheme="minorHAnsi" w:cs="Calibri"/>
                <w:color w:val="auto"/>
                <w:spacing w:val="7"/>
                <w:sz w:val="22"/>
                <w:szCs w:val="22"/>
              </w:rPr>
              <w:t xml:space="preserve"> </w:t>
            </w:r>
            <w:r w:rsidRPr="00D17133">
              <w:rPr>
                <w:rFonts w:asciiTheme="minorHAnsi" w:hAnsiTheme="minorHAnsi" w:cs="Calibri"/>
                <w:color w:val="auto"/>
                <w:sz w:val="22"/>
                <w:szCs w:val="22"/>
              </w:rPr>
              <w:t>for</w:t>
            </w:r>
            <w:r w:rsidRPr="00D17133">
              <w:rPr>
                <w:rFonts w:asciiTheme="minorHAnsi" w:hAnsiTheme="minorHAnsi" w:cs="Calibri"/>
                <w:color w:val="auto"/>
                <w:spacing w:val="6"/>
                <w:sz w:val="22"/>
                <w:szCs w:val="22"/>
              </w:rPr>
              <w:t xml:space="preserve"> </w:t>
            </w:r>
            <w:r w:rsidRPr="00D17133">
              <w:rPr>
                <w:rFonts w:asciiTheme="minorHAnsi" w:hAnsiTheme="minorHAnsi" w:cs="Calibri"/>
                <w:color w:val="auto"/>
                <w:sz w:val="22"/>
                <w:szCs w:val="22"/>
              </w:rPr>
              <w:t>topics</w:t>
            </w:r>
            <w:r w:rsidRPr="00D17133">
              <w:rPr>
                <w:rFonts w:asciiTheme="minorHAnsi" w:hAnsiTheme="minorHAnsi" w:cs="Calibri"/>
                <w:color w:val="auto"/>
                <w:spacing w:val="7"/>
                <w:sz w:val="22"/>
                <w:szCs w:val="22"/>
              </w:rPr>
              <w:t xml:space="preserve"> </w:t>
            </w:r>
            <w:r w:rsidRPr="00D17133">
              <w:rPr>
                <w:rFonts w:asciiTheme="minorHAnsi" w:hAnsiTheme="minorHAnsi" w:cs="Calibri"/>
                <w:color w:val="auto"/>
                <w:sz w:val="22"/>
                <w:szCs w:val="22"/>
              </w:rPr>
              <w:t>to</w:t>
            </w:r>
            <w:r w:rsidRPr="00D17133">
              <w:rPr>
                <w:rFonts w:asciiTheme="minorHAnsi" w:hAnsiTheme="minorHAnsi" w:cs="Calibri"/>
                <w:color w:val="auto"/>
                <w:spacing w:val="7"/>
                <w:sz w:val="22"/>
                <w:szCs w:val="22"/>
              </w:rPr>
              <w:t xml:space="preserve"> </w:t>
            </w:r>
            <w:r w:rsidRPr="00D17133">
              <w:rPr>
                <w:rFonts w:asciiTheme="minorHAnsi" w:hAnsiTheme="minorHAnsi" w:cs="Calibri"/>
                <w:color w:val="auto"/>
                <w:sz w:val="22"/>
                <w:szCs w:val="22"/>
              </w:rPr>
              <w:t>be included in the</w:t>
            </w:r>
            <w:r w:rsidRPr="00D17133">
              <w:rPr>
                <w:rFonts w:asciiTheme="minorHAnsi" w:hAnsiTheme="minorHAnsi" w:cs="Calibri"/>
                <w:color w:val="auto"/>
                <w:spacing w:val="-1"/>
                <w:sz w:val="22"/>
                <w:szCs w:val="22"/>
              </w:rPr>
              <w:t xml:space="preserve"> </w:t>
            </w:r>
            <w:r w:rsidRPr="00D17133">
              <w:rPr>
                <w:rFonts w:asciiTheme="minorHAnsi" w:hAnsiTheme="minorHAnsi" w:cs="Calibri"/>
                <w:color w:val="auto"/>
                <w:sz w:val="22"/>
                <w:szCs w:val="22"/>
              </w:rPr>
              <w:t>Portal (SC-XXXV para. 8.8).</w:t>
            </w:r>
          </w:p>
          <w:p w14:paraId="1ACAE5B4" w14:textId="77777777" w:rsidR="009F018D" w:rsidRDefault="009F018D" w:rsidP="009F018D">
            <w:pPr>
              <w:pStyle w:val="Prrafodelista"/>
              <w:numPr>
                <w:ilvl w:val="0"/>
                <w:numId w:val="22"/>
              </w:numPr>
              <w:contextualSpacing/>
              <w:rPr>
                <w:rFonts w:cs="Calibri"/>
              </w:rPr>
            </w:pPr>
            <w:r w:rsidRPr="00D17133">
              <w:rPr>
                <w:rFonts w:cs="Calibri"/>
                <w:shd w:val="clear" w:color="auto" w:fill="FFFFFF"/>
              </w:rPr>
              <w:t xml:space="preserve">SC-CAMLR-40/BG/14 </w:t>
            </w:r>
            <w:r w:rsidRPr="00D17133">
              <w:rPr>
                <w:rFonts w:cs="Calibri"/>
                <w:i/>
                <w:iCs/>
                <w:shd w:val="clear" w:color="auto" w:fill="FFFFFF"/>
              </w:rPr>
              <w:t>Antarctic Environments Portal</w:t>
            </w:r>
            <w:r w:rsidRPr="00D17133">
              <w:rPr>
                <w:rFonts w:cs="Calibri"/>
                <w:shd w:val="clear" w:color="auto" w:fill="FFFFFF"/>
              </w:rPr>
              <w:t xml:space="preserve"> (SCAR) provides e</w:t>
            </w:r>
            <w:r w:rsidRPr="00D17133">
              <w:rPr>
                <w:rFonts w:cs="Calibri"/>
              </w:rPr>
              <w:t>xamples of Information Summaries published in the Portal that link directly with issues of priority interest and encourages further suggestions for topics of interest to SC-CAMLR.</w:t>
            </w:r>
          </w:p>
          <w:p w14:paraId="74DAFA43" w14:textId="77777777" w:rsidR="009F018D" w:rsidRPr="00D17133" w:rsidRDefault="009F018D" w:rsidP="00A12816"/>
        </w:tc>
        <w:tc>
          <w:tcPr>
            <w:tcW w:w="5509" w:type="dxa"/>
            <w:tcBorders>
              <w:top w:val="nil"/>
              <w:left w:val="nil"/>
              <w:bottom w:val="single" w:sz="4" w:space="0" w:color="auto"/>
              <w:right w:val="single" w:sz="4" w:space="0" w:color="auto"/>
            </w:tcBorders>
          </w:tcPr>
          <w:p w14:paraId="0FBFCE4F" w14:textId="77777777" w:rsidR="009F018D" w:rsidRDefault="009F018D" w:rsidP="009F018D">
            <w:pPr>
              <w:pStyle w:val="Prrafodelista"/>
              <w:numPr>
                <w:ilvl w:val="0"/>
                <w:numId w:val="22"/>
              </w:numPr>
              <w:contextualSpacing/>
            </w:pPr>
            <w:r>
              <w:t xml:space="preserve">The CEP has encouraged and welcomed the continuing development of the Antarctic Environments Portal, as a </w:t>
            </w:r>
            <w:proofErr w:type="gramStart"/>
            <w:r>
              <w:t>high quality</w:t>
            </w:r>
            <w:proofErr w:type="gramEnd"/>
            <w:r>
              <w:t xml:space="preserve"> source of the best available science for policymakers to support decision-making, and which is important for supporting the work of the SGCCR to and implementation of the CCRWP (e.g. CEP XXIII Final Report para. 220).</w:t>
            </w:r>
          </w:p>
          <w:p w14:paraId="4C5A6AD0" w14:textId="77777777" w:rsidR="009F018D" w:rsidRPr="00E8550D" w:rsidRDefault="009F018D" w:rsidP="009F018D">
            <w:pPr>
              <w:pStyle w:val="Prrafodelista"/>
              <w:numPr>
                <w:ilvl w:val="0"/>
                <w:numId w:val="22"/>
              </w:numPr>
              <w:spacing w:after="160" w:line="259" w:lineRule="auto"/>
              <w:contextualSpacing/>
            </w:pPr>
            <w:r w:rsidRPr="00E8550D">
              <w:t xml:space="preserve">As indicated in </w:t>
            </w:r>
            <w:hyperlink r:id="rId36" w:history="1">
              <w:r w:rsidRPr="00E8550D">
                <w:rPr>
                  <w:rStyle w:val="Hipervnculo"/>
                </w:rPr>
                <w:t>ATCM XLIII/WP014</w:t>
              </w:r>
            </w:hyperlink>
            <w:r w:rsidRPr="00E8550D">
              <w:t xml:space="preserve"> </w:t>
            </w:r>
            <w:r w:rsidRPr="00E8550D">
              <w:rPr>
                <w:i/>
              </w:rPr>
              <w:t>Report of the Subsidiary Group on Climate Change Response (SGCCR) 2019-2021</w:t>
            </w:r>
            <w:r w:rsidRPr="00E8550D">
              <w:t xml:space="preserve"> (United Kingdom), the SGCCR has developed a </w:t>
            </w:r>
            <w:hyperlink r:id="rId37" w:history="1">
              <w:r w:rsidRPr="00E8550D">
                <w:rPr>
                  <w:rStyle w:val="Hipervnculo"/>
                </w:rPr>
                <w:t>process for requesting scientific information</w:t>
              </w:r>
            </w:hyperlink>
            <w:r w:rsidRPr="00E8550D">
              <w:t xml:space="preserve"> relevant to the implementation of the </w:t>
            </w:r>
            <w:r w:rsidRPr="00E8550D">
              <w:lastRenderedPageBreak/>
              <w:t>CCRWP, including via (</w:t>
            </w:r>
            <w:proofErr w:type="spellStart"/>
            <w:r w:rsidRPr="00E8550D">
              <w:t>i</w:t>
            </w:r>
            <w:proofErr w:type="spellEnd"/>
            <w:r w:rsidRPr="00E8550D">
              <w:t>) the SCAR Antarctic Environments Portal and (ii) other science bodies.</w:t>
            </w:r>
          </w:p>
          <w:p w14:paraId="43C09DA8" w14:textId="77777777" w:rsidR="009F018D" w:rsidRPr="00F93D3A" w:rsidRDefault="009F018D" w:rsidP="009F018D">
            <w:pPr>
              <w:pStyle w:val="Prrafodelista"/>
              <w:numPr>
                <w:ilvl w:val="0"/>
                <w:numId w:val="21"/>
              </w:numPr>
              <w:contextualSpacing/>
              <w:rPr>
                <w:color w:val="660000"/>
                <w:u w:val="single"/>
              </w:rPr>
            </w:pPr>
            <w:r>
              <w:t xml:space="preserve">The Antarctic Environments Portal contains many information summaries on climate-change topics </w:t>
            </w:r>
            <w:r w:rsidRPr="009A66A8">
              <w:t>relevant both the CEP and SC-CAMLR, for example including:</w:t>
            </w:r>
          </w:p>
          <w:p w14:paraId="4F6D05AE" w14:textId="77777777" w:rsidR="009F018D" w:rsidRPr="009A66A8" w:rsidRDefault="009F018D" w:rsidP="009F018D">
            <w:pPr>
              <w:pStyle w:val="Prrafodelista"/>
              <w:numPr>
                <w:ilvl w:val="1"/>
                <w:numId w:val="21"/>
              </w:numPr>
              <w:contextualSpacing/>
              <w:rPr>
                <w:rStyle w:val="Hipervnculo"/>
              </w:rPr>
            </w:pPr>
            <w:hyperlink r:id="rId38" w:history="1">
              <w:r w:rsidRPr="009A66A8">
                <w:rPr>
                  <w:rStyle w:val="Hipervnculo"/>
                </w:rPr>
                <w:t>Climate change as an emerging threat to Emperor Penguins</w:t>
              </w:r>
            </w:hyperlink>
          </w:p>
          <w:p w14:paraId="247FC146" w14:textId="77777777" w:rsidR="009F018D" w:rsidRPr="009A66A8" w:rsidRDefault="009F018D" w:rsidP="009F018D">
            <w:pPr>
              <w:pStyle w:val="Prrafodelista"/>
              <w:numPr>
                <w:ilvl w:val="1"/>
                <w:numId w:val="21"/>
              </w:numPr>
              <w:contextualSpacing/>
            </w:pPr>
            <w:hyperlink r:id="rId39" w:history="1">
              <w:r w:rsidRPr="009A66A8">
                <w:rPr>
                  <w:rStyle w:val="Hipervnculo"/>
                </w:rPr>
                <w:t>Sampling the Southern Ocean: technology for observing the marine system</w:t>
              </w:r>
            </w:hyperlink>
          </w:p>
          <w:p w14:paraId="542664D5" w14:textId="77777777" w:rsidR="009F018D" w:rsidRPr="009A66A8" w:rsidRDefault="009F018D" w:rsidP="009F018D">
            <w:pPr>
              <w:pStyle w:val="Prrafodelista"/>
              <w:numPr>
                <w:ilvl w:val="1"/>
                <w:numId w:val="21"/>
              </w:numPr>
              <w:contextualSpacing/>
            </w:pPr>
            <w:hyperlink r:id="rId40" w:history="1">
              <w:r w:rsidRPr="009A66A8">
                <w:rPr>
                  <w:rStyle w:val="Hipervnculo"/>
                </w:rPr>
                <w:t>Vulnerability of Southern Ocean biota to climate change</w:t>
              </w:r>
            </w:hyperlink>
          </w:p>
          <w:p w14:paraId="5FF72761" w14:textId="77777777" w:rsidR="009F018D" w:rsidRPr="009A66A8" w:rsidRDefault="009F018D" w:rsidP="009F018D">
            <w:pPr>
              <w:pStyle w:val="Prrafodelista"/>
              <w:numPr>
                <w:ilvl w:val="1"/>
                <w:numId w:val="21"/>
              </w:numPr>
              <w:contextualSpacing/>
            </w:pPr>
            <w:hyperlink r:id="rId41" w:history="1">
              <w:r w:rsidRPr="009A66A8">
                <w:rPr>
                  <w:rStyle w:val="Hipervnculo"/>
                </w:rPr>
                <w:t>Changes in penguin distribution over the Antarctic Peninsula and Scotia Arc</w:t>
              </w:r>
            </w:hyperlink>
          </w:p>
          <w:p w14:paraId="27AE9293" w14:textId="77777777" w:rsidR="009F018D" w:rsidRDefault="009F018D" w:rsidP="009F018D">
            <w:pPr>
              <w:pStyle w:val="Prrafodelista"/>
              <w:numPr>
                <w:ilvl w:val="1"/>
                <w:numId w:val="21"/>
              </w:numPr>
              <w:contextualSpacing/>
            </w:pPr>
            <w:hyperlink r:id="rId42" w:history="1">
              <w:r w:rsidRPr="009A66A8">
                <w:rPr>
                  <w:rStyle w:val="Hipervnculo"/>
                </w:rPr>
                <w:t>Antarctic Marine Biodiversity</w:t>
              </w:r>
            </w:hyperlink>
          </w:p>
          <w:p w14:paraId="6F39DF2D" w14:textId="77777777" w:rsidR="009F018D" w:rsidRPr="00F93D3A" w:rsidRDefault="009F018D" w:rsidP="009F018D">
            <w:pPr>
              <w:pStyle w:val="Prrafodelista"/>
              <w:numPr>
                <w:ilvl w:val="0"/>
                <w:numId w:val="25"/>
              </w:numPr>
              <w:contextualSpacing/>
            </w:pPr>
            <w:hyperlink r:id="rId43" w:history="1">
              <w:r w:rsidRPr="009A66A8">
                <w:rPr>
                  <w:rStyle w:val="Hipervnculo"/>
                </w:rPr>
                <w:t>Ten scientific messages on risks and opportunities for life in the Antarctic</w:t>
              </w:r>
            </w:hyperlink>
          </w:p>
        </w:tc>
      </w:tr>
      <w:tr w:rsidR="009F018D" w:rsidRPr="00F13694" w14:paraId="5425480A" w14:textId="77777777" w:rsidTr="00A12816">
        <w:trPr>
          <w:trHeight w:val="1160"/>
        </w:trPr>
        <w:tc>
          <w:tcPr>
            <w:tcW w:w="702" w:type="dxa"/>
            <w:tcBorders>
              <w:top w:val="nil"/>
              <w:left w:val="single" w:sz="4" w:space="0" w:color="auto"/>
              <w:bottom w:val="single" w:sz="4" w:space="0" w:color="auto"/>
              <w:right w:val="single" w:sz="4" w:space="0" w:color="auto"/>
            </w:tcBorders>
            <w:hideMark/>
          </w:tcPr>
          <w:p w14:paraId="4BF46E3B" w14:textId="77777777" w:rsidR="009F018D" w:rsidRPr="00F13694" w:rsidRDefault="009F018D" w:rsidP="00A12816">
            <w:r w:rsidRPr="00F13694">
              <w:lastRenderedPageBreak/>
              <w:t>11</w:t>
            </w:r>
          </w:p>
        </w:tc>
        <w:tc>
          <w:tcPr>
            <w:tcW w:w="2336" w:type="dxa"/>
            <w:tcBorders>
              <w:top w:val="nil"/>
              <w:left w:val="nil"/>
              <w:bottom w:val="single" w:sz="4" w:space="0" w:color="auto"/>
              <w:right w:val="single" w:sz="4" w:space="0" w:color="auto"/>
            </w:tcBorders>
            <w:hideMark/>
          </w:tcPr>
          <w:p w14:paraId="7B35B308" w14:textId="77777777" w:rsidR="009F018D" w:rsidRPr="00F13694" w:rsidRDefault="009F018D" w:rsidP="00A12816">
            <w:r w:rsidRPr="00F13694">
              <w:t xml:space="preserve">Recognize the importance of using common baseline </w:t>
            </w:r>
            <w:proofErr w:type="gramStart"/>
            <w:r w:rsidRPr="00F13694">
              <w:t>information, and</w:t>
            </w:r>
            <w:proofErr w:type="gramEnd"/>
            <w:r w:rsidRPr="00F13694">
              <w:t xml:space="preserve"> recommend that summary information such as ACCE updates and are submitted under climate change agenda item in both Committees.</w:t>
            </w:r>
          </w:p>
        </w:tc>
        <w:tc>
          <w:tcPr>
            <w:tcW w:w="5509" w:type="dxa"/>
            <w:tcBorders>
              <w:top w:val="nil"/>
              <w:left w:val="nil"/>
              <w:bottom w:val="single" w:sz="4" w:space="0" w:color="auto"/>
              <w:right w:val="single" w:sz="4" w:space="0" w:color="auto"/>
            </w:tcBorders>
            <w:hideMark/>
          </w:tcPr>
          <w:p w14:paraId="562245CC" w14:textId="77777777" w:rsidR="009F018D" w:rsidRPr="00D17133" w:rsidRDefault="009F018D" w:rsidP="009F018D">
            <w:pPr>
              <w:pStyle w:val="Prrafodelista"/>
              <w:numPr>
                <w:ilvl w:val="0"/>
                <w:numId w:val="21"/>
              </w:numPr>
              <w:contextualSpacing/>
              <w:rPr>
                <w:rFonts w:cs="Calibri"/>
              </w:rPr>
            </w:pPr>
            <w:r w:rsidRPr="00D17133">
              <w:rPr>
                <w:rFonts w:cs="Calibri"/>
              </w:rPr>
              <w:t>Since the workshop, SCAR provided regular ACCE updates to SC</w:t>
            </w:r>
            <w:r>
              <w:rPr>
                <w:rFonts w:cs="Calibri"/>
              </w:rPr>
              <w:t>-</w:t>
            </w:r>
            <w:r w:rsidRPr="00D17133">
              <w:rPr>
                <w:rFonts w:cs="Calibri"/>
              </w:rPr>
              <w:t>CAMLR</w:t>
            </w:r>
          </w:p>
          <w:p w14:paraId="7BDC81BE" w14:textId="77777777" w:rsidR="009F018D" w:rsidRPr="00D17133" w:rsidRDefault="009F018D" w:rsidP="009F018D">
            <w:pPr>
              <w:pStyle w:val="Prrafodelista"/>
              <w:numPr>
                <w:ilvl w:val="1"/>
                <w:numId w:val="21"/>
              </w:numPr>
              <w:contextualSpacing/>
              <w:rPr>
                <w:rFonts w:cs="Calibri"/>
              </w:rPr>
            </w:pPr>
            <w:r w:rsidRPr="00D17133">
              <w:rPr>
                <w:rFonts w:cs="Calibri"/>
              </w:rPr>
              <w:t xml:space="preserve">SC-CAMLR-XXXVI/BG/16 </w:t>
            </w:r>
            <w:r w:rsidRPr="00D17133">
              <w:rPr>
                <w:rFonts w:cs="Calibri"/>
                <w:i/>
              </w:rPr>
              <w:t xml:space="preserve">Antarctic Climate Change and the Environment – 2017 Update </w:t>
            </w:r>
            <w:r w:rsidRPr="00D17133">
              <w:rPr>
                <w:rFonts w:cs="Calibri"/>
                <w:iCs/>
              </w:rPr>
              <w:t>(SCAR)</w:t>
            </w:r>
          </w:p>
          <w:p w14:paraId="556A3FAC" w14:textId="77777777" w:rsidR="009F018D" w:rsidRPr="00D17133" w:rsidRDefault="009F018D" w:rsidP="009F018D">
            <w:pPr>
              <w:pStyle w:val="Prrafodelista"/>
              <w:numPr>
                <w:ilvl w:val="1"/>
                <w:numId w:val="21"/>
              </w:numPr>
              <w:contextualSpacing/>
              <w:rPr>
                <w:rFonts w:cs="Calibri"/>
              </w:rPr>
            </w:pPr>
            <w:r w:rsidRPr="00D17133">
              <w:rPr>
                <w:rFonts w:cs="Calibri"/>
              </w:rPr>
              <w:t xml:space="preserve">SC-CAMLR-38/BG/17 </w:t>
            </w:r>
            <w:r w:rsidRPr="00D17133">
              <w:rPr>
                <w:rFonts w:cs="Calibri"/>
                <w:i/>
              </w:rPr>
              <w:t>Antarctic Climate Change and the Environment – 2019 Updat</w:t>
            </w:r>
            <w:r w:rsidRPr="00D17133">
              <w:rPr>
                <w:rFonts w:cs="Calibri"/>
              </w:rPr>
              <w:t>e (SCAR)</w:t>
            </w:r>
          </w:p>
          <w:p w14:paraId="681987D1" w14:textId="77777777" w:rsidR="009F018D" w:rsidRPr="00D17133" w:rsidRDefault="009F018D" w:rsidP="009F018D">
            <w:pPr>
              <w:pStyle w:val="Prrafodelista"/>
              <w:numPr>
                <w:ilvl w:val="0"/>
                <w:numId w:val="21"/>
              </w:numPr>
              <w:contextualSpacing/>
              <w:rPr>
                <w:rFonts w:cs="Calibri"/>
              </w:rPr>
            </w:pPr>
            <w:r w:rsidRPr="00D17133">
              <w:rPr>
                <w:rFonts w:cs="Calibri"/>
              </w:rPr>
              <w:t>At SC-CAMLR-40 (2021), SCAR also provided:</w:t>
            </w:r>
          </w:p>
          <w:p w14:paraId="367C5111" w14:textId="77777777" w:rsidR="009F018D" w:rsidRPr="00D17133" w:rsidRDefault="009F018D" w:rsidP="009F018D">
            <w:pPr>
              <w:pStyle w:val="Prrafodelista"/>
              <w:numPr>
                <w:ilvl w:val="1"/>
                <w:numId w:val="21"/>
              </w:numPr>
              <w:contextualSpacing/>
              <w:rPr>
                <w:rFonts w:cs="Calibri"/>
              </w:rPr>
            </w:pPr>
            <w:r w:rsidRPr="00CD0B48">
              <w:rPr>
                <w:rFonts w:cs="Calibri"/>
                <w:i/>
                <w:iCs/>
              </w:rPr>
              <w:t>SC-CAMLR-40/BG/12 Antarctic and Southern Ocean Climate Change in a Global Context</w:t>
            </w:r>
            <w:r w:rsidRPr="00D17133">
              <w:rPr>
                <w:rFonts w:cs="Calibri"/>
              </w:rPr>
              <w:t xml:space="preserve"> (SCAR)</w:t>
            </w:r>
          </w:p>
          <w:p w14:paraId="5A3EC17B" w14:textId="77777777" w:rsidR="009F018D" w:rsidRPr="00D17133" w:rsidRDefault="009F018D" w:rsidP="009F018D">
            <w:pPr>
              <w:pStyle w:val="Prrafodelista"/>
              <w:numPr>
                <w:ilvl w:val="1"/>
                <w:numId w:val="21"/>
              </w:numPr>
              <w:contextualSpacing/>
              <w:rPr>
                <w:rFonts w:cs="Calibri"/>
              </w:rPr>
            </w:pPr>
            <w:r w:rsidRPr="00CD0B48">
              <w:rPr>
                <w:rFonts w:cs="Calibri"/>
                <w:i/>
                <w:iCs/>
              </w:rPr>
              <w:t xml:space="preserve">SC-CAMLR-40/BG/13 </w:t>
            </w:r>
            <w:r w:rsidRPr="00CD0B48">
              <w:rPr>
                <w:rFonts w:cs="Calibri"/>
                <w:i/>
                <w:iCs/>
                <w:shd w:val="clear" w:color="auto" w:fill="FFFFFF"/>
              </w:rPr>
              <w:t>Ocean acidification</w:t>
            </w:r>
            <w:r w:rsidRPr="00D17133">
              <w:rPr>
                <w:rFonts w:cs="Calibri"/>
              </w:rPr>
              <w:t xml:space="preserve"> (SCAR)</w:t>
            </w:r>
          </w:p>
          <w:p w14:paraId="34917063" w14:textId="77777777" w:rsidR="009F018D" w:rsidRPr="00D17133" w:rsidRDefault="009F018D" w:rsidP="00A12816">
            <w:pPr>
              <w:pStyle w:val="Prrafodelista"/>
              <w:ind w:left="1080"/>
            </w:pPr>
          </w:p>
        </w:tc>
        <w:tc>
          <w:tcPr>
            <w:tcW w:w="5509" w:type="dxa"/>
            <w:tcBorders>
              <w:top w:val="nil"/>
              <w:left w:val="nil"/>
              <w:bottom w:val="single" w:sz="4" w:space="0" w:color="auto"/>
              <w:right w:val="single" w:sz="4" w:space="0" w:color="auto"/>
            </w:tcBorders>
          </w:tcPr>
          <w:p w14:paraId="4A916499" w14:textId="77777777" w:rsidR="009F018D" w:rsidRDefault="009F018D" w:rsidP="009F018D">
            <w:pPr>
              <w:pStyle w:val="Prrafodelista"/>
              <w:numPr>
                <w:ilvl w:val="0"/>
                <w:numId w:val="21"/>
              </w:numPr>
              <w:contextualSpacing/>
            </w:pPr>
            <w:r>
              <w:t>CEP XIX</w:t>
            </w:r>
            <w:r w:rsidRPr="000B2005">
              <w:t xml:space="preserve"> noted that Recommendations 11 and 12 require the development of further scientific </w:t>
            </w:r>
            <w:proofErr w:type="gramStart"/>
            <w:r w:rsidRPr="000B2005">
              <w:t>input, and</w:t>
            </w:r>
            <w:proofErr w:type="gramEnd"/>
            <w:r w:rsidRPr="000B2005">
              <w:t xml:space="preserve"> encouraged the involvement of SCAR and its associated programmes and other relevant organisations</w:t>
            </w:r>
            <w:r>
              <w:t xml:space="preserve"> and programmes</w:t>
            </w:r>
            <w:r w:rsidRPr="000B2005">
              <w:t xml:space="preserve"> as appropriate</w:t>
            </w:r>
            <w:r>
              <w:t xml:space="preserve"> (CEP XIX Final Report para. 52)</w:t>
            </w:r>
            <w:r w:rsidRPr="000B2005">
              <w:t xml:space="preserve">. </w:t>
            </w:r>
          </w:p>
          <w:p w14:paraId="46CD2B3B" w14:textId="77777777" w:rsidR="009F018D" w:rsidRDefault="009F018D" w:rsidP="009F018D">
            <w:pPr>
              <w:pStyle w:val="Prrafodelista"/>
              <w:numPr>
                <w:ilvl w:val="0"/>
                <w:numId w:val="21"/>
              </w:numPr>
              <w:contextualSpacing/>
            </w:pPr>
            <w:r>
              <w:t xml:space="preserve">Since the workshop, SCAR has continued to provide regular </w:t>
            </w:r>
            <w:r w:rsidRPr="00B7298F">
              <w:t xml:space="preserve">ACCE </w:t>
            </w:r>
            <w:r>
              <w:t>updates to the CEP:</w:t>
            </w:r>
          </w:p>
          <w:p w14:paraId="4800549E" w14:textId="77777777" w:rsidR="009F018D" w:rsidRDefault="009F018D" w:rsidP="009F018D">
            <w:pPr>
              <w:pStyle w:val="Prrafodelista"/>
              <w:numPr>
                <w:ilvl w:val="1"/>
                <w:numId w:val="21"/>
              </w:numPr>
              <w:contextualSpacing/>
            </w:pPr>
            <w:hyperlink r:id="rId44" w:history="1">
              <w:r w:rsidRPr="00467D00">
                <w:rPr>
                  <w:rStyle w:val="Hipervnculo"/>
                </w:rPr>
                <w:t>ATCM XXXIX/IP035</w:t>
              </w:r>
            </w:hyperlink>
            <w:r w:rsidRPr="00467D00">
              <w:t xml:space="preserve"> </w:t>
            </w:r>
            <w:r w:rsidRPr="0014761A">
              <w:rPr>
                <w:i/>
              </w:rPr>
              <w:t>Antarctic Climate Change and the Environment 2016 Update</w:t>
            </w:r>
          </w:p>
          <w:p w14:paraId="4FBB179A" w14:textId="77777777" w:rsidR="009F018D" w:rsidRDefault="009F018D" w:rsidP="009F018D">
            <w:pPr>
              <w:pStyle w:val="Prrafodelista"/>
              <w:numPr>
                <w:ilvl w:val="1"/>
                <w:numId w:val="21"/>
              </w:numPr>
              <w:contextualSpacing/>
            </w:pPr>
            <w:hyperlink r:id="rId45" w:history="1">
              <w:r w:rsidRPr="00467D00">
                <w:rPr>
                  <w:rStyle w:val="Hipervnculo"/>
                </w:rPr>
                <w:t>ATCM XL/IP80rev.1</w:t>
              </w:r>
            </w:hyperlink>
            <w:r w:rsidRPr="00467D00">
              <w:t xml:space="preserve"> </w:t>
            </w:r>
            <w:r w:rsidRPr="0014761A">
              <w:rPr>
                <w:i/>
              </w:rPr>
              <w:t>Antarctic Climate Change and the Environment – 2017 Update</w:t>
            </w:r>
          </w:p>
          <w:p w14:paraId="57853F7E" w14:textId="77777777" w:rsidR="009F018D" w:rsidRDefault="009F018D" w:rsidP="009F018D">
            <w:pPr>
              <w:pStyle w:val="Prrafodelista"/>
              <w:numPr>
                <w:ilvl w:val="1"/>
                <w:numId w:val="21"/>
              </w:numPr>
              <w:contextualSpacing/>
            </w:pPr>
            <w:hyperlink r:id="rId46" w:history="1">
              <w:r w:rsidRPr="00467D00">
                <w:rPr>
                  <w:rStyle w:val="Hipervnculo"/>
                </w:rPr>
                <w:t>ATCM XLII/IP136</w:t>
              </w:r>
            </w:hyperlink>
            <w:r w:rsidRPr="00467D00">
              <w:t xml:space="preserve"> </w:t>
            </w:r>
            <w:r w:rsidRPr="0014761A">
              <w:rPr>
                <w:i/>
              </w:rPr>
              <w:t>Antarctic Climate Change and the Environment – 2019 Update</w:t>
            </w:r>
          </w:p>
          <w:p w14:paraId="2DE1A8BB" w14:textId="77777777" w:rsidR="009F018D" w:rsidRDefault="009F018D" w:rsidP="009F018D">
            <w:pPr>
              <w:pStyle w:val="Prrafodelista"/>
              <w:numPr>
                <w:ilvl w:val="0"/>
                <w:numId w:val="21"/>
              </w:numPr>
              <w:contextualSpacing/>
            </w:pPr>
            <w:r>
              <w:lastRenderedPageBreak/>
              <w:t>At CEP XXIII, SCAR also provided:</w:t>
            </w:r>
          </w:p>
          <w:p w14:paraId="4512CD3F" w14:textId="77777777" w:rsidR="009F018D" w:rsidRDefault="009F018D" w:rsidP="009F018D">
            <w:pPr>
              <w:pStyle w:val="Prrafodelista"/>
              <w:numPr>
                <w:ilvl w:val="1"/>
                <w:numId w:val="21"/>
              </w:numPr>
              <w:contextualSpacing/>
            </w:pPr>
            <w:hyperlink r:id="rId47" w:history="1">
              <w:r w:rsidRPr="009D6B5C">
                <w:rPr>
                  <w:rStyle w:val="Hipervnculo"/>
                </w:rPr>
                <w:t>ATCM XLIII/WP 17</w:t>
              </w:r>
            </w:hyperlink>
            <w:r w:rsidRPr="00B27CBC">
              <w:t xml:space="preserve"> </w:t>
            </w:r>
            <w:r w:rsidRPr="0014761A">
              <w:rPr>
                <w:i/>
              </w:rPr>
              <w:t>Antarctic Southern Ocean Climate Change in a Global Context</w:t>
            </w:r>
          </w:p>
          <w:p w14:paraId="7D58D661" w14:textId="77777777" w:rsidR="009F018D" w:rsidRPr="00D17133" w:rsidRDefault="009F018D" w:rsidP="009F018D">
            <w:pPr>
              <w:pStyle w:val="Prrafodelista"/>
              <w:numPr>
                <w:ilvl w:val="0"/>
                <w:numId w:val="25"/>
              </w:numPr>
              <w:contextualSpacing/>
              <w:rPr>
                <w:rFonts w:cs="Calibri"/>
              </w:rPr>
            </w:pPr>
            <w:hyperlink r:id="rId48" w:history="1">
              <w:r w:rsidRPr="009D6B5C">
                <w:rPr>
                  <w:rStyle w:val="Hipervnculo"/>
                </w:rPr>
                <w:t>ATCM XLIII/WP36</w:t>
              </w:r>
            </w:hyperlink>
            <w:r>
              <w:t xml:space="preserve"> </w:t>
            </w:r>
            <w:r w:rsidRPr="0014761A">
              <w:rPr>
                <w:i/>
              </w:rPr>
              <w:t>Ocean Acidification in the Southern Ocean</w:t>
            </w:r>
          </w:p>
        </w:tc>
      </w:tr>
      <w:tr w:rsidR="009F018D" w:rsidRPr="00F13694" w14:paraId="5CB2AD81" w14:textId="77777777" w:rsidTr="00A12816">
        <w:trPr>
          <w:trHeight w:val="1160"/>
        </w:trPr>
        <w:tc>
          <w:tcPr>
            <w:tcW w:w="702" w:type="dxa"/>
            <w:tcBorders>
              <w:top w:val="nil"/>
              <w:left w:val="single" w:sz="4" w:space="0" w:color="auto"/>
              <w:bottom w:val="single" w:sz="4" w:space="0" w:color="auto"/>
              <w:right w:val="single" w:sz="4" w:space="0" w:color="auto"/>
            </w:tcBorders>
            <w:hideMark/>
          </w:tcPr>
          <w:p w14:paraId="35498AC4" w14:textId="77777777" w:rsidR="009F018D" w:rsidRPr="00F13694" w:rsidRDefault="009F018D" w:rsidP="00A12816">
            <w:r w:rsidRPr="00F13694">
              <w:lastRenderedPageBreak/>
              <w:t>12</w:t>
            </w:r>
          </w:p>
        </w:tc>
        <w:tc>
          <w:tcPr>
            <w:tcW w:w="2336" w:type="dxa"/>
            <w:tcBorders>
              <w:top w:val="nil"/>
              <w:left w:val="nil"/>
              <w:bottom w:val="single" w:sz="4" w:space="0" w:color="auto"/>
              <w:right w:val="single" w:sz="4" w:space="0" w:color="auto"/>
            </w:tcBorders>
            <w:hideMark/>
          </w:tcPr>
          <w:p w14:paraId="615D4097" w14:textId="77777777" w:rsidR="009F018D" w:rsidRPr="00F13694" w:rsidRDefault="009F018D" w:rsidP="00A12816">
            <w:r w:rsidRPr="00F13694">
              <w:t xml:space="preserve">Consider further appropriate development of scientific reference areas with the objective of understanding impacts of climate change, using existing tools available to the CEP and SC-CAMLR. </w:t>
            </w:r>
          </w:p>
        </w:tc>
        <w:tc>
          <w:tcPr>
            <w:tcW w:w="5509" w:type="dxa"/>
            <w:tcBorders>
              <w:top w:val="nil"/>
              <w:left w:val="nil"/>
              <w:bottom w:val="single" w:sz="4" w:space="0" w:color="auto"/>
              <w:right w:val="single" w:sz="4" w:space="0" w:color="auto"/>
            </w:tcBorders>
            <w:hideMark/>
          </w:tcPr>
          <w:p w14:paraId="5183D452" w14:textId="77777777" w:rsidR="009F018D" w:rsidRDefault="009F018D" w:rsidP="009F018D">
            <w:pPr>
              <w:pStyle w:val="Prrafodelista"/>
              <w:numPr>
                <w:ilvl w:val="0"/>
                <w:numId w:val="21"/>
              </w:numPr>
              <w:contextualSpacing/>
            </w:pPr>
            <w:r w:rsidRPr="00F13694">
              <w:t xml:space="preserve">One of the objectives of CCAMLR Conservation Measure 91-04 (2011) </w:t>
            </w:r>
            <w:r w:rsidRPr="00092F08">
              <w:rPr>
                <w:i/>
                <w:iCs/>
              </w:rPr>
              <w:t>General Framework for the establishment of CCAMLR Marine Protected Areas</w:t>
            </w:r>
            <w:r w:rsidRPr="00F13694">
              <w:t xml:space="preserve"> is the establishment of scientific reference area</w:t>
            </w:r>
            <w:r>
              <w:t>s</w:t>
            </w:r>
            <w:r w:rsidRPr="00F13694">
              <w:t xml:space="preserve"> for monitoring </w:t>
            </w:r>
            <w:r w:rsidRPr="00092F08">
              <w:rPr>
                <w:sz w:val="23"/>
                <w:szCs w:val="23"/>
              </w:rPr>
              <w:t>natural variability and long-term change or for monitoring the effects of harvesting and other human activities on Antarctic marine living resources and on the ecosystems of which they form part</w:t>
            </w:r>
            <w:r w:rsidRPr="00F13694">
              <w:t xml:space="preserve"> (CM 91-04 para</w:t>
            </w:r>
            <w:r>
              <w:t>.</w:t>
            </w:r>
            <w:r w:rsidRPr="00F13694">
              <w:t xml:space="preserve"> 2(iii)</w:t>
            </w:r>
            <w:r>
              <w:t>)</w:t>
            </w:r>
            <w:r w:rsidRPr="00F13694">
              <w:t>.</w:t>
            </w:r>
            <w:r>
              <w:t xml:space="preserve"> This objective is also reflected in the Conservation Measure that establishes the Ross Sea region Marine Protected Area (CM 91-05).</w:t>
            </w:r>
          </w:p>
          <w:p w14:paraId="4975241B" w14:textId="77777777" w:rsidR="009F018D" w:rsidRDefault="009F018D" w:rsidP="009F018D">
            <w:pPr>
              <w:pStyle w:val="Prrafodelista"/>
              <w:numPr>
                <w:ilvl w:val="0"/>
                <w:numId w:val="26"/>
              </w:numPr>
              <w:spacing w:after="160" w:line="259" w:lineRule="auto"/>
              <w:contextualSpacing/>
            </w:pPr>
            <w:r>
              <w:t xml:space="preserve">Conservation Measure 24-04 allows for the designation of newly exposed marine areas following the retreat or collapse of an ice shelf, </w:t>
            </w:r>
            <w:proofErr w:type="gramStart"/>
            <w:r>
              <w:t>glacier</w:t>
            </w:r>
            <w:proofErr w:type="gramEnd"/>
            <w:r>
              <w:t xml:space="preserve"> or ice tongue in the Antarctic Peninsula Region as Special Areas for Scientific Study (SASS). Members are encouraged to undertake scientific research in SASSs following ice-shelf collapse or retreat, particularly </w:t>
            </w:r>
            <w:proofErr w:type="gramStart"/>
            <w:r>
              <w:t>in order to</w:t>
            </w:r>
            <w:proofErr w:type="gramEnd"/>
            <w:r>
              <w:t xml:space="preserve"> understand the ecosystem processes in relation to climate change. The CM allows for a two-stage designation and to date, both the Larsen Ice Shelf (2017) and Pine Island Glacier (2019) have been designated as Stage 1 SASSs.</w:t>
            </w:r>
          </w:p>
          <w:p w14:paraId="2DF7033D" w14:textId="77777777" w:rsidR="009F018D" w:rsidRPr="00F13694" w:rsidRDefault="009F018D" w:rsidP="00A12816">
            <w:pPr>
              <w:pStyle w:val="Prrafodelista"/>
              <w:autoSpaceDE w:val="0"/>
              <w:autoSpaceDN w:val="0"/>
              <w:adjustRightInd w:val="0"/>
              <w:ind w:left="1080"/>
            </w:pPr>
          </w:p>
        </w:tc>
        <w:tc>
          <w:tcPr>
            <w:tcW w:w="5509" w:type="dxa"/>
            <w:tcBorders>
              <w:top w:val="nil"/>
              <w:left w:val="nil"/>
              <w:bottom w:val="single" w:sz="4" w:space="0" w:color="auto"/>
              <w:right w:val="single" w:sz="4" w:space="0" w:color="auto"/>
            </w:tcBorders>
          </w:tcPr>
          <w:p w14:paraId="7844166B" w14:textId="77777777" w:rsidR="009F018D" w:rsidRDefault="009F018D" w:rsidP="009F018D">
            <w:pPr>
              <w:pStyle w:val="Prrafodelista"/>
              <w:numPr>
                <w:ilvl w:val="0"/>
                <w:numId w:val="21"/>
              </w:numPr>
              <w:contextualSpacing/>
            </w:pPr>
            <w:r>
              <w:t xml:space="preserve">The </w:t>
            </w:r>
            <w:hyperlink r:id="rId49" w:history="1">
              <w:r w:rsidRPr="00E8550D">
                <w:rPr>
                  <w:rStyle w:val="Hipervnculo"/>
                </w:rPr>
                <w:t>CEP five-year work plan</w:t>
              </w:r>
            </w:hyperlink>
            <w:r>
              <w:t xml:space="preserve"> identifies a related science, knowledge and information needs under the priority issues ‘Overview of the Protected Area System’ and ‘Climate Change Implications for the Environment</w:t>
            </w:r>
            <w:proofErr w:type="gramStart"/>
            <w:r>
              <w:t>’;</w:t>
            </w:r>
            <w:proofErr w:type="gramEnd"/>
          </w:p>
          <w:p w14:paraId="671D1036" w14:textId="77777777" w:rsidR="009F018D" w:rsidRDefault="009F018D" w:rsidP="009F018D">
            <w:pPr>
              <w:pStyle w:val="Prrafodelista"/>
              <w:numPr>
                <w:ilvl w:val="1"/>
                <w:numId w:val="21"/>
              </w:numPr>
              <w:contextualSpacing/>
            </w:pPr>
            <w:r w:rsidRPr="0094205C">
              <w:t xml:space="preserve">Continue to develop biogeographic tools to provide a sound basis for informing Antarctic area protection and management at regional and continental scales </w:t>
            </w:r>
            <w:proofErr w:type="gramStart"/>
            <w:r w:rsidRPr="0094205C">
              <w:t>in light of</w:t>
            </w:r>
            <w:proofErr w:type="gramEnd"/>
            <w:r w:rsidRPr="0094205C">
              <w:t xml:space="preserve"> climate change, including identifying the need to set aside reference areas for future research and identifying areas resilient to climate change</w:t>
            </w:r>
          </w:p>
          <w:p w14:paraId="6103E5DF" w14:textId="77777777" w:rsidR="009F018D" w:rsidRDefault="009F018D" w:rsidP="009F018D">
            <w:pPr>
              <w:pStyle w:val="Prrafodelista"/>
              <w:numPr>
                <w:ilvl w:val="0"/>
                <w:numId w:val="21"/>
              </w:numPr>
              <w:contextualSpacing/>
            </w:pPr>
            <w:r>
              <w:t xml:space="preserve">The </w:t>
            </w:r>
            <w:hyperlink r:id="rId50" w:history="1">
              <w:r w:rsidRPr="00E8550D">
                <w:rPr>
                  <w:rStyle w:val="Hipervnculo"/>
                </w:rPr>
                <w:t>CCRWP adopted at CEP XIX (2016)</w:t>
              </w:r>
            </w:hyperlink>
            <w:r>
              <w:t xml:space="preserve"> identifies related actions:</w:t>
            </w:r>
          </w:p>
          <w:p w14:paraId="6D967852" w14:textId="77777777" w:rsidR="009F018D" w:rsidRDefault="009F018D" w:rsidP="009F018D">
            <w:pPr>
              <w:pStyle w:val="Prrafodelista"/>
              <w:numPr>
                <w:ilvl w:val="1"/>
                <w:numId w:val="21"/>
              </w:numPr>
              <w:contextualSpacing/>
            </w:pPr>
            <w:r w:rsidRPr="009D6B5C">
              <w:t xml:space="preserve">Continue to develop biogeographic tools (EDA and ACBR) to provide a sound basis for informing Antarctic area protection and management at regional and continental scales </w:t>
            </w:r>
            <w:proofErr w:type="gramStart"/>
            <w:r w:rsidRPr="009D6B5C">
              <w:t>in light of</w:t>
            </w:r>
            <w:proofErr w:type="gramEnd"/>
            <w:r w:rsidRPr="009D6B5C">
              <w:t xml:space="preserve"> climate change, including identifying the need to set aside reference areas for future research and identifying areas resilient to climate change</w:t>
            </w:r>
          </w:p>
          <w:p w14:paraId="4092D99A" w14:textId="77777777" w:rsidR="009F018D" w:rsidRPr="00F13694" w:rsidRDefault="009F018D" w:rsidP="009F018D">
            <w:pPr>
              <w:pStyle w:val="Prrafodelista"/>
              <w:numPr>
                <w:ilvl w:val="0"/>
                <w:numId w:val="25"/>
              </w:numPr>
              <w:contextualSpacing/>
            </w:pPr>
            <w:r w:rsidRPr="00AD7F0E">
              <w:t>Continue to work with CCAMLR to identify the process for defining reference areas for future research</w:t>
            </w:r>
          </w:p>
        </w:tc>
      </w:tr>
      <w:tr w:rsidR="009F018D" w:rsidRPr="00F13694" w14:paraId="2D46350A" w14:textId="77777777" w:rsidTr="00A12816">
        <w:trPr>
          <w:trHeight w:val="547"/>
        </w:trPr>
        <w:tc>
          <w:tcPr>
            <w:tcW w:w="702" w:type="dxa"/>
            <w:tcBorders>
              <w:top w:val="nil"/>
              <w:left w:val="single" w:sz="4" w:space="0" w:color="auto"/>
              <w:bottom w:val="single" w:sz="4" w:space="0" w:color="auto"/>
              <w:right w:val="single" w:sz="4" w:space="0" w:color="auto"/>
            </w:tcBorders>
            <w:hideMark/>
          </w:tcPr>
          <w:p w14:paraId="4DB70F6B" w14:textId="77777777" w:rsidR="009F018D" w:rsidRPr="00F13694" w:rsidRDefault="009F018D" w:rsidP="00A12816">
            <w:r w:rsidRPr="00F13694">
              <w:lastRenderedPageBreak/>
              <w:t>13</w:t>
            </w:r>
          </w:p>
        </w:tc>
        <w:tc>
          <w:tcPr>
            <w:tcW w:w="2336" w:type="dxa"/>
            <w:tcBorders>
              <w:top w:val="nil"/>
              <w:left w:val="nil"/>
              <w:bottom w:val="single" w:sz="4" w:space="0" w:color="auto"/>
              <w:right w:val="single" w:sz="4" w:space="0" w:color="auto"/>
            </w:tcBorders>
            <w:hideMark/>
          </w:tcPr>
          <w:p w14:paraId="02D768BF" w14:textId="77777777" w:rsidR="009F018D" w:rsidRPr="00F13694" w:rsidRDefault="009F018D" w:rsidP="00A12816">
            <w:r w:rsidRPr="00F13694">
              <w:t xml:space="preserve">Promote ongoing work led by Argentina, Chile, and including other Members, on the development of MPAs in planning Domain 1 (Antarctic Peninsula), acknowledging </w:t>
            </w:r>
            <w:proofErr w:type="gramStart"/>
            <w:r w:rsidRPr="00F13694">
              <w:t>particular relevance</w:t>
            </w:r>
            <w:proofErr w:type="gramEnd"/>
            <w:r w:rsidRPr="00F13694">
              <w:t xml:space="preserve"> to climate change research and the establishment of reference areas in this region of rapid change</w:t>
            </w:r>
          </w:p>
        </w:tc>
        <w:tc>
          <w:tcPr>
            <w:tcW w:w="5509" w:type="dxa"/>
            <w:tcBorders>
              <w:top w:val="nil"/>
              <w:left w:val="nil"/>
              <w:bottom w:val="single" w:sz="4" w:space="0" w:color="auto"/>
              <w:right w:val="single" w:sz="4" w:space="0" w:color="auto"/>
            </w:tcBorders>
            <w:hideMark/>
          </w:tcPr>
          <w:p w14:paraId="1CDA17F1" w14:textId="77777777" w:rsidR="009F018D" w:rsidRPr="00F13694" w:rsidRDefault="009F018D" w:rsidP="009F018D">
            <w:pPr>
              <w:pStyle w:val="Prrafodelista"/>
              <w:numPr>
                <w:ilvl w:val="0"/>
                <w:numId w:val="21"/>
              </w:numPr>
              <w:contextualSpacing/>
            </w:pPr>
            <w:r>
              <w:t xml:space="preserve">In 2017, </w:t>
            </w:r>
            <w:r w:rsidRPr="00F13694">
              <w:t>SC-CAMLR XXXVI agreed to establish the Domain 1 Expert Group proposed by Argentina and Chile (SC-CAMLR XXXVI para</w:t>
            </w:r>
            <w:r>
              <w:t>.</w:t>
            </w:r>
            <w:r w:rsidRPr="00F13694">
              <w:t xml:space="preserve"> 5.34) to progress work related to D1MPA; membership would include interested Members and experts from the NGO community. </w:t>
            </w:r>
          </w:p>
          <w:p w14:paraId="75D54700" w14:textId="77777777" w:rsidR="009F018D" w:rsidRPr="00F13694" w:rsidRDefault="009F018D" w:rsidP="009F018D">
            <w:pPr>
              <w:pStyle w:val="Prrafodelista"/>
              <w:numPr>
                <w:ilvl w:val="0"/>
                <w:numId w:val="21"/>
              </w:numPr>
              <w:contextualSpacing/>
            </w:pPr>
            <w:r w:rsidRPr="00F13694">
              <w:t xml:space="preserve">Discussions in </w:t>
            </w:r>
            <w:r>
              <w:t>2017 and 2018 (</w:t>
            </w:r>
            <w:r w:rsidRPr="00F13694">
              <w:t>SC-CAMLR XXXVI SC-CAMLR XXXVI para</w:t>
            </w:r>
            <w:r>
              <w:t>.</w:t>
            </w:r>
            <w:r w:rsidRPr="00F13694">
              <w:t xml:space="preserve"> 5.29 and SC-CAMLR- XXXVII (para</w:t>
            </w:r>
            <w:r>
              <w:t>.</w:t>
            </w:r>
            <w:r w:rsidRPr="00F13694">
              <w:t xml:space="preserve"> 6.57) noted that outstanding issues included consideration of how references area can be used to study the effects of climate change.</w:t>
            </w:r>
          </w:p>
          <w:p w14:paraId="1211C2AA" w14:textId="77777777" w:rsidR="009F018D" w:rsidRPr="00F13694" w:rsidRDefault="009F018D" w:rsidP="00A12816">
            <w:pPr>
              <w:pStyle w:val="Prrafodelista"/>
              <w:ind w:left="360"/>
            </w:pPr>
          </w:p>
        </w:tc>
        <w:tc>
          <w:tcPr>
            <w:tcW w:w="5509" w:type="dxa"/>
            <w:tcBorders>
              <w:top w:val="nil"/>
              <w:left w:val="nil"/>
              <w:bottom w:val="single" w:sz="4" w:space="0" w:color="auto"/>
              <w:right w:val="single" w:sz="4" w:space="0" w:color="auto"/>
            </w:tcBorders>
          </w:tcPr>
          <w:p w14:paraId="4E65AA61" w14:textId="77777777" w:rsidR="009F018D" w:rsidRPr="00F13694" w:rsidRDefault="009F018D" w:rsidP="009F018D">
            <w:pPr>
              <w:pStyle w:val="Prrafodelista"/>
              <w:numPr>
                <w:ilvl w:val="0"/>
                <w:numId w:val="21"/>
              </w:numPr>
              <w:contextualSpacing/>
            </w:pPr>
            <w:r>
              <w:t xml:space="preserve">CEP XIX </w:t>
            </w:r>
            <w:r w:rsidRPr="002A4FAF">
              <w:t>noted that Recommendations 13 to 15 relate to ongoing work by SC-</w:t>
            </w:r>
            <w:proofErr w:type="gramStart"/>
            <w:r w:rsidRPr="002A4FAF">
              <w:t>CAMLR, and</w:t>
            </w:r>
            <w:proofErr w:type="gramEnd"/>
            <w:r w:rsidRPr="002A4FAF">
              <w:t xml:space="preserve"> welcomed further updates on this work as it develops</w:t>
            </w:r>
            <w:r>
              <w:t xml:space="preserve"> (CEP XIX Final Report para. 53)</w:t>
            </w:r>
            <w:r w:rsidRPr="002A4FAF">
              <w:t>.</w:t>
            </w:r>
          </w:p>
        </w:tc>
      </w:tr>
      <w:tr w:rsidR="009F018D" w:rsidRPr="00F13694" w14:paraId="431D861F" w14:textId="77777777" w:rsidTr="00A12816">
        <w:trPr>
          <w:trHeight w:val="1160"/>
        </w:trPr>
        <w:tc>
          <w:tcPr>
            <w:tcW w:w="702" w:type="dxa"/>
            <w:tcBorders>
              <w:top w:val="nil"/>
              <w:left w:val="single" w:sz="4" w:space="0" w:color="auto"/>
              <w:bottom w:val="single" w:sz="4" w:space="0" w:color="auto"/>
              <w:right w:val="single" w:sz="4" w:space="0" w:color="auto"/>
            </w:tcBorders>
            <w:hideMark/>
          </w:tcPr>
          <w:p w14:paraId="796D8663" w14:textId="77777777" w:rsidR="009F018D" w:rsidRPr="00F13694" w:rsidRDefault="009F018D" w:rsidP="00A12816">
            <w:bookmarkStart w:id="13" w:name="_Hlk97727623"/>
            <w:r w:rsidRPr="00F13694">
              <w:t>14</w:t>
            </w:r>
          </w:p>
        </w:tc>
        <w:tc>
          <w:tcPr>
            <w:tcW w:w="2336" w:type="dxa"/>
            <w:tcBorders>
              <w:top w:val="nil"/>
              <w:left w:val="nil"/>
              <w:bottom w:val="single" w:sz="4" w:space="0" w:color="auto"/>
              <w:right w:val="single" w:sz="4" w:space="0" w:color="auto"/>
            </w:tcBorders>
            <w:hideMark/>
          </w:tcPr>
          <w:p w14:paraId="79C98849" w14:textId="77777777" w:rsidR="009F018D" w:rsidRPr="00F13694" w:rsidRDefault="009F018D" w:rsidP="00A12816">
            <w:r w:rsidRPr="00F13694">
              <w:t>Acknowledge that data from MPA planning processes will integrate and make available a significant amount of information that will improve decision-making and be relevant to the work of the CEP and SC-CAMLR on a range of other topics.</w:t>
            </w:r>
          </w:p>
        </w:tc>
        <w:tc>
          <w:tcPr>
            <w:tcW w:w="5509" w:type="dxa"/>
            <w:tcBorders>
              <w:top w:val="nil"/>
              <w:left w:val="nil"/>
              <w:bottom w:val="single" w:sz="4" w:space="0" w:color="auto"/>
              <w:right w:val="single" w:sz="4" w:space="0" w:color="auto"/>
            </w:tcBorders>
            <w:hideMark/>
          </w:tcPr>
          <w:p w14:paraId="437E5054" w14:textId="77777777" w:rsidR="009F018D" w:rsidRPr="00F13694" w:rsidRDefault="009F018D" w:rsidP="009F018D">
            <w:pPr>
              <w:pStyle w:val="Prrafodelista"/>
              <w:numPr>
                <w:ilvl w:val="0"/>
                <w:numId w:val="21"/>
              </w:numPr>
              <w:autoSpaceDE w:val="0"/>
              <w:autoSpaceDN w:val="0"/>
              <w:adjustRightInd w:val="0"/>
              <w:contextualSpacing/>
              <w:rPr>
                <w:rFonts w:cs="Calibri"/>
              </w:rPr>
            </w:pPr>
            <w:r w:rsidRPr="00F13694">
              <w:rPr>
                <w:rFonts w:cs="Calibri"/>
              </w:rPr>
              <w:t xml:space="preserve">The </w:t>
            </w:r>
            <w:r w:rsidRPr="00B932FD">
              <w:rPr>
                <w:rFonts w:cs="Calibri"/>
                <w:i/>
                <w:iCs/>
                <w:lang w:val="en-US"/>
              </w:rPr>
              <w:t>Report of the Meeting of the Workshop on Spatial Management (Cambridge, UK, 2 to 6 July 2018)</w:t>
            </w:r>
            <w:r w:rsidRPr="00F13694">
              <w:rPr>
                <w:rFonts w:cs="Calibri"/>
                <w:lang w:val="en-US"/>
              </w:rPr>
              <w:t xml:space="preserve"> (SC-CAMLR-XXXVII/08) includes discussions related to the establishment of reference areas in several proposed MPAs, as well as general discussion on establishment of references areas for specific purposes, such as fisheries related research, which can be useful for decision-making.</w:t>
            </w:r>
          </w:p>
          <w:p w14:paraId="5FDC9170" w14:textId="77777777" w:rsidR="009F018D" w:rsidRDefault="009F018D" w:rsidP="009F018D">
            <w:pPr>
              <w:pStyle w:val="Prrafodelista"/>
              <w:numPr>
                <w:ilvl w:val="0"/>
                <w:numId w:val="21"/>
              </w:numPr>
              <w:autoSpaceDE w:val="0"/>
              <w:autoSpaceDN w:val="0"/>
              <w:adjustRightInd w:val="0"/>
              <w:contextualSpacing/>
              <w:rPr>
                <w:rFonts w:cs="Calibri"/>
              </w:rPr>
            </w:pPr>
            <w:r w:rsidRPr="00F13694">
              <w:rPr>
                <w:rFonts w:cs="Calibri"/>
              </w:rPr>
              <w:t>Research and Monitoring plans are required for MPAs (CM 91-04</w:t>
            </w:r>
            <w:r>
              <w:rPr>
                <w:rFonts w:cs="Calibri"/>
              </w:rPr>
              <w:t xml:space="preserve"> </w:t>
            </w:r>
            <w:r w:rsidRPr="00F13694">
              <w:t xml:space="preserve">(2011) </w:t>
            </w:r>
            <w:r w:rsidRPr="00C23199">
              <w:rPr>
                <w:i/>
                <w:iCs/>
              </w:rPr>
              <w:t>General Framework for the establishment of CCAMLR Marine Protected Areas</w:t>
            </w:r>
            <w:r w:rsidRPr="00F13694">
              <w:rPr>
                <w:rFonts w:cs="Calibri"/>
              </w:rPr>
              <w:t>) and will result in data collections that will have application to many topics, including biodiversity, climate change, predator-prey dynamics, etc.</w:t>
            </w:r>
          </w:p>
          <w:p w14:paraId="2BC4573F" w14:textId="77777777" w:rsidR="009F018D" w:rsidRPr="004070CD" w:rsidRDefault="009F018D" w:rsidP="009F018D">
            <w:pPr>
              <w:pStyle w:val="Prrafodelista"/>
              <w:numPr>
                <w:ilvl w:val="0"/>
                <w:numId w:val="21"/>
              </w:numPr>
              <w:autoSpaceDE w:val="0"/>
              <w:autoSpaceDN w:val="0"/>
              <w:adjustRightInd w:val="0"/>
              <w:contextualSpacing/>
              <w:rPr>
                <w:rFonts w:cs="Calibri"/>
              </w:rPr>
            </w:pPr>
            <w:r w:rsidRPr="004070CD">
              <w:t xml:space="preserve">Data layers used for planning extant and proposed CCAMLR MPAs are generally available on the Internet. Some layers are available via a CCAMLR </w:t>
            </w:r>
            <w:r w:rsidRPr="004070CD">
              <w:lastRenderedPageBreak/>
              <w:t>website (</w:t>
            </w:r>
            <w:hyperlink r:id="rId51" w:history="1">
              <w:r w:rsidRPr="004070CD">
                <w:rPr>
                  <w:rStyle w:val="Hipervnculo"/>
                </w:rPr>
                <w:t>https://cmir.ccamlr.org/</w:t>
              </w:r>
            </w:hyperlink>
            <w:r w:rsidRPr="004070CD">
              <w:t xml:space="preserve">), and others are available on sites external to CCAMLR (e.g., </w:t>
            </w:r>
            <w:hyperlink r:id="rId52" w:history="1">
              <w:r w:rsidRPr="004070CD">
                <w:rPr>
                  <w:rStyle w:val="Hipervnculo"/>
                </w:rPr>
                <w:t>https://doi.org/10.1594/PANGAEA.899595</w:t>
              </w:r>
            </w:hyperlink>
            <w:r w:rsidRPr="004070CD">
              <w:t xml:space="preserve">, </w:t>
            </w:r>
            <w:hyperlink r:id="rId53" w:history="1">
              <w:r w:rsidRPr="004070CD">
                <w:rPr>
                  <w:rStyle w:val="Hipervnculo"/>
                </w:rPr>
                <w:t>https://doi.org/10.1594/PANGAEA.899667</w:t>
              </w:r>
            </w:hyperlink>
            <w:r w:rsidRPr="004070CD">
              <w:t xml:space="preserve">, </w:t>
            </w:r>
            <w:hyperlink r:id="rId54" w:history="1">
              <w:r w:rsidRPr="004070CD">
                <w:rPr>
                  <w:rStyle w:val="Hipervnculo"/>
                </w:rPr>
                <w:t>https://doi.org/10.1594/PANGAEA.899645</w:t>
              </w:r>
            </w:hyperlink>
            <w:r w:rsidRPr="004070CD">
              <w:t xml:space="preserve">, </w:t>
            </w:r>
            <w:hyperlink r:id="rId55" w:history="1">
              <w:r w:rsidRPr="004070CD">
                <w:rPr>
                  <w:rStyle w:val="Hipervnculo"/>
                </w:rPr>
                <w:t>https://doi.org/10.1594/PANGAEA.899591</w:t>
              </w:r>
            </w:hyperlink>
            <w:r w:rsidRPr="004070CD">
              <w:t xml:space="preserve">, </w:t>
            </w:r>
            <w:hyperlink r:id="rId56" w:history="1">
              <w:r w:rsidRPr="004070CD">
                <w:rPr>
                  <w:rStyle w:val="Hipervnculo"/>
                </w:rPr>
                <w:t>https://doi.org/10.1594/PANGAEA.899520</w:t>
              </w:r>
            </w:hyperlink>
            <w:r w:rsidRPr="004070CD">
              <w:t xml:space="preserve">, and </w:t>
            </w:r>
            <w:hyperlink r:id="rId57" w:history="1">
              <w:r w:rsidRPr="004070CD">
                <w:rPr>
                  <w:rStyle w:val="Hipervnculo"/>
                </w:rPr>
                <w:t>https://doi.org/10.1594/PANGAEA.899619</w:t>
              </w:r>
            </w:hyperlink>
            <w:r w:rsidRPr="004070CD">
              <w:t>).</w:t>
            </w:r>
          </w:p>
          <w:p w14:paraId="2653D265" w14:textId="77777777" w:rsidR="009F018D" w:rsidRPr="00F13694" w:rsidRDefault="009F018D" w:rsidP="00A12816">
            <w:pPr>
              <w:pStyle w:val="Prrafodelista"/>
              <w:ind w:left="360"/>
            </w:pPr>
          </w:p>
        </w:tc>
        <w:tc>
          <w:tcPr>
            <w:tcW w:w="5509" w:type="dxa"/>
            <w:tcBorders>
              <w:top w:val="nil"/>
              <w:left w:val="nil"/>
              <w:bottom w:val="single" w:sz="4" w:space="0" w:color="auto"/>
              <w:right w:val="single" w:sz="4" w:space="0" w:color="auto"/>
            </w:tcBorders>
          </w:tcPr>
          <w:p w14:paraId="78BB439B" w14:textId="77777777" w:rsidR="009F018D" w:rsidRPr="0092258B" w:rsidRDefault="009F018D" w:rsidP="009F018D">
            <w:pPr>
              <w:pStyle w:val="Prrafodelista"/>
              <w:numPr>
                <w:ilvl w:val="0"/>
                <w:numId w:val="21"/>
              </w:numPr>
              <w:autoSpaceDE w:val="0"/>
              <w:autoSpaceDN w:val="0"/>
              <w:adjustRightInd w:val="0"/>
              <w:contextualSpacing/>
              <w:rPr>
                <w:rFonts w:cs="Calibri"/>
              </w:rPr>
            </w:pPr>
            <w:r>
              <w:lastRenderedPageBreak/>
              <w:t>At CEP XIX (2016) the Committee acknowledged that the process of collecting data for the MPA in Domain 1 would be beneficial for broader conservation management (CEP XIX Final Report para. 198).</w:t>
            </w:r>
          </w:p>
        </w:tc>
      </w:tr>
      <w:bookmarkEnd w:id="13"/>
      <w:tr w:rsidR="009F018D" w:rsidRPr="00F13694" w14:paraId="5FFB9A6D" w14:textId="77777777" w:rsidTr="00A12816">
        <w:trPr>
          <w:trHeight w:val="1160"/>
        </w:trPr>
        <w:tc>
          <w:tcPr>
            <w:tcW w:w="702" w:type="dxa"/>
            <w:tcBorders>
              <w:top w:val="nil"/>
              <w:left w:val="single" w:sz="4" w:space="0" w:color="auto"/>
              <w:bottom w:val="single" w:sz="4" w:space="0" w:color="auto"/>
              <w:right w:val="single" w:sz="4" w:space="0" w:color="auto"/>
            </w:tcBorders>
            <w:hideMark/>
          </w:tcPr>
          <w:p w14:paraId="5EAF33FE" w14:textId="77777777" w:rsidR="009F018D" w:rsidRPr="00F13694" w:rsidRDefault="009F018D" w:rsidP="00A12816">
            <w:r w:rsidRPr="00F13694">
              <w:t>15</w:t>
            </w:r>
          </w:p>
        </w:tc>
        <w:tc>
          <w:tcPr>
            <w:tcW w:w="2336" w:type="dxa"/>
            <w:tcBorders>
              <w:top w:val="nil"/>
              <w:left w:val="nil"/>
              <w:bottom w:val="single" w:sz="4" w:space="0" w:color="auto"/>
              <w:right w:val="single" w:sz="4" w:space="0" w:color="auto"/>
            </w:tcBorders>
            <w:hideMark/>
          </w:tcPr>
          <w:p w14:paraId="026A8439" w14:textId="77777777" w:rsidR="009F018D" w:rsidRPr="00F13694" w:rsidRDefault="009F018D" w:rsidP="00A12816">
            <w:r w:rsidRPr="00F13694">
              <w:t>Recognize that research and monitoring within CCAMLR and ATCM protected area systems will benefit from coordinated and integrated programmes within the respective regions, including the wider community of interested scientists (SCAR, ICED, SOOS, and/or national programmes).</w:t>
            </w:r>
          </w:p>
        </w:tc>
        <w:tc>
          <w:tcPr>
            <w:tcW w:w="5509" w:type="dxa"/>
            <w:tcBorders>
              <w:top w:val="nil"/>
              <w:left w:val="nil"/>
              <w:bottom w:val="single" w:sz="4" w:space="0" w:color="auto"/>
              <w:right w:val="single" w:sz="4" w:space="0" w:color="auto"/>
            </w:tcBorders>
            <w:hideMark/>
          </w:tcPr>
          <w:p w14:paraId="4B5F363B" w14:textId="77777777" w:rsidR="009F018D" w:rsidRPr="00CD0B48" w:rsidRDefault="009F018D" w:rsidP="009F018D">
            <w:pPr>
              <w:pStyle w:val="Prrafodelista"/>
              <w:numPr>
                <w:ilvl w:val="0"/>
                <w:numId w:val="23"/>
              </w:numPr>
              <w:autoSpaceDE w:val="0"/>
              <w:autoSpaceDN w:val="0"/>
              <w:adjustRightInd w:val="0"/>
              <w:ind w:left="360"/>
              <w:contextualSpacing/>
              <w:rPr>
                <w:rFonts w:cs="Calibri"/>
              </w:rPr>
            </w:pPr>
            <w:bookmarkStart w:id="14" w:name="_Hlk97716358"/>
            <w:r w:rsidRPr="00CD0B48">
              <w:rPr>
                <w:sz w:val="23"/>
                <w:szCs w:val="23"/>
              </w:rPr>
              <w:t xml:space="preserve">The 2017 </w:t>
            </w:r>
            <w:r w:rsidRPr="00CD0B48">
              <w:rPr>
                <w:rFonts w:cs="Calibri"/>
                <w:i/>
                <w:iCs/>
                <w:lang w:val="en-US"/>
              </w:rPr>
              <w:t>Report of the Co-conveners of the CCAMLR Workshop on the Ross Sea region Marine Protected Area Research and Monitoring Plan</w:t>
            </w:r>
            <w:r w:rsidRPr="00CD0B48">
              <w:rPr>
                <w:sz w:val="23"/>
                <w:szCs w:val="23"/>
              </w:rPr>
              <w:t xml:space="preserve"> (SC-CAMLR-XXXVI/07) </w:t>
            </w:r>
            <w:r w:rsidRPr="00CD0B48">
              <w:rPr>
                <w:rFonts w:cs="Calibri"/>
              </w:rPr>
              <w:t>provided background to the proposed Ross Sea region Research and Monitoring Plan (</w:t>
            </w:r>
            <w:r w:rsidRPr="00CD0B48">
              <w:rPr>
                <w:rFonts w:cs="Calibri"/>
                <w:lang w:val="en-US"/>
              </w:rPr>
              <w:t xml:space="preserve">SC-CAMLR-XXXVI/20). Participants at the workshop included representatives from SCAR, CEP, </w:t>
            </w:r>
            <w:proofErr w:type="gramStart"/>
            <w:r w:rsidRPr="00CD0B48">
              <w:rPr>
                <w:rFonts w:cs="Calibri"/>
                <w:lang w:val="en-US"/>
              </w:rPr>
              <w:t>IUCN</w:t>
            </w:r>
            <w:proofErr w:type="gramEnd"/>
            <w:r w:rsidRPr="00CD0B48">
              <w:rPr>
                <w:rFonts w:cs="Calibri"/>
                <w:lang w:val="en-US"/>
              </w:rPr>
              <w:t xml:space="preserve"> and other interested organizations.</w:t>
            </w:r>
          </w:p>
          <w:p w14:paraId="1EB03FC4" w14:textId="77777777" w:rsidR="009F018D" w:rsidRPr="00F13694" w:rsidRDefault="009F018D" w:rsidP="009F018D">
            <w:pPr>
              <w:pStyle w:val="Prrafodelista"/>
              <w:numPr>
                <w:ilvl w:val="0"/>
                <w:numId w:val="21"/>
              </w:numPr>
              <w:contextualSpacing/>
            </w:pPr>
            <w:r>
              <w:t xml:space="preserve">In 2017, </w:t>
            </w:r>
            <w:r w:rsidRPr="00F13694">
              <w:t>SC-CAMLR XXXVI (SC-CAMLR XXXVI para. 5.45) endorsed the Ross Sea region MPA Research and Monitoring Plan.</w:t>
            </w:r>
            <w:bookmarkEnd w:id="14"/>
          </w:p>
          <w:p w14:paraId="6A8B13DF" w14:textId="77777777" w:rsidR="009F018D" w:rsidRPr="00F13694" w:rsidRDefault="009F018D" w:rsidP="009F018D">
            <w:pPr>
              <w:pStyle w:val="Prrafodelista"/>
              <w:numPr>
                <w:ilvl w:val="0"/>
                <w:numId w:val="21"/>
              </w:numPr>
              <w:autoSpaceDE w:val="0"/>
              <w:autoSpaceDN w:val="0"/>
              <w:adjustRightInd w:val="0"/>
              <w:contextualSpacing/>
            </w:pPr>
            <w:r w:rsidRPr="00F13694">
              <w:rPr>
                <w:rFonts w:cs="Calibri"/>
              </w:rPr>
              <w:t xml:space="preserve">The </w:t>
            </w:r>
            <w:r w:rsidRPr="00E63FD7">
              <w:rPr>
                <w:rFonts w:cs="Calibri"/>
                <w:i/>
                <w:iCs/>
                <w:lang w:val="en-US"/>
              </w:rPr>
              <w:t>Report of the Meeting of the Workshop on Spatial Management (Cambridge, UK, 2 to 6 July 2018</w:t>
            </w:r>
            <w:r w:rsidRPr="00F13694">
              <w:rPr>
                <w:rFonts w:cs="Calibri"/>
                <w:lang w:val="en-US"/>
              </w:rPr>
              <w:t>) (SC-CAMLR-XXXVII/08) noted examples of existing interactions with scientific programs such as SOOS, ICED, SCAR (para 6.14)</w:t>
            </w:r>
          </w:p>
        </w:tc>
        <w:tc>
          <w:tcPr>
            <w:tcW w:w="5509" w:type="dxa"/>
            <w:tcBorders>
              <w:top w:val="nil"/>
              <w:left w:val="nil"/>
              <w:bottom w:val="single" w:sz="4" w:space="0" w:color="auto"/>
              <w:right w:val="single" w:sz="4" w:space="0" w:color="auto"/>
            </w:tcBorders>
          </w:tcPr>
          <w:p w14:paraId="748651C3" w14:textId="77777777" w:rsidR="009F018D" w:rsidRPr="00F13694" w:rsidRDefault="009F018D" w:rsidP="009F018D">
            <w:pPr>
              <w:pStyle w:val="Prrafodelista"/>
              <w:numPr>
                <w:ilvl w:val="0"/>
                <w:numId w:val="23"/>
              </w:numPr>
              <w:autoSpaceDE w:val="0"/>
              <w:autoSpaceDN w:val="0"/>
              <w:adjustRightInd w:val="0"/>
              <w:ind w:left="360"/>
              <w:contextualSpacing/>
              <w:rPr>
                <w:sz w:val="23"/>
                <w:szCs w:val="23"/>
              </w:rPr>
            </w:pPr>
            <w:r>
              <w:t xml:space="preserve">At CEP XXII (2019), following discussion of the outcomes of the Joint SCAR/CEP Workshop on Further Developing the Antarctic Protected Area System, the CEP </w:t>
            </w:r>
            <w:r w:rsidRPr="00861933">
              <w:t>Encouraged Members, SCAR and other Observers and Experts to prioritise and support further research that will build on the existing body of scientific evidence to support the further development of the protected area system in accordance with Article 3.2 of Annex</w:t>
            </w:r>
            <w:r>
              <w:t xml:space="preserve"> V (CEP XXII Final Report para. 182)</w:t>
            </w:r>
            <w:r w:rsidRPr="00861933">
              <w:t>.</w:t>
            </w:r>
          </w:p>
        </w:tc>
      </w:tr>
      <w:tr w:rsidR="009F018D" w:rsidRPr="00B7298F" w14:paraId="37D47E3A" w14:textId="77777777" w:rsidTr="00A12816">
        <w:trPr>
          <w:trHeight w:val="1160"/>
        </w:trPr>
        <w:tc>
          <w:tcPr>
            <w:tcW w:w="702" w:type="dxa"/>
            <w:tcBorders>
              <w:top w:val="nil"/>
              <w:left w:val="single" w:sz="4" w:space="0" w:color="auto"/>
              <w:bottom w:val="single" w:sz="4" w:space="0" w:color="auto"/>
              <w:right w:val="single" w:sz="4" w:space="0" w:color="auto"/>
            </w:tcBorders>
            <w:hideMark/>
          </w:tcPr>
          <w:p w14:paraId="526039B6" w14:textId="77777777" w:rsidR="009F018D" w:rsidRPr="00F13694" w:rsidRDefault="009F018D" w:rsidP="00A12816">
            <w:r w:rsidRPr="00F13694">
              <w:t>16</w:t>
            </w:r>
          </w:p>
        </w:tc>
        <w:tc>
          <w:tcPr>
            <w:tcW w:w="2336" w:type="dxa"/>
            <w:tcBorders>
              <w:top w:val="nil"/>
              <w:left w:val="nil"/>
              <w:bottom w:val="single" w:sz="4" w:space="0" w:color="auto"/>
              <w:right w:val="single" w:sz="4" w:space="0" w:color="auto"/>
            </w:tcBorders>
            <w:hideMark/>
          </w:tcPr>
          <w:p w14:paraId="5092ED75" w14:textId="77777777" w:rsidR="009F018D" w:rsidRPr="00F13694" w:rsidRDefault="009F018D" w:rsidP="00A12816">
            <w:r w:rsidRPr="00F13694">
              <w:t xml:space="preserve">Encourage further and regular meetings between SC-CAMLR and the CEP, at least once every 5 years. Also encourage more frequent </w:t>
            </w:r>
            <w:r w:rsidRPr="00F13694">
              <w:lastRenderedPageBreak/>
              <w:t>communication on topics of mutual interest in the intervening period before the next joint meeting, including via online forums as appropriate.</w:t>
            </w:r>
          </w:p>
        </w:tc>
        <w:tc>
          <w:tcPr>
            <w:tcW w:w="5509" w:type="dxa"/>
            <w:tcBorders>
              <w:top w:val="nil"/>
              <w:left w:val="nil"/>
              <w:bottom w:val="single" w:sz="4" w:space="0" w:color="auto"/>
              <w:right w:val="single" w:sz="4" w:space="0" w:color="auto"/>
            </w:tcBorders>
            <w:hideMark/>
          </w:tcPr>
          <w:p w14:paraId="2FAC8263" w14:textId="77777777" w:rsidR="009F018D" w:rsidRDefault="009F018D" w:rsidP="009F018D">
            <w:pPr>
              <w:pStyle w:val="Prrafodelista"/>
              <w:numPr>
                <w:ilvl w:val="0"/>
                <w:numId w:val="21"/>
              </w:numPr>
              <w:contextualSpacing/>
            </w:pPr>
            <w:r w:rsidRPr="00F13694">
              <w:lastRenderedPageBreak/>
              <w:t xml:space="preserve">SC-CAMLR-XXXV welcomed the </w:t>
            </w:r>
            <w:r w:rsidRPr="0036031F">
              <w:rPr>
                <w:i/>
                <w:iCs/>
              </w:rPr>
              <w:t>Convener’s Report of the Joint CEP/SC-CAMLR Workshop on Climate Change and Monitoring</w:t>
            </w:r>
            <w:r w:rsidRPr="00F13694">
              <w:t xml:space="preserve"> (United Kingdom and the USA) and endorsed all the workshop’s recommendations (SC-CAMLR XXXV para. 8.6) </w:t>
            </w:r>
          </w:p>
          <w:p w14:paraId="0812E47D" w14:textId="77777777" w:rsidR="009F018D" w:rsidRPr="00F13694" w:rsidRDefault="009F018D" w:rsidP="00A12816">
            <w:pPr>
              <w:pStyle w:val="Prrafodelista"/>
              <w:ind w:left="360"/>
            </w:pPr>
          </w:p>
        </w:tc>
        <w:tc>
          <w:tcPr>
            <w:tcW w:w="5509" w:type="dxa"/>
            <w:tcBorders>
              <w:top w:val="nil"/>
              <w:left w:val="nil"/>
              <w:bottom w:val="single" w:sz="4" w:space="0" w:color="auto"/>
              <w:right w:val="single" w:sz="4" w:space="0" w:color="auto"/>
            </w:tcBorders>
          </w:tcPr>
          <w:p w14:paraId="57D43EB0" w14:textId="77777777" w:rsidR="009F018D" w:rsidRDefault="009F018D" w:rsidP="009F018D">
            <w:pPr>
              <w:pStyle w:val="Prrafodelista"/>
              <w:numPr>
                <w:ilvl w:val="0"/>
                <w:numId w:val="21"/>
              </w:numPr>
              <w:contextualSpacing/>
            </w:pPr>
            <w:r>
              <w:t>CEP XIX</w:t>
            </w:r>
            <w:r w:rsidRPr="002A4FAF">
              <w:t xml:space="preserve"> </w:t>
            </w:r>
            <w:r>
              <w:t xml:space="preserve">(2016) </w:t>
            </w:r>
            <w:r w:rsidRPr="002A4FAF">
              <w:t>agreed on the importance of future joint meetings and intersessional communication between the CEP and SC-CAMLR</w:t>
            </w:r>
            <w:r>
              <w:t>, and agreed that further workshops should be held, at least once every five years (CEP XIX Final Report para. 54-55)</w:t>
            </w:r>
            <w:r w:rsidRPr="002A4FAF">
              <w:t>.</w:t>
            </w:r>
          </w:p>
          <w:p w14:paraId="0475D762" w14:textId="77777777" w:rsidR="009F018D" w:rsidRPr="00F13694" w:rsidRDefault="009F018D" w:rsidP="009F018D">
            <w:pPr>
              <w:pStyle w:val="Prrafodelista"/>
              <w:numPr>
                <w:ilvl w:val="0"/>
                <w:numId w:val="21"/>
              </w:numPr>
              <w:contextualSpacing/>
            </w:pPr>
            <w:r>
              <w:t xml:space="preserve">The </w:t>
            </w:r>
            <w:hyperlink r:id="rId58" w:history="1">
              <w:r w:rsidRPr="00975E91">
                <w:rPr>
                  <w:rStyle w:val="Hipervnculo"/>
                </w:rPr>
                <w:t>CEP five-year work plan</w:t>
              </w:r>
            </w:hyperlink>
            <w:r>
              <w:t xml:space="preserve"> includes actions related to planning for and holding five-yearly joint </w:t>
            </w:r>
            <w:r>
              <w:lastRenderedPageBreak/>
              <w:t>workshops. At CEP XXIII (2021) there was discussion of a proposal to hold a further joint workshop, but due to the virtual nature of the meeting, there was not enough time to fully consider the proposal (CEP XXIII Final Report para. 139).</w:t>
            </w:r>
          </w:p>
        </w:tc>
      </w:tr>
      <w:bookmarkEnd w:id="8"/>
    </w:tbl>
    <w:p w14:paraId="6DFB56AD" w14:textId="77777777" w:rsidR="009F018D" w:rsidRDefault="009F018D" w:rsidP="009F018D"/>
    <w:p w14:paraId="5E39225B" w14:textId="77777777" w:rsidR="009F018D" w:rsidRPr="00482E5A" w:rsidRDefault="009F018D" w:rsidP="009F018D"/>
    <w:p w14:paraId="090D9021" w14:textId="77777777" w:rsidR="009F018D" w:rsidRDefault="009F018D" w:rsidP="009F018D"/>
    <w:p w14:paraId="32A5FD6B" w14:textId="77777777" w:rsidR="009F018D" w:rsidRDefault="009F018D" w:rsidP="00952E9F"/>
    <w:sectPr w:rsidR="009F018D" w:rsidSect="009F018D">
      <w:pgSz w:w="16840" w:h="11907" w:orient="landscape" w:code="9"/>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E565E" w14:textId="77777777" w:rsidR="00000000" w:rsidRDefault="009F018D">
      <w:r>
        <w:separator/>
      </w:r>
    </w:p>
  </w:endnote>
  <w:endnote w:type="continuationSeparator" w:id="0">
    <w:p w14:paraId="626FBA83" w14:textId="77777777" w:rsidR="00000000" w:rsidRDefault="009F0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7106" w14:textId="77777777" w:rsidR="00FA0B9F" w:rsidRDefault="009F018D" w:rsidP="00CF5C82">
    <w:pPr>
      <w:framePr w:wrap="around" w:vAnchor="text" w:hAnchor="margin" w:xAlign="right" w:y="1"/>
    </w:pPr>
    <w:r>
      <w:fldChar w:fldCharType="begin"/>
    </w:r>
    <w:r>
      <w:instrText xml:space="preserve">PAGE  </w:instrText>
    </w:r>
    <w:r>
      <w:fldChar w:fldCharType="separate"/>
    </w:r>
    <w:r>
      <w:fldChar w:fldCharType="end"/>
    </w:r>
  </w:p>
  <w:p w14:paraId="66D3E07F" w14:textId="77777777" w:rsidR="00FA0B9F" w:rsidRDefault="009F018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BC25E" w14:textId="77777777" w:rsidR="00FA0B9F" w:rsidRDefault="009F018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11C996A" w14:textId="0B4E7FA9" w:rsidR="00FA0B9F" w:rsidRDefault="009F018D"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C86A3" w14:textId="77777777" w:rsidR="00E311C9" w:rsidRDefault="009F018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405DA4E" w14:textId="77777777" w:rsidR="00E311C9" w:rsidRDefault="009F018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AAE44" w14:textId="77777777" w:rsidR="00000000" w:rsidRDefault="009F018D">
      <w:r>
        <w:separator/>
      </w:r>
    </w:p>
  </w:footnote>
  <w:footnote w:type="continuationSeparator" w:id="0">
    <w:p w14:paraId="56EE2784" w14:textId="77777777" w:rsidR="00000000" w:rsidRDefault="009F0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DB2600" w14:paraId="59B58531" w14:textId="77777777" w:rsidTr="00490760">
      <w:trPr>
        <w:trHeight w:val="344"/>
        <w:jc w:val="center"/>
      </w:trPr>
      <w:tc>
        <w:tcPr>
          <w:tcW w:w="5495" w:type="dxa"/>
        </w:tcPr>
        <w:p w14:paraId="588F7495" w14:textId="77777777" w:rsidR="00DB7C09" w:rsidRDefault="009F018D" w:rsidP="00F968D4"/>
      </w:tc>
      <w:tc>
        <w:tcPr>
          <w:tcW w:w="4253" w:type="dxa"/>
          <w:gridSpan w:val="2"/>
        </w:tcPr>
        <w:p w14:paraId="12786201" w14:textId="77777777" w:rsidR="00DB7C09" w:rsidRPr="00BD47E4" w:rsidRDefault="009F018D" w:rsidP="002A07BC">
          <w:pPr>
            <w:jc w:val="right"/>
            <w:rPr>
              <w:b/>
              <w:sz w:val="32"/>
              <w:szCs w:val="32"/>
            </w:rPr>
          </w:pPr>
          <w:bookmarkStart w:id="2" w:name="type"/>
          <w:r w:rsidRPr="00BD47E4">
            <w:rPr>
              <w:b/>
              <w:sz w:val="32"/>
              <w:szCs w:val="32"/>
            </w:rPr>
            <w:t>WP</w:t>
          </w:r>
          <w:bookmarkEnd w:id="2"/>
        </w:p>
      </w:tc>
      <w:tc>
        <w:tcPr>
          <w:tcW w:w="1524" w:type="dxa"/>
          <w:gridSpan w:val="2"/>
        </w:tcPr>
        <w:p w14:paraId="2F548D17" w14:textId="77777777" w:rsidR="00DB7C09" w:rsidRPr="00BD47E4" w:rsidRDefault="009F018D" w:rsidP="00DB7C09">
          <w:pPr>
            <w:rPr>
              <w:b/>
              <w:sz w:val="32"/>
              <w:szCs w:val="32"/>
            </w:rPr>
          </w:pPr>
          <w:bookmarkStart w:id="3" w:name="number"/>
          <w:r w:rsidRPr="00BD47E4">
            <w:rPr>
              <w:b/>
              <w:sz w:val="32"/>
              <w:szCs w:val="32"/>
            </w:rPr>
            <w:t>16</w:t>
          </w:r>
          <w:bookmarkEnd w:id="3"/>
        </w:p>
      </w:tc>
    </w:tr>
    <w:tr w:rsidR="00DB2600" w14:paraId="06FDE595" w14:textId="77777777" w:rsidTr="00490760">
      <w:trPr>
        <w:trHeight w:val="2165"/>
        <w:jc w:val="center"/>
      </w:trPr>
      <w:tc>
        <w:tcPr>
          <w:tcW w:w="5495" w:type="dxa"/>
        </w:tcPr>
        <w:p w14:paraId="23C3A0D7" w14:textId="77777777" w:rsidR="00490760" w:rsidRPr="00EE4D48" w:rsidRDefault="009F018D" w:rsidP="002A07BC">
          <w:pPr>
            <w:rPr>
              <w:b/>
              <w:sz w:val="28"/>
              <w:szCs w:val="28"/>
            </w:rPr>
          </w:pPr>
          <w:r>
            <w:rPr>
              <w:noProof/>
            </w:rPr>
            <w:drawing>
              <wp:inline distT="0" distB="0" distL="0" distR="0" wp14:anchorId="0ADC1C7D" wp14:editId="393DAA66">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63702"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22FE0B22" w14:textId="77777777" w:rsidR="00490760" w:rsidRPr="00FE5146" w:rsidRDefault="009F018D" w:rsidP="00490760">
          <w:pPr>
            <w:jc w:val="right"/>
            <w:rPr>
              <w:sz w:val="144"/>
              <w:szCs w:val="144"/>
            </w:rPr>
          </w:pPr>
          <w:r w:rsidRPr="00FE5146">
            <w:rPr>
              <w:sz w:val="144"/>
              <w:szCs w:val="144"/>
            </w:rPr>
            <w:t>ENG</w:t>
          </w:r>
        </w:p>
      </w:tc>
    </w:tr>
    <w:tr w:rsidR="00DB2600" w14:paraId="54EE8895" w14:textId="77777777" w:rsidTr="00BD47E4">
      <w:trPr>
        <w:trHeight w:val="409"/>
        <w:jc w:val="center"/>
      </w:trPr>
      <w:tc>
        <w:tcPr>
          <w:tcW w:w="9039" w:type="dxa"/>
          <w:gridSpan w:val="2"/>
        </w:tcPr>
        <w:p w14:paraId="555D2A84" w14:textId="77777777" w:rsidR="00BD47E4" w:rsidRDefault="009F018D" w:rsidP="002C30DA">
          <w:pPr>
            <w:jc w:val="right"/>
          </w:pPr>
          <w:r>
            <w:t>Agenda Item:</w:t>
          </w:r>
        </w:p>
      </w:tc>
      <w:tc>
        <w:tcPr>
          <w:tcW w:w="1843" w:type="dxa"/>
          <w:gridSpan w:val="2"/>
        </w:tcPr>
        <w:p w14:paraId="7234FC4A" w14:textId="77777777" w:rsidR="00BD47E4" w:rsidRDefault="009F018D" w:rsidP="002C30DA">
          <w:pPr>
            <w:jc w:val="right"/>
          </w:pPr>
          <w:bookmarkStart w:id="4" w:name="agenda"/>
          <w:r>
            <w:t>CEP 7b</w:t>
          </w:r>
          <w:bookmarkEnd w:id="4"/>
        </w:p>
      </w:tc>
      <w:tc>
        <w:tcPr>
          <w:tcW w:w="390" w:type="dxa"/>
        </w:tcPr>
        <w:p w14:paraId="75BFAA20" w14:textId="77777777" w:rsidR="00BD47E4" w:rsidRDefault="009F018D" w:rsidP="00387A65">
          <w:pPr>
            <w:jc w:val="right"/>
          </w:pPr>
        </w:p>
      </w:tc>
    </w:tr>
    <w:tr w:rsidR="00DB2600" w14:paraId="29F7D13A" w14:textId="77777777" w:rsidTr="00BD47E4">
      <w:trPr>
        <w:trHeight w:val="397"/>
        <w:jc w:val="center"/>
      </w:trPr>
      <w:tc>
        <w:tcPr>
          <w:tcW w:w="9039" w:type="dxa"/>
          <w:gridSpan w:val="2"/>
        </w:tcPr>
        <w:p w14:paraId="5DFA98D0" w14:textId="77777777" w:rsidR="00BD47E4" w:rsidRDefault="009F018D" w:rsidP="002C30DA">
          <w:pPr>
            <w:jc w:val="right"/>
          </w:pPr>
          <w:r>
            <w:t>Presented by:</w:t>
          </w:r>
        </w:p>
      </w:tc>
      <w:tc>
        <w:tcPr>
          <w:tcW w:w="1843" w:type="dxa"/>
          <w:gridSpan w:val="2"/>
        </w:tcPr>
        <w:p w14:paraId="71C557D9" w14:textId="77777777" w:rsidR="00BD47E4" w:rsidRDefault="009F018D" w:rsidP="002C30DA">
          <w:pPr>
            <w:jc w:val="right"/>
          </w:pPr>
          <w:bookmarkStart w:id="5" w:name="party"/>
          <w:r>
            <w:t xml:space="preserve">Argentina, </w:t>
          </w:r>
          <w:r>
            <w:t>Australia, France, United States</w:t>
          </w:r>
          <w:bookmarkEnd w:id="5"/>
        </w:p>
      </w:tc>
      <w:tc>
        <w:tcPr>
          <w:tcW w:w="390" w:type="dxa"/>
        </w:tcPr>
        <w:p w14:paraId="3AC81C70" w14:textId="77777777" w:rsidR="00BD47E4" w:rsidRDefault="009F018D" w:rsidP="00387A65">
          <w:pPr>
            <w:jc w:val="right"/>
          </w:pPr>
        </w:p>
      </w:tc>
    </w:tr>
    <w:tr w:rsidR="00DB2600" w14:paraId="42BA8532" w14:textId="77777777" w:rsidTr="00BD47E4">
      <w:trPr>
        <w:trHeight w:val="409"/>
        <w:jc w:val="center"/>
      </w:trPr>
      <w:tc>
        <w:tcPr>
          <w:tcW w:w="9039" w:type="dxa"/>
          <w:gridSpan w:val="2"/>
        </w:tcPr>
        <w:p w14:paraId="23225E10" w14:textId="77777777" w:rsidR="00BD47E4" w:rsidRDefault="009F018D" w:rsidP="002C30DA">
          <w:pPr>
            <w:jc w:val="right"/>
          </w:pPr>
          <w:r>
            <w:t>Original:</w:t>
          </w:r>
        </w:p>
      </w:tc>
      <w:tc>
        <w:tcPr>
          <w:tcW w:w="1843" w:type="dxa"/>
          <w:gridSpan w:val="2"/>
        </w:tcPr>
        <w:p w14:paraId="787F43EE" w14:textId="77777777" w:rsidR="00BD47E4" w:rsidRDefault="009F018D" w:rsidP="002C30DA">
          <w:pPr>
            <w:jc w:val="right"/>
          </w:pPr>
          <w:bookmarkStart w:id="6" w:name="language"/>
          <w:r>
            <w:t>English</w:t>
          </w:r>
          <w:bookmarkEnd w:id="6"/>
        </w:p>
      </w:tc>
      <w:tc>
        <w:tcPr>
          <w:tcW w:w="390" w:type="dxa"/>
        </w:tcPr>
        <w:p w14:paraId="455E0389" w14:textId="77777777" w:rsidR="00BD47E4" w:rsidRDefault="009F018D" w:rsidP="00387A65">
          <w:pPr>
            <w:jc w:val="right"/>
          </w:pPr>
        </w:p>
      </w:tc>
    </w:tr>
    <w:tr w:rsidR="00DB2600" w14:paraId="7C24E00C" w14:textId="77777777" w:rsidTr="00BD47E4">
      <w:trPr>
        <w:trHeight w:val="409"/>
        <w:jc w:val="center"/>
      </w:trPr>
      <w:tc>
        <w:tcPr>
          <w:tcW w:w="9039" w:type="dxa"/>
          <w:gridSpan w:val="2"/>
        </w:tcPr>
        <w:p w14:paraId="0894B49F" w14:textId="77777777" w:rsidR="0097629D" w:rsidRDefault="009F018D" w:rsidP="002C30DA">
          <w:pPr>
            <w:jc w:val="right"/>
          </w:pPr>
          <w:r>
            <w:t>Submitted:</w:t>
          </w:r>
        </w:p>
      </w:tc>
      <w:tc>
        <w:tcPr>
          <w:tcW w:w="1843" w:type="dxa"/>
          <w:gridSpan w:val="2"/>
        </w:tcPr>
        <w:p w14:paraId="4BE1E8FD" w14:textId="77777777" w:rsidR="0097629D" w:rsidRDefault="009F018D" w:rsidP="0097629D">
          <w:pPr>
            <w:jc w:val="right"/>
          </w:pPr>
          <w:bookmarkStart w:id="7" w:name="date_submission"/>
          <w:r>
            <w:t>6/4/2022</w:t>
          </w:r>
          <w:bookmarkEnd w:id="7"/>
        </w:p>
      </w:tc>
      <w:tc>
        <w:tcPr>
          <w:tcW w:w="390" w:type="dxa"/>
        </w:tcPr>
        <w:p w14:paraId="34B418B6" w14:textId="77777777" w:rsidR="0097629D" w:rsidRDefault="009F018D" w:rsidP="00387A65">
          <w:pPr>
            <w:jc w:val="right"/>
          </w:pPr>
        </w:p>
      </w:tc>
    </w:tr>
  </w:tbl>
  <w:p w14:paraId="2DB415B6" w14:textId="77777777" w:rsidR="00AE5DD0" w:rsidRDefault="009F018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B2600" w14:paraId="310029D3" w14:textId="77777777">
      <w:trPr>
        <w:trHeight w:val="354"/>
        <w:jc w:val="center"/>
      </w:trPr>
      <w:tc>
        <w:tcPr>
          <w:tcW w:w="9694" w:type="dxa"/>
        </w:tcPr>
        <w:p w14:paraId="4042624F" w14:textId="372FDF23" w:rsidR="00AE5DD0" w:rsidRPr="00BD47E4" w:rsidRDefault="009F018D" w:rsidP="00C26F2D">
          <w:pPr>
            <w:jc w:val="right"/>
            <w:rPr>
              <w:b/>
              <w:sz w:val="32"/>
              <w:szCs w:val="32"/>
            </w:rPr>
          </w:pPr>
          <w:r>
            <w:rPr>
              <w:b/>
              <w:sz w:val="32"/>
              <w:szCs w:val="32"/>
            </w:rPr>
            <w:t>W</w:t>
          </w:r>
          <w:r>
            <w:rPr>
              <w:sz w:val="32"/>
              <w:szCs w:val="32"/>
            </w:rPr>
            <w:t>P</w:t>
          </w:r>
        </w:p>
      </w:tc>
      <w:tc>
        <w:tcPr>
          <w:tcW w:w="1332" w:type="dxa"/>
        </w:tcPr>
        <w:p w14:paraId="4DC245E4" w14:textId="21042846" w:rsidR="00AE5DD0" w:rsidRPr="00BD47E4" w:rsidRDefault="009F018D" w:rsidP="00080F4C">
          <w:pPr>
            <w:rPr>
              <w:b/>
              <w:sz w:val="32"/>
              <w:szCs w:val="32"/>
            </w:rPr>
          </w:pPr>
          <w:r>
            <w:rPr>
              <w:b/>
              <w:sz w:val="32"/>
              <w:szCs w:val="32"/>
            </w:rPr>
            <w:t>1</w:t>
          </w:r>
          <w:r>
            <w:rPr>
              <w:sz w:val="32"/>
              <w:szCs w:val="32"/>
            </w:rPr>
            <w:t>6</w:t>
          </w:r>
        </w:p>
      </w:tc>
    </w:tr>
  </w:tbl>
  <w:p w14:paraId="6E515000" w14:textId="77777777" w:rsidR="00AE5DD0" w:rsidRDefault="009F01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64D02"/>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3615C00"/>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7B04C84"/>
    <w:multiLevelType w:val="hybridMultilevel"/>
    <w:tmpl w:val="FFFFFFFF"/>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86577EA"/>
    <w:multiLevelType w:val="hybridMultilevel"/>
    <w:tmpl w:val="21A63D98"/>
    <w:lvl w:ilvl="0" w:tplc="F3385882">
      <w:start w:val="1"/>
      <w:numFmt w:val="bullet"/>
      <w:pStyle w:val="ATSBullet1"/>
      <w:lvlText w:val=""/>
      <w:lvlJc w:val="left"/>
      <w:pPr>
        <w:tabs>
          <w:tab w:val="num" w:pos="360"/>
        </w:tabs>
        <w:ind w:left="360" w:hanging="360"/>
      </w:pPr>
      <w:rPr>
        <w:rFonts w:ascii="Symbol" w:hAnsi="Symbol" w:hint="default"/>
        <w:color w:val="auto"/>
      </w:rPr>
    </w:lvl>
    <w:lvl w:ilvl="1" w:tplc="EF9E157A" w:tentative="1">
      <w:start w:val="1"/>
      <w:numFmt w:val="bullet"/>
      <w:lvlText w:val="o"/>
      <w:lvlJc w:val="left"/>
      <w:pPr>
        <w:tabs>
          <w:tab w:val="num" w:pos="1440"/>
        </w:tabs>
        <w:ind w:left="1440" w:hanging="360"/>
      </w:pPr>
      <w:rPr>
        <w:rFonts w:ascii="Courier New" w:hAnsi="Courier New" w:cs="Courier New" w:hint="default"/>
      </w:rPr>
    </w:lvl>
    <w:lvl w:ilvl="2" w:tplc="2E7EF242" w:tentative="1">
      <w:start w:val="1"/>
      <w:numFmt w:val="bullet"/>
      <w:lvlText w:val=""/>
      <w:lvlJc w:val="left"/>
      <w:pPr>
        <w:tabs>
          <w:tab w:val="num" w:pos="2160"/>
        </w:tabs>
        <w:ind w:left="2160" w:hanging="360"/>
      </w:pPr>
      <w:rPr>
        <w:rFonts w:ascii="Wingdings" w:hAnsi="Wingdings" w:hint="default"/>
      </w:rPr>
    </w:lvl>
    <w:lvl w:ilvl="3" w:tplc="6B982520" w:tentative="1">
      <w:start w:val="1"/>
      <w:numFmt w:val="bullet"/>
      <w:lvlText w:val=""/>
      <w:lvlJc w:val="left"/>
      <w:pPr>
        <w:tabs>
          <w:tab w:val="num" w:pos="2880"/>
        </w:tabs>
        <w:ind w:left="2880" w:hanging="360"/>
      </w:pPr>
      <w:rPr>
        <w:rFonts w:ascii="Symbol" w:hAnsi="Symbol" w:hint="default"/>
      </w:rPr>
    </w:lvl>
    <w:lvl w:ilvl="4" w:tplc="88C688AA" w:tentative="1">
      <w:start w:val="1"/>
      <w:numFmt w:val="bullet"/>
      <w:lvlText w:val="o"/>
      <w:lvlJc w:val="left"/>
      <w:pPr>
        <w:tabs>
          <w:tab w:val="num" w:pos="3600"/>
        </w:tabs>
        <w:ind w:left="3600" w:hanging="360"/>
      </w:pPr>
      <w:rPr>
        <w:rFonts w:ascii="Courier New" w:hAnsi="Courier New" w:cs="Courier New" w:hint="default"/>
      </w:rPr>
    </w:lvl>
    <w:lvl w:ilvl="5" w:tplc="7D20B9C4" w:tentative="1">
      <w:start w:val="1"/>
      <w:numFmt w:val="bullet"/>
      <w:lvlText w:val=""/>
      <w:lvlJc w:val="left"/>
      <w:pPr>
        <w:tabs>
          <w:tab w:val="num" w:pos="4320"/>
        </w:tabs>
        <w:ind w:left="4320" w:hanging="360"/>
      </w:pPr>
      <w:rPr>
        <w:rFonts w:ascii="Wingdings" w:hAnsi="Wingdings" w:hint="default"/>
      </w:rPr>
    </w:lvl>
    <w:lvl w:ilvl="6" w:tplc="1F58D3A8" w:tentative="1">
      <w:start w:val="1"/>
      <w:numFmt w:val="bullet"/>
      <w:lvlText w:val=""/>
      <w:lvlJc w:val="left"/>
      <w:pPr>
        <w:tabs>
          <w:tab w:val="num" w:pos="5040"/>
        </w:tabs>
        <w:ind w:left="5040" w:hanging="360"/>
      </w:pPr>
      <w:rPr>
        <w:rFonts w:ascii="Symbol" w:hAnsi="Symbol" w:hint="default"/>
      </w:rPr>
    </w:lvl>
    <w:lvl w:ilvl="7" w:tplc="82A203CC" w:tentative="1">
      <w:start w:val="1"/>
      <w:numFmt w:val="bullet"/>
      <w:lvlText w:val="o"/>
      <w:lvlJc w:val="left"/>
      <w:pPr>
        <w:tabs>
          <w:tab w:val="num" w:pos="5760"/>
        </w:tabs>
        <w:ind w:left="5760" w:hanging="360"/>
      </w:pPr>
      <w:rPr>
        <w:rFonts w:ascii="Courier New" w:hAnsi="Courier New" w:cs="Courier New" w:hint="default"/>
      </w:rPr>
    </w:lvl>
    <w:lvl w:ilvl="8" w:tplc="F2F4260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D35C15"/>
    <w:multiLevelType w:val="hybridMultilevel"/>
    <w:tmpl w:val="A8A2E45C"/>
    <w:lvl w:ilvl="0" w:tplc="F8A0C564">
      <w:start w:val="1"/>
      <w:numFmt w:val="decimal"/>
      <w:lvlText w:val="%1)"/>
      <w:lvlJc w:val="left"/>
      <w:pPr>
        <w:tabs>
          <w:tab w:val="num" w:pos="340"/>
        </w:tabs>
        <w:ind w:left="340" w:hanging="340"/>
      </w:pPr>
      <w:rPr>
        <w:rFonts w:hint="default"/>
      </w:rPr>
    </w:lvl>
    <w:lvl w:ilvl="1" w:tplc="004CB27A" w:tentative="1">
      <w:start w:val="1"/>
      <w:numFmt w:val="lowerLetter"/>
      <w:lvlText w:val="%2."/>
      <w:lvlJc w:val="left"/>
      <w:pPr>
        <w:tabs>
          <w:tab w:val="num" w:pos="1440"/>
        </w:tabs>
        <w:ind w:left="1440" w:hanging="360"/>
      </w:pPr>
    </w:lvl>
    <w:lvl w:ilvl="2" w:tplc="A156D884" w:tentative="1">
      <w:start w:val="1"/>
      <w:numFmt w:val="lowerRoman"/>
      <w:lvlText w:val="%3."/>
      <w:lvlJc w:val="right"/>
      <w:pPr>
        <w:tabs>
          <w:tab w:val="num" w:pos="2160"/>
        </w:tabs>
        <w:ind w:left="2160" w:hanging="180"/>
      </w:pPr>
    </w:lvl>
    <w:lvl w:ilvl="3" w:tplc="E55C815A" w:tentative="1">
      <w:start w:val="1"/>
      <w:numFmt w:val="decimal"/>
      <w:lvlText w:val="%4."/>
      <w:lvlJc w:val="left"/>
      <w:pPr>
        <w:tabs>
          <w:tab w:val="num" w:pos="2880"/>
        </w:tabs>
        <w:ind w:left="2880" w:hanging="360"/>
      </w:pPr>
    </w:lvl>
    <w:lvl w:ilvl="4" w:tplc="CC5EA9B0" w:tentative="1">
      <w:start w:val="1"/>
      <w:numFmt w:val="lowerLetter"/>
      <w:lvlText w:val="%5."/>
      <w:lvlJc w:val="left"/>
      <w:pPr>
        <w:tabs>
          <w:tab w:val="num" w:pos="3600"/>
        </w:tabs>
        <w:ind w:left="3600" w:hanging="360"/>
      </w:pPr>
    </w:lvl>
    <w:lvl w:ilvl="5" w:tplc="3482A924" w:tentative="1">
      <w:start w:val="1"/>
      <w:numFmt w:val="lowerRoman"/>
      <w:lvlText w:val="%6."/>
      <w:lvlJc w:val="right"/>
      <w:pPr>
        <w:tabs>
          <w:tab w:val="num" w:pos="4320"/>
        </w:tabs>
        <w:ind w:left="4320" w:hanging="180"/>
      </w:pPr>
    </w:lvl>
    <w:lvl w:ilvl="6" w:tplc="39608D6C" w:tentative="1">
      <w:start w:val="1"/>
      <w:numFmt w:val="decimal"/>
      <w:lvlText w:val="%7."/>
      <w:lvlJc w:val="left"/>
      <w:pPr>
        <w:tabs>
          <w:tab w:val="num" w:pos="5040"/>
        </w:tabs>
        <w:ind w:left="5040" w:hanging="360"/>
      </w:pPr>
    </w:lvl>
    <w:lvl w:ilvl="7" w:tplc="E534ABA2" w:tentative="1">
      <w:start w:val="1"/>
      <w:numFmt w:val="lowerLetter"/>
      <w:lvlText w:val="%8."/>
      <w:lvlJc w:val="left"/>
      <w:pPr>
        <w:tabs>
          <w:tab w:val="num" w:pos="5760"/>
        </w:tabs>
        <w:ind w:left="5760" w:hanging="360"/>
      </w:pPr>
    </w:lvl>
    <w:lvl w:ilvl="8" w:tplc="DEEA5F08" w:tentative="1">
      <w:start w:val="1"/>
      <w:numFmt w:val="lowerRoman"/>
      <w:lvlText w:val="%9."/>
      <w:lvlJc w:val="right"/>
      <w:pPr>
        <w:tabs>
          <w:tab w:val="num" w:pos="6480"/>
        </w:tabs>
        <w:ind w:left="6480" w:hanging="180"/>
      </w:pPr>
    </w:lvl>
  </w:abstractNum>
  <w:abstractNum w:abstractNumId="16" w15:restartNumberingAfterBreak="0">
    <w:nsid w:val="57202237"/>
    <w:multiLevelType w:val="hybridMultilevel"/>
    <w:tmpl w:val="FFFFFFFF"/>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D392645"/>
    <w:multiLevelType w:val="hybridMultilevel"/>
    <w:tmpl w:val="FFFFFFFF"/>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2F3AFA"/>
    <w:multiLevelType w:val="hybridMultilevel"/>
    <w:tmpl w:val="9DF09BE6"/>
    <w:lvl w:ilvl="0" w:tplc="7AAEFEAA">
      <w:start w:val="1"/>
      <w:numFmt w:val="decimal"/>
      <w:lvlText w:val="%1."/>
      <w:lvlJc w:val="left"/>
      <w:pPr>
        <w:tabs>
          <w:tab w:val="num" w:pos="1057"/>
        </w:tabs>
        <w:ind w:left="1057" w:hanging="360"/>
      </w:pPr>
      <w:rPr>
        <w:rFonts w:hint="default"/>
      </w:rPr>
    </w:lvl>
    <w:lvl w:ilvl="1" w:tplc="6A280E08" w:tentative="1">
      <w:start w:val="1"/>
      <w:numFmt w:val="lowerLetter"/>
      <w:lvlText w:val="%2."/>
      <w:lvlJc w:val="left"/>
      <w:pPr>
        <w:tabs>
          <w:tab w:val="num" w:pos="2137"/>
        </w:tabs>
        <w:ind w:left="2137" w:hanging="360"/>
      </w:pPr>
    </w:lvl>
    <w:lvl w:ilvl="2" w:tplc="90B60624" w:tentative="1">
      <w:start w:val="1"/>
      <w:numFmt w:val="lowerRoman"/>
      <w:lvlText w:val="%3."/>
      <w:lvlJc w:val="right"/>
      <w:pPr>
        <w:tabs>
          <w:tab w:val="num" w:pos="2857"/>
        </w:tabs>
        <w:ind w:left="2857" w:hanging="180"/>
      </w:pPr>
    </w:lvl>
    <w:lvl w:ilvl="3" w:tplc="CF462F24" w:tentative="1">
      <w:start w:val="1"/>
      <w:numFmt w:val="decimal"/>
      <w:lvlText w:val="%4."/>
      <w:lvlJc w:val="left"/>
      <w:pPr>
        <w:tabs>
          <w:tab w:val="num" w:pos="3577"/>
        </w:tabs>
        <w:ind w:left="3577" w:hanging="360"/>
      </w:pPr>
    </w:lvl>
    <w:lvl w:ilvl="4" w:tplc="C7582314" w:tentative="1">
      <w:start w:val="1"/>
      <w:numFmt w:val="lowerLetter"/>
      <w:lvlText w:val="%5."/>
      <w:lvlJc w:val="left"/>
      <w:pPr>
        <w:tabs>
          <w:tab w:val="num" w:pos="4297"/>
        </w:tabs>
        <w:ind w:left="4297" w:hanging="360"/>
      </w:pPr>
    </w:lvl>
    <w:lvl w:ilvl="5" w:tplc="1BB8CF68" w:tentative="1">
      <w:start w:val="1"/>
      <w:numFmt w:val="lowerRoman"/>
      <w:lvlText w:val="%6."/>
      <w:lvlJc w:val="right"/>
      <w:pPr>
        <w:tabs>
          <w:tab w:val="num" w:pos="5017"/>
        </w:tabs>
        <w:ind w:left="5017" w:hanging="180"/>
      </w:pPr>
    </w:lvl>
    <w:lvl w:ilvl="6" w:tplc="40AC6FC2" w:tentative="1">
      <w:start w:val="1"/>
      <w:numFmt w:val="decimal"/>
      <w:lvlText w:val="%7."/>
      <w:lvlJc w:val="left"/>
      <w:pPr>
        <w:tabs>
          <w:tab w:val="num" w:pos="5737"/>
        </w:tabs>
        <w:ind w:left="5737" w:hanging="360"/>
      </w:pPr>
    </w:lvl>
    <w:lvl w:ilvl="7" w:tplc="038A0532" w:tentative="1">
      <w:start w:val="1"/>
      <w:numFmt w:val="lowerLetter"/>
      <w:lvlText w:val="%8."/>
      <w:lvlJc w:val="left"/>
      <w:pPr>
        <w:tabs>
          <w:tab w:val="num" w:pos="6457"/>
        </w:tabs>
        <w:ind w:left="6457" w:hanging="360"/>
      </w:pPr>
    </w:lvl>
    <w:lvl w:ilvl="8" w:tplc="C418708E" w:tentative="1">
      <w:start w:val="1"/>
      <w:numFmt w:val="lowerRoman"/>
      <w:lvlText w:val="%9."/>
      <w:lvlJc w:val="right"/>
      <w:pPr>
        <w:tabs>
          <w:tab w:val="num" w:pos="7177"/>
        </w:tabs>
        <w:ind w:left="7177" w:hanging="180"/>
      </w:pPr>
    </w:lvl>
  </w:abstractNum>
  <w:abstractNum w:abstractNumId="19" w15:restartNumberingAfterBreak="0">
    <w:nsid w:val="6BA97993"/>
    <w:multiLevelType w:val="hybridMultilevel"/>
    <w:tmpl w:val="FFFFFFFF"/>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12657C"/>
    <w:multiLevelType w:val="hybridMultilevel"/>
    <w:tmpl w:val="0A8E2A84"/>
    <w:lvl w:ilvl="0" w:tplc="7A7A06A2">
      <w:start w:val="1"/>
      <w:numFmt w:val="decimal"/>
      <w:pStyle w:val="ATSNumber1"/>
      <w:lvlText w:val="%1)"/>
      <w:lvlJc w:val="left"/>
      <w:pPr>
        <w:tabs>
          <w:tab w:val="num" w:pos="720"/>
        </w:tabs>
        <w:ind w:left="720" w:hanging="360"/>
      </w:pPr>
    </w:lvl>
    <w:lvl w:ilvl="1" w:tplc="BC0228CA" w:tentative="1">
      <w:start w:val="1"/>
      <w:numFmt w:val="lowerLetter"/>
      <w:lvlText w:val="%2."/>
      <w:lvlJc w:val="left"/>
      <w:pPr>
        <w:tabs>
          <w:tab w:val="num" w:pos="1440"/>
        </w:tabs>
        <w:ind w:left="1440" w:hanging="360"/>
      </w:pPr>
    </w:lvl>
    <w:lvl w:ilvl="2" w:tplc="292E1E04" w:tentative="1">
      <w:start w:val="1"/>
      <w:numFmt w:val="lowerRoman"/>
      <w:lvlText w:val="%3."/>
      <w:lvlJc w:val="right"/>
      <w:pPr>
        <w:tabs>
          <w:tab w:val="num" w:pos="2160"/>
        </w:tabs>
        <w:ind w:left="2160" w:hanging="180"/>
      </w:pPr>
    </w:lvl>
    <w:lvl w:ilvl="3" w:tplc="BF9AF512" w:tentative="1">
      <w:start w:val="1"/>
      <w:numFmt w:val="decimal"/>
      <w:lvlText w:val="%4."/>
      <w:lvlJc w:val="left"/>
      <w:pPr>
        <w:tabs>
          <w:tab w:val="num" w:pos="2880"/>
        </w:tabs>
        <w:ind w:left="2880" w:hanging="360"/>
      </w:pPr>
    </w:lvl>
    <w:lvl w:ilvl="4" w:tplc="489600F6" w:tentative="1">
      <w:start w:val="1"/>
      <w:numFmt w:val="lowerLetter"/>
      <w:lvlText w:val="%5."/>
      <w:lvlJc w:val="left"/>
      <w:pPr>
        <w:tabs>
          <w:tab w:val="num" w:pos="3600"/>
        </w:tabs>
        <w:ind w:left="3600" w:hanging="360"/>
      </w:pPr>
    </w:lvl>
    <w:lvl w:ilvl="5" w:tplc="2B326EFA" w:tentative="1">
      <w:start w:val="1"/>
      <w:numFmt w:val="lowerRoman"/>
      <w:lvlText w:val="%6."/>
      <w:lvlJc w:val="right"/>
      <w:pPr>
        <w:tabs>
          <w:tab w:val="num" w:pos="4320"/>
        </w:tabs>
        <w:ind w:left="4320" w:hanging="180"/>
      </w:pPr>
    </w:lvl>
    <w:lvl w:ilvl="6" w:tplc="0418721C" w:tentative="1">
      <w:start w:val="1"/>
      <w:numFmt w:val="decimal"/>
      <w:lvlText w:val="%7."/>
      <w:lvlJc w:val="left"/>
      <w:pPr>
        <w:tabs>
          <w:tab w:val="num" w:pos="5040"/>
        </w:tabs>
        <w:ind w:left="5040" w:hanging="360"/>
      </w:pPr>
    </w:lvl>
    <w:lvl w:ilvl="7" w:tplc="10282306" w:tentative="1">
      <w:start w:val="1"/>
      <w:numFmt w:val="lowerLetter"/>
      <w:lvlText w:val="%8."/>
      <w:lvlJc w:val="left"/>
      <w:pPr>
        <w:tabs>
          <w:tab w:val="num" w:pos="5760"/>
        </w:tabs>
        <w:ind w:left="5760" w:hanging="360"/>
      </w:pPr>
    </w:lvl>
    <w:lvl w:ilvl="8" w:tplc="DF902A9A" w:tentative="1">
      <w:start w:val="1"/>
      <w:numFmt w:val="lowerRoman"/>
      <w:lvlText w:val="%9."/>
      <w:lvlJc w:val="right"/>
      <w:pPr>
        <w:tabs>
          <w:tab w:val="num" w:pos="6480"/>
        </w:tabs>
        <w:ind w:left="6480" w:hanging="180"/>
      </w:pPr>
    </w:lvl>
  </w:abstractNum>
  <w:abstractNum w:abstractNumId="21" w15:restartNumberingAfterBreak="0">
    <w:nsid w:val="743D2161"/>
    <w:multiLevelType w:val="hybridMultilevel"/>
    <w:tmpl w:val="B0868D9E"/>
    <w:lvl w:ilvl="0" w:tplc="C97C3CB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DB2D52C" w:tentative="1">
      <w:start w:val="1"/>
      <w:numFmt w:val="bullet"/>
      <w:lvlText w:val="o"/>
      <w:lvlJc w:val="left"/>
      <w:pPr>
        <w:tabs>
          <w:tab w:val="num" w:pos="2517"/>
        </w:tabs>
        <w:ind w:left="2517" w:hanging="360"/>
      </w:pPr>
      <w:rPr>
        <w:rFonts w:ascii="Courier New" w:hAnsi="Courier New" w:cs="Courier New" w:hint="default"/>
      </w:rPr>
    </w:lvl>
    <w:lvl w:ilvl="2" w:tplc="ABEC0E34" w:tentative="1">
      <w:start w:val="1"/>
      <w:numFmt w:val="bullet"/>
      <w:lvlText w:val=""/>
      <w:lvlJc w:val="left"/>
      <w:pPr>
        <w:tabs>
          <w:tab w:val="num" w:pos="3237"/>
        </w:tabs>
        <w:ind w:left="3237" w:hanging="360"/>
      </w:pPr>
      <w:rPr>
        <w:rFonts w:ascii="Wingdings" w:hAnsi="Wingdings" w:hint="default"/>
      </w:rPr>
    </w:lvl>
    <w:lvl w:ilvl="3" w:tplc="3D9ABE26" w:tentative="1">
      <w:start w:val="1"/>
      <w:numFmt w:val="bullet"/>
      <w:lvlText w:val=""/>
      <w:lvlJc w:val="left"/>
      <w:pPr>
        <w:tabs>
          <w:tab w:val="num" w:pos="3957"/>
        </w:tabs>
        <w:ind w:left="3957" w:hanging="360"/>
      </w:pPr>
      <w:rPr>
        <w:rFonts w:ascii="Symbol" w:hAnsi="Symbol" w:hint="default"/>
      </w:rPr>
    </w:lvl>
    <w:lvl w:ilvl="4" w:tplc="5B92583A" w:tentative="1">
      <w:start w:val="1"/>
      <w:numFmt w:val="bullet"/>
      <w:lvlText w:val="o"/>
      <w:lvlJc w:val="left"/>
      <w:pPr>
        <w:tabs>
          <w:tab w:val="num" w:pos="4677"/>
        </w:tabs>
        <w:ind w:left="4677" w:hanging="360"/>
      </w:pPr>
      <w:rPr>
        <w:rFonts w:ascii="Courier New" w:hAnsi="Courier New" w:cs="Courier New" w:hint="default"/>
      </w:rPr>
    </w:lvl>
    <w:lvl w:ilvl="5" w:tplc="1DAE26C0" w:tentative="1">
      <w:start w:val="1"/>
      <w:numFmt w:val="bullet"/>
      <w:lvlText w:val=""/>
      <w:lvlJc w:val="left"/>
      <w:pPr>
        <w:tabs>
          <w:tab w:val="num" w:pos="5397"/>
        </w:tabs>
        <w:ind w:left="5397" w:hanging="360"/>
      </w:pPr>
      <w:rPr>
        <w:rFonts w:ascii="Wingdings" w:hAnsi="Wingdings" w:hint="default"/>
      </w:rPr>
    </w:lvl>
    <w:lvl w:ilvl="6" w:tplc="0EE250C2" w:tentative="1">
      <w:start w:val="1"/>
      <w:numFmt w:val="bullet"/>
      <w:lvlText w:val=""/>
      <w:lvlJc w:val="left"/>
      <w:pPr>
        <w:tabs>
          <w:tab w:val="num" w:pos="6117"/>
        </w:tabs>
        <w:ind w:left="6117" w:hanging="360"/>
      </w:pPr>
      <w:rPr>
        <w:rFonts w:ascii="Symbol" w:hAnsi="Symbol" w:hint="default"/>
      </w:rPr>
    </w:lvl>
    <w:lvl w:ilvl="7" w:tplc="7D1624FC" w:tentative="1">
      <w:start w:val="1"/>
      <w:numFmt w:val="bullet"/>
      <w:lvlText w:val="o"/>
      <w:lvlJc w:val="left"/>
      <w:pPr>
        <w:tabs>
          <w:tab w:val="num" w:pos="6837"/>
        </w:tabs>
        <w:ind w:left="6837" w:hanging="360"/>
      </w:pPr>
      <w:rPr>
        <w:rFonts w:ascii="Courier New" w:hAnsi="Courier New" w:cs="Courier New" w:hint="default"/>
      </w:rPr>
    </w:lvl>
    <w:lvl w:ilvl="8" w:tplc="62C20E88" w:tentative="1">
      <w:start w:val="1"/>
      <w:numFmt w:val="bullet"/>
      <w:lvlText w:val=""/>
      <w:lvlJc w:val="left"/>
      <w:pPr>
        <w:tabs>
          <w:tab w:val="num" w:pos="7557"/>
        </w:tabs>
        <w:ind w:left="7557" w:hanging="360"/>
      </w:pPr>
      <w:rPr>
        <w:rFonts w:ascii="Wingdings" w:hAnsi="Wingdings" w:hint="default"/>
      </w:rPr>
    </w:lvl>
  </w:abstractNum>
  <w:abstractNum w:abstractNumId="22" w15:restartNumberingAfterBreak="0">
    <w:nsid w:val="7C866FC0"/>
    <w:multiLevelType w:val="hybridMultilevel"/>
    <w:tmpl w:val="57EA2900"/>
    <w:lvl w:ilvl="0" w:tplc="ED129378">
      <w:start w:val="1"/>
      <w:numFmt w:val="decimal"/>
      <w:pStyle w:val="ATSNumber2"/>
      <w:lvlText w:val="%1."/>
      <w:lvlJc w:val="left"/>
      <w:pPr>
        <w:tabs>
          <w:tab w:val="num" w:pos="720"/>
        </w:tabs>
        <w:ind w:left="720" w:hanging="360"/>
      </w:pPr>
      <w:rPr>
        <w:rFonts w:hint="default"/>
      </w:rPr>
    </w:lvl>
    <w:lvl w:ilvl="1" w:tplc="0D20BFBE" w:tentative="1">
      <w:start w:val="1"/>
      <w:numFmt w:val="lowerLetter"/>
      <w:lvlText w:val="%2."/>
      <w:lvlJc w:val="left"/>
      <w:pPr>
        <w:tabs>
          <w:tab w:val="num" w:pos="1440"/>
        </w:tabs>
        <w:ind w:left="1440" w:hanging="360"/>
      </w:pPr>
    </w:lvl>
    <w:lvl w:ilvl="2" w:tplc="5E369542" w:tentative="1">
      <w:start w:val="1"/>
      <w:numFmt w:val="lowerRoman"/>
      <w:lvlText w:val="%3."/>
      <w:lvlJc w:val="right"/>
      <w:pPr>
        <w:tabs>
          <w:tab w:val="num" w:pos="2160"/>
        </w:tabs>
        <w:ind w:left="2160" w:hanging="180"/>
      </w:pPr>
    </w:lvl>
    <w:lvl w:ilvl="3" w:tplc="9286BA42" w:tentative="1">
      <w:start w:val="1"/>
      <w:numFmt w:val="decimal"/>
      <w:lvlText w:val="%4."/>
      <w:lvlJc w:val="left"/>
      <w:pPr>
        <w:tabs>
          <w:tab w:val="num" w:pos="2880"/>
        </w:tabs>
        <w:ind w:left="2880" w:hanging="360"/>
      </w:pPr>
    </w:lvl>
    <w:lvl w:ilvl="4" w:tplc="E6B8C75E" w:tentative="1">
      <w:start w:val="1"/>
      <w:numFmt w:val="lowerLetter"/>
      <w:lvlText w:val="%5."/>
      <w:lvlJc w:val="left"/>
      <w:pPr>
        <w:tabs>
          <w:tab w:val="num" w:pos="3600"/>
        </w:tabs>
        <w:ind w:left="3600" w:hanging="360"/>
      </w:pPr>
    </w:lvl>
    <w:lvl w:ilvl="5" w:tplc="E4F41AA4" w:tentative="1">
      <w:start w:val="1"/>
      <w:numFmt w:val="lowerRoman"/>
      <w:lvlText w:val="%6."/>
      <w:lvlJc w:val="right"/>
      <w:pPr>
        <w:tabs>
          <w:tab w:val="num" w:pos="4320"/>
        </w:tabs>
        <w:ind w:left="4320" w:hanging="180"/>
      </w:pPr>
    </w:lvl>
    <w:lvl w:ilvl="6" w:tplc="8756858C" w:tentative="1">
      <w:start w:val="1"/>
      <w:numFmt w:val="decimal"/>
      <w:lvlText w:val="%7."/>
      <w:lvlJc w:val="left"/>
      <w:pPr>
        <w:tabs>
          <w:tab w:val="num" w:pos="5040"/>
        </w:tabs>
        <w:ind w:left="5040" w:hanging="360"/>
      </w:pPr>
    </w:lvl>
    <w:lvl w:ilvl="7" w:tplc="EC66AEF8" w:tentative="1">
      <w:start w:val="1"/>
      <w:numFmt w:val="lowerLetter"/>
      <w:lvlText w:val="%8."/>
      <w:lvlJc w:val="left"/>
      <w:pPr>
        <w:tabs>
          <w:tab w:val="num" w:pos="5760"/>
        </w:tabs>
        <w:ind w:left="5760" w:hanging="360"/>
      </w:pPr>
    </w:lvl>
    <w:lvl w:ilvl="8" w:tplc="F9B891E6" w:tentative="1">
      <w:start w:val="1"/>
      <w:numFmt w:val="lowerRoman"/>
      <w:lvlText w:val="%9."/>
      <w:lvlJc w:val="right"/>
      <w:pPr>
        <w:tabs>
          <w:tab w:val="num" w:pos="6480"/>
        </w:tabs>
        <w:ind w:left="6480" w:hanging="180"/>
      </w:pPr>
    </w:lvl>
  </w:abstractNum>
  <w:num w:numId="1" w16cid:durableId="805321375">
    <w:abstractNumId w:val="9"/>
  </w:num>
  <w:num w:numId="2" w16cid:durableId="2125155613">
    <w:abstractNumId w:val="7"/>
  </w:num>
  <w:num w:numId="3" w16cid:durableId="1629817469">
    <w:abstractNumId w:val="6"/>
  </w:num>
  <w:num w:numId="4" w16cid:durableId="1090152972">
    <w:abstractNumId w:val="5"/>
  </w:num>
  <w:num w:numId="5" w16cid:durableId="1844708907">
    <w:abstractNumId w:val="4"/>
  </w:num>
  <w:num w:numId="6" w16cid:durableId="946541681">
    <w:abstractNumId w:val="8"/>
  </w:num>
  <w:num w:numId="7" w16cid:durableId="1730810621">
    <w:abstractNumId w:val="3"/>
  </w:num>
  <w:num w:numId="8" w16cid:durableId="483278576">
    <w:abstractNumId w:val="2"/>
  </w:num>
  <w:num w:numId="9" w16cid:durableId="927927961">
    <w:abstractNumId w:val="1"/>
  </w:num>
  <w:num w:numId="10" w16cid:durableId="118955708">
    <w:abstractNumId w:val="0"/>
  </w:num>
  <w:num w:numId="11" w16cid:durableId="919826697">
    <w:abstractNumId w:val="14"/>
  </w:num>
  <w:num w:numId="12" w16cid:durableId="1278679280">
    <w:abstractNumId w:val="21"/>
  </w:num>
  <w:num w:numId="13" w16cid:durableId="540245114">
    <w:abstractNumId w:val="20"/>
  </w:num>
  <w:num w:numId="14" w16cid:durableId="1267620834">
    <w:abstractNumId w:val="15"/>
  </w:num>
  <w:num w:numId="15" w16cid:durableId="977564043">
    <w:abstractNumId w:val="18"/>
  </w:num>
  <w:num w:numId="16" w16cid:durableId="697392313">
    <w:abstractNumId w:val="12"/>
  </w:num>
  <w:num w:numId="17" w16cid:durableId="1346976427">
    <w:abstractNumId w:val="14"/>
  </w:num>
  <w:num w:numId="18" w16cid:durableId="1217548734">
    <w:abstractNumId w:val="21"/>
  </w:num>
  <w:num w:numId="19" w16cid:durableId="1194461116">
    <w:abstractNumId w:val="20"/>
  </w:num>
  <w:num w:numId="20" w16cid:durableId="372460201">
    <w:abstractNumId w:val="22"/>
  </w:num>
  <w:num w:numId="21" w16cid:durableId="1459300368">
    <w:abstractNumId w:val="13"/>
  </w:num>
  <w:num w:numId="22" w16cid:durableId="850141449">
    <w:abstractNumId w:val="16"/>
  </w:num>
  <w:num w:numId="23" w16cid:durableId="440800442">
    <w:abstractNumId w:val="11"/>
  </w:num>
  <w:num w:numId="24" w16cid:durableId="1254584848">
    <w:abstractNumId w:val="17"/>
  </w:num>
  <w:num w:numId="25" w16cid:durableId="291064053">
    <w:abstractNumId w:val="10"/>
  </w:num>
  <w:num w:numId="26" w16cid:durableId="6672456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00"/>
    <w:rsid w:val="009F018D"/>
    <w:rsid w:val="00DB26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95F78"/>
  <w15:chartTrackingRefBased/>
  <w15:docId w15:val="{FCEA05D4-6669-46F2-B8A8-F5565AD9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aliases w:val="CEP Bullet List"/>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9F018D"/>
    <w:rPr>
      <w:sz w:val="22"/>
      <w:szCs w:val="24"/>
      <w:lang w:val="en-GB" w:eastAsia="en-GB"/>
    </w:rPr>
  </w:style>
  <w:style w:type="paragraph" w:customStyle="1" w:styleId="Default">
    <w:name w:val="Default"/>
    <w:rsid w:val="009F018D"/>
    <w:pPr>
      <w:autoSpaceDE w:val="0"/>
      <w:autoSpaceDN w:val="0"/>
      <w:adjustRightInd w:val="0"/>
    </w:pPr>
    <w:rPr>
      <w:color w:val="000000"/>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ccamlr.org/en/sc-camlr-39/bg/22" TargetMode="External"/><Relationship Id="rId18" Type="http://schemas.openxmlformats.org/officeDocument/2006/relationships/hyperlink" Target="https://documents.ats.aq/ATCM40/ip/ATCM40_ip112_e.doc" TargetMode="External"/><Relationship Id="rId26" Type="http://schemas.openxmlformats.org/officeDocument/2006/relationships/hyperlink" Target="https://documents.ats.aq/ATCM42/ip/ATCM42_ip136_e.doc" TargetMode="External"/><Relationship Id="rId39" Type="http://schemas.openxmlformats.org/officeDocument/2006/relationships/hyperlink" Target="https://environments.aq/publications/sampling-the-southern-ocean-technology-for-observing-the-marine-system/" TargetMode="External"/><Relationship Id="rId21" Type="http://schemas.openxmlformats.org/officeDocument/2006/relationships/hyperlink" Target="https://documents.ats.aq/ATCM41/ip/ATCM41_ip047_e.doc" TargetMode="External"/><Relationship Id="rId34" Type="http://schemas.openxmlformats.org/officeDocument/2006/relationships/hyperlink" Target="https://documents.ats.aq/ATCM42/wp/ATCM42_wp036_e.doc" TargetMode="External"/><Relationship Id="rId42" Type="http://schemas.openxmlformats.org/officeDocument/2006/relationships/hyperlink" Target="https://environments.aq/publications/antarctic-marine-biodiversity/" TargetMode="External"/><Relationship Id="rId47" Type="http://schemas.openxmlformats.org/officeDocument/2006/relationships/hyperlink" Target="https://documents.ats.aq/ATCM43/wp/ATCM43_wp017_e.docx" TargetMode="External"/><Relationship Id="rId50" Type="http://schemas.openxmlformats.org/officeDocument/2006/relationships/hyperlink" Target="https://documents.ats.aq/ATCM39/att/atcm39_att072_e.doc" TargetMode="External"/><Relationship Id="rId55" Type="http://schemas.openxmlformats.org/officeDocument/2006/relationships/hyperlink" Target="https://doi.org/10.1594/PANGAEA.89959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uments.ats.aq/ATCM40/ip/ATCM40_ip069_e.doc" TargetMode="External"/><Relationship Id="rId29" Type="http://schemas.openxmlformats.org/officeDocument/2006/relationships/hyperlink" Target="https://documents.ats.aq/ATCM43/ip/ATCM43_ip022_rev1_e.docx" TargetMode="External"/><Relationship Id="rId11" Type="http://schemas.openxmlformats.org/officeDocument/2006/relationships/header" Target="header2.xml"/><Relationship Id="rId24" Type="http://schemas.openxmlformats.org/officeDocument/2006/relationships/hyperlink" Target="https://documents.ats.aq/ATCM42/ip/ATCM42_ip136_e.doc" TargetMode="External"/><Relationship Id="rId32" Type="http://schemas.openxmlformats.org/officeDocument/2006/relationships/hyperlink" Target="https://documents.ats.aq/ATCM39/att/atcm39_att072_e.doc" TargetMode="External"/><Relationship Id="rId37" Type="http://schemas.openxmlformats.org/officeDocument/2006/relationships/hyperlink" Target="https://documents.ats.aq/ATCM43/att/ATCM43_att055_e.docx" TargetMode="External"/><Relationship Id="rId40" Type="http://schemas.openxmlformats.org/officeDocument/2006/relationships/hyperlink" Target="https://environments.aq/publications/vulnerability-of-southern-ocean-biota-to-climate-change/" TargetMode="External"/><Relationship Id="rId45" Type="http://schemas.openxmlformats.org/officeDocument/2006/relationships/hyperlink" Target="https://documents.ats.aq/ATCM40/ip/ATCM40_ip080_rev1_e.doc" TargetMode="External"/><Relationship Id="rId53" Type="http://schemas.openxmlformats.org/officeDocument/2006/relationships/hyperlink" Target="https://doi.org/10.1594/PANGAEA.899667" TargetMode="External"/><Relationship Id="rId58" Type="http://schemas.openxmlformats.org/officeDocument/2006/relationships/hyperlink" Target="https://documents.ats.aq/atcm43/ww/atcm43_ww003_e.pdf" TargetMode="External"/><Relationship Id="rId5" Type="http://schemas.openxmlformats.org/officeDocument/2006/relationships/webSettings" Target="webSettings.xml"/><Relationship Id="rId19" Type="http://schemas.openxmlformats.org/officeDocument/2006/relationships/hyperlink" Target="https://documents.ats.aq/ATCM40/ip/ATCM40_ip118_e.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uments.ats.aq/ATCM40/ip/ATCM40_ip052_e.doc" TargetMode="External"/><Relationship Id="rId22" Type="http://schemas.openxmlformats.org/officeDocument/2006/relationships/hyperlink" Target="https://documents.ats.aq/ATCM42/ip/ATCM42_ip075_e.doc" TargetMode="External"/><Relationship Id="rId27" Type="http://schemas.openxmlformats.org/officeDocument/2006/relationships/hyperlink" Target="https://documents.ats.aq/ATCM43/wp/ATCM43_wp017_e.docx" TargetMode="External"/><Relationship Id="rId30" Type="http://schemas.openxmlformats.org/officeDocument/2006/relationships/hyperlink" Target="https://documents.ats.aq/ATCM43/ip/ATCM43_ip093_e.docx" TargetMode="External"/><Relationship Id="rId35" Type="http://schemas.openxmlformats.org/officeDocument/2006/relationships/hyperlink" Target="https://www.ccamlr.org/en/document/publications/rules-access-and-use-ccamlr-data" TargetMode="External"/><Relationship Id="rId43" Type="http://schemas.openxmlformats.org/officeDocument/2006/relationships/hyperlink" Target="https://environments.aq/publications/ten-scientific-messages-on-risks-and-opportunities-for-life-in-the-antarctic/" TargetMode="External"/><Relationship Id="rId48" Type="http://schemas.openxmlformats.org/officeDocument/2006/relationships/hyperlink" Target="https://documents.ats.aq/ATCM43/wp/ATCM43_wp036_e.docx" TargetMode="External"/><Relationship Id="rId56" Type="http://schemas.openxmlformats.org/officeDocument/2006/relationships/hyperlink" Target="https://doi.org/10.1594/PANGAEA.899520" TargetMode="External"/><Relationship Id="rId8" Type="http://schemas.openxmlformats.org/officeDocument/2006/relationships/header" Target="header1.xml"/><Relationship Id="rId51" Type="http://schemas.openxmlformats.org/officeDocument/2006/relationships/hyperlink" Target="https://cmir.ccamlr.org/"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documents.ats.aq/ATCM40/ip/ATCM40_ip080_rev1_e.doc" TargetMode="External"/><Relationship Id="rId25" Type="http://schemas.openxmlformats.org/officeDocument/2006/relationships/hyperlink" Target="https://documents.ats.aq/ATCM42/ip/ATCM42_ip135_e.doc" TargetMode="External"/><Relationship Id="rId33" Type="http://schemas.openxmlformats.org/officeDocument/2006/relationships/hyperlink" Target="https://documents.ats.aq/ATCM43/wp/ATCM43_wp014_e.docx" TargetMode="External"/><Relationship Id="rId38" Type="http://schemas.openxmlformats.org/officeDocument/2006/relationships/hyperlink" Target="https://environments.aq/publications/climate-change-as-an-emerging-threat-to-emperor-penguins/" TargetMode="External"/><Relationship Id="rId46" Type="http://schemas.openxmlformats.org/officeDocument/2006/relationships/hyperlink" Target="https://documents.ats.aq/ATCM42/ip/ATCM42_ip136_e.doc" TargetMode="External"/><Relationship Id="rId59" Type="http://schemas.openxmlformats.org/officeDocument/2006/relationships/fontTable" Target="fontTable.xml"/><Relationship Id="rId20" Type="http://schemas.openxmlformats.org/officeDocument/2006/relationships/hyperlink" Target="https://documents.ats.aq/ATCM41/ip/ATCM41_ip033_e.doc" TargetMode="External"/><Relationship Id="rId41" Type="http://schemas.openxmlformats.org/officeDocument/2006/relationships/hyperlink" Target="https://environments.aq/publications/changes-in-penguin-distribution-over-the-antarctic-peninsula-and-scotia-arc/" TargetMode="External"/><Relationship Id="rId54" Type="http://schemas.openxmlformats.org/officeDocument/2006/relationships/hyperlink" Target="https://doi.org/10.1594/PANGAEA.89964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uments.ats.aq/ATCM40/ip/ATCM40_ip068_e.doc" TargetMode="External"/><Relationship Id="rId23" Type="http://schemas.openxmlformats.org/officeDocument/2006/relationships/hyperlink" Target="https://documents.ats.aq/ATCM42/ip/ATCM42_ip092_e.doc" TargetMode="External"/><Relationship Id="rId28" Type="http://schemas.openxmlformats.org/officeDocument/2006/relationships/hyperlink" Target="https://documents.ats.aq/ATCM43/wp/ATCM43_wp037_e.docx" TargetMode="External"/><Relationship Id="rId36" Type="http://schemas.openxmlformats.org/officeDocument/2006/relationships/hyperlink" Target="https://documents.ats.aq/ATCM43/wp/ATCM43_wp014_e.docx" TargetMode="External"/><Relationship Id="rId49" Type="http://schemas.openxmlformats.org/officeDocument/2006/relationships/hyperlink" Target="https://documents.ats.aq/atcm43/ww/atcm43_ww003_e.pdf" TargetMode="External"/><Relationship Id="rId57" Type="http://schemas.openxmlformats.org/officeDocument/2006/relationships/hyperlink" Target="https://doi.org/10.1594/PANGAEA.899619" TargetMode="External"/><Relationship Id="rId10" Type="http://schemas.openxmlformats.org/officeDocument/2006/relationships/footer" Target="footer2.xml"/><Relationship Id="rId31" Type="http://schemas.openxmlformats.org/officeDocument/2006/relationships/hyperlink" Target="https://documents.ats.aq/ATCM43/ip/ATCM43_ip095_e.docx" TargetMode="External"/><Relationship Id="rId44" Type="http://schemas.openxmlformats.org/officeDocument/2006/relationships/hyperlink" Target="https://documents.ats.aq/ATCM39/ip/ATCM39_ip035_e.doc" TargetMode="External"/><Relationship Id="rId52" Type="http://schemas.openxmlformats.org/officeDocument/2006/relationships/hyperlink" Target="https://doi.org/10.1594/PANGAEA.899595" TargetMode="Externa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4463</Words>
  <Characters>28963</Characters>
  <Application>Microsoft Office Word</Application>
  <DocSecurity>0</DocSecurity>
  <Lines>241</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2022-04-07T10:20:00Z</dcterms:modified>
</cp:coreProperties>
</file>