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D0CB3" w14:textId="77777777" w:rsidR="00C26F2D" w:rsidRPr="00BF077B" w:rsidRDefault="00A51C50" w:rsidP="00BF077B">
      <w:pPr>
        <w:pStyle w:val="ATSNormal"/>
        <w:rPr>
          <w:rStyle w:val="Ttulodellibro"/>
        </w:rPr>
      </w:pPr>
    </w:p>
    <w:p w14:paraId="157CF011" w14:textId="77777777" w:rsidR="002F0A13" w:rsidRDefault="00A51C50" w:rsidP="004B4A60">
      <w:pPr>
        <w:rPr>
          <w:b/>
          <w:u w:val="single"/>
          <w:lang w:val="es-ES_tradnl"/>
        </w:rPr>
      </w:pPr>
    </w:p>
    <w:p w14:paraId="75128920" w14:textId="77777777" w:rsidR="002F0A13" w:rsidRDefault="00A51C50" w:rsidP="004B4A60">
      <w:pPr>
        <w:rPr>
          <w:b/>
          <w:u w:val="single"/>
          <w:lang w:val="es-ES_tradnl"/>
        </w:rPr>
      </w:pPr>
    </w:p>
    <w:p w14:paraId="63237F5E" w14:textId="77777777" w:rsidR="002F0A13" w:rsidRDefault="00A51C50" w:rsidP="004B4A60">
      <w:pPr>
        <w:rPr>
          <w:b/>
          <w:u w:val="single"/>
          <w:lang w:val="es-ES_tradnl"/>
        </w:rPr>
      </w:pPr>
    </w:p>
    <w:p w14:paraId="63DA24F8" w14:textId="77777777" w:rsidR="002F0A13" w:rsidRDefault="00A51C50" w:rsidP="004B4A60">
      <w:pPr>
        <w:rPr>
          <w:b/>
          <w:u w:val="single"/>
          <w:lang w:val="es-ES_tradnl"/>
        </w:rPr>
      </w:pPr>
    </w:p>
    <w:p w14:paraId="42C9268B" w14:textId="77777777" w:rsidR="00C26F2D" w:rsidRDefault="00A51C50" w:rsidP="004B4A60">
      <w:pPr>
        <w:rPr>
          <w:b/>
          <w:u w:val="single"/>
          <w:lang w:val="es-ES_tradnl"/>
        </w:rPr>
      </w:pPr>
    </w:p>
    <w:p w14:paraId="39D88447" w14:textId="77777777" w:rsidR="004B4A60" w:rsidRPr="0057246E" w:rsidRDefault="00A51C50" w:rsidP="001B789F">
      <w:pPr>
        <w:pStyle w:val="ATSTitle"/>
      </w:pPr>
      <w:bookmarkStart w:id="0" w:name="name"/>
      <w:r>
        <w:t>Communication of CEP science needs to researchers and national science funding agencies</w:t>
      </w:r>
      <w:bookmarkEnd w:id="0"/>
    </w:p>
    <w:p w14:paraId="42577335" w14:textId="77777777" w:rsidR="004B4A60" w:rsidRPr="0057246E" w:rsidRDefault="00A51C50" w:rsidP="00F75424">
      <w:pPr>
        <w:jc w:val="center"/>
      </w:pPr>
    </w:p>
    <w:p w14:paraId="2FEB82CF" w14:textId="77777777" w:rsidR="004B4A60" w:rsidRPr="002F0A13" w:rsidRDefault="00A51C50" w:rsidP="002F0A13"/>
    <w:p w14:paraId="79060EC5" w14:textId="77777777" w:rsidR="004B4A60" w:rsidRDefault="00A51C50" w:rsidP="00F75424">
      <w:pPr>
        <w:jc w:val="center"/>
      </w:pPr>
      <w:bookmarkStart w:id="1" w:name="memo"/>
      <w:bookmarkEnd w:id="1"/>
    </w:p>
    <w:p w14:paraId="78719805" w14:textId="77777777" w:rsidR="0097629D" w:rsidRDefault="00A51C50" w:rsidP="00F75424">
      <w:pPr>
        <w:jc w:val="center"/>
      </w:pPr>
    </w:p>
    <w:p w14:paraId="38E1ECC8" w14:textId="77777777" w:rsidR="0097629D" w:rsidRDefault="00A51C50" w:rsidP="00F75424">
      <w:pPr>
        <w:jc w:val="center"/>
      </w:pPr>
    </w:p>
    <w:p w14:paraId="4E457CF6" w14:textId="77777777" w:rsidR="0097629D" w:rsidRDefault="00A51C50" w:rsidP="00F75424">
      <w:pPr>
        <w:jc w:val="center"/>
      </w:pPr>
    </w:p>
    <w:p w14:paraId="5AD7CE12" w14:textId="77777777" w:rsidR="0097629D" w:rsidRPr="00C26F2D" w:rsidRDefault="00A51C50" w:rsidP="00F75424">
      <w:pPr>
        <w:jc w:val="center"/>
      </w:pPr>
    </w:p>
    <w:p w14:paraId="2409672D" w14:textId="77777777" w:rsidR="004B4A60" w:rsidRPr="0057246E" w:rsidRDefault="00A51C50" w:rsidP="004B4A60"/>
    <w:p w14:paraId="17C7ECA3" w14:textId="77777777" w:rsidR="00C26F2D" w:rsidRDefault="00A51C50"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45554A74" w14:textId="77777777" w:rsidR="00A51C50" w:rsidRDefault="00A51C50" w:rsidP="00A51C50">
      <w:pPr>
        <w:pStyle w:val="ATSHeading1"/>
      </w:pPr>
      <w:r w:rsidRPr="00704E98">
        <w:lastRenderedPageBreak/>
        <w:t xml:space="preserve">Communication of CEP science needs to </w:t>
      </w:r>
      <w:r>
        <w:t>researchers and n</w:t>
      </w:r>
      <w:r w:rsidRPr="00704E98">
        <w:t xml:space="preserve">ational </w:t>
      </w:r>
      <w:r>
        <w:t>science f</w:t>
      </w:r>
      <w:r w:rsidRPr="00704E98">
        <w:t xml:space="preserve">unding </w:t>
      </w:r>
      <w:r>
        <w:t>a</w:t>
      </w:r>
      <w:r w:rsidRPr="00704E98">
        <w:t>gencies</w:t>
      </w:r>
    </w:p>
    <w:p w14:paraId="0D5E30D2" w14:textId="77777777" w:rsidR="00A51C50" w:rsidRDefault="00A51C50" w:rsidP="00A51C50">
      <w:pPr>
        <w:jc w:val="center"/>
        <w:rPr>
          <w:b/>
          <w:bCs/>
        </w:rPr>
      </w:pPr>
      <w:r>
        <w:rPr>
          <w:b/>
          <w:bCs/>
        </w:rPr>
        <w:t>W</w:t>
      </w:r>
      <w:r w:rsidRPr="00704E98">
        <w:rPr>
          <w:b/>
          <w:bCs/>
        </w:rPr>
        <w:t>orking paper presented by Norway and the United Kingdom</w:t>
      </w:r>
    </w:p>
    <w:p w14:paraId="7183911F" w14:textId="77777777" w:rsidR="00A51C50" w:rsidRPr="00704E98" w:rsidRDefault="00A51C50" w:rsidP="00A51C50">
      <w:pPr>
        <w:spacing w:before="480" w:after="120"/>
        <w:rPr>
          <w:rFonts w:ascii="Arial" w:hAnsi="Arial" w:cs="Arial"/>
          <w:b/>
          <w:bCs/>
          <w:i/>
          <w:iCs/>
          <w:sz w:val="24"/>
        </w:rPr>
      </w:pPr>
      <w:r w:rsidRPr="00704E98">
        <w:rPr>
          <w:rFonts w:ascii="Arial" w:hAnsi="Arial" w:cs="Arial"/>
          <w:b/>
          <w:bCs/>
          <w:i/>
          <w:iCs/>
          <w:sz w:val="24"/>
        </w:rPr>
        <w:t>Summary</w:t>
      </w:r>
    </w:p>
    <w:p w14:paraId="5F63523D" w14:textId="77777777" w:rsidR="00A51C50" w:rsidRDefault="00A51C50" w:rsidP="00A51C50">
      <w:r w:rsidRPr="0076176B">
        <w:t>Norway and the United Kingdom</w:t>
      </w:r>
      <w:r>
        <w:t xml:space="preserve"> are concerned that science funding agencies are not sufficiently informed about prioritized science needs for the support of the management of the Antarctic environment.  The co-authors recommend</w:t>
      </w:r>
      <w:r w:rsidRPr="0076176B">
        <w:t xml:space="preserve"> </w:t>
      </w:r>
      <w:r>
        <w:t xml:space="preserve">that the Committee: </w:t>
      </w:r>
    </w:p>
    <w:p w14:paraId="0056D14B" w14:textId="77777777" w:rsidR="00A51C50" w:rsidRDefault="00A51C50" w:rsidP="00A51C50">
      <w:pPr>
        <w:pStyle w:val="Prrafodelista"/>
        <w:numPr>
          <w:ilvl w:val="0"/>
          <w:numId w:val="22"/>
        </w:numPr>
      </w:pPr>
      <w:r>
        <w:t xml:space="preserve">initiate a process to consider how the list of CEP science needs for Antarctic management, in the CEP Five-Year Work Plan, can be further developed </w:t>
      </w:r>
      <w:r w:rsidRPr="00A47762">
        <w:t>to clarify research needs in a way that can</w:t>
      </w:r>
      <w:r>
        <w:t xml:space="preserve"> be more easily understood and actioned by researchers and funding agencies; and </w:t>
      </w:r>
    </w:p>
    <w:p w14:paraId="1DA7E9A3" w14:textId="77777777" w:rsidR="00A51C50" w:rsidRDefault="00A51C50" w:rsidP="00A51C50">
      <w:pPr>
        <w:pStyle w:val="Prrafodelista"/>
        <w:numPr>
          <w:ilvl w:val="0"/>
          <w:numId w:val="22"/>
        </w:numPr>
      </w:pPr>
      <w:r>
        <w:t>advise</w:t>
      </w:r>
      <w:r w:rsidRPr="0076176B">
        <w:t xml:space="preserve"> the ATCM </w:t>
      </w:r>
      <w:r>
        <w:t xml:space="preserve">that Parties should ensure </w:t>
      </w:r>
      <w:r w:rsidRPr="0076176B">
        <w:t xml:space="preserve">that CEP science needs are </w:t>
      </w:r>
      <w:r>
        <w:t xml:space="preserve">regularly </w:t>
      </w:r>
      <w:r w:rsidRPr="0076176B">
        <w:t xml:space="preserve">communicated to national </w:t>
      </w:r>
      <w:r>
        <w:t>s</w:t>
      </w:r>
      <w:r w:rsidRPr="0076176B">
        <w:t xml:space="preserve">cience </w:t>
      </w:r>
      <w:r>
        <w:t>f</w:t>
      </w:r>
      <w:r w:rsidRPr="0076176B">
        <w:t xml:space="preserve">unding </w:t>
      </w:r>
      <w:r>
        <w:t>a</w:t>
      </w:r>
      <w:r w:rsidRPr="0076176B">
        <w:t>gencies</w:t>
      </w:r>
      <w:r>
        <w:t>,</w:t>
      </w:r>
      <w:r w:rsidRPr="0076176B">
        <w:t xml:space="preserve"> with the aim of supporting </w:t>
      </w:r>
      <w:r>
        <w:t xml:space="preserve">timely </w:t>
      </w:r>
      <w:r w:rsidRPr="0076176B">
        <w:t>delivery of policy-relevant science to inform CEP advice to the ATCM</w:t>
      </w:r>
    </w:p>
    <w:p w14:paraId="4DBADF51" w14:textId="77777777" w:rsidR="00A51C50" w:rsidRPr="00704E98" w:rsidRDefault="00A51C50" w:rsidP="00A51C50">
      <w:pPr>
        <w:spacing w:before="480" w:after="120"/>
        <w:rPr>
          <w:rFonts w:ascii="Arial" w:hAnsi="Arial" w:cs="Arial"/>
          <w:b/>
          <w:bCs/>
          <w:i/>
          <w:iCs/>
          <w:sz w:val="24"/>
        </w:rPr>
      </w:pPr>
      <w:r w:rsidRPr="00704E98">
        <w:rPr>
          <w:rFonts w:ascii="Arial" w:hAnsi="Arial" w:cs="Arial"/>
          <w:b/>
          <w:bCs/>
          <w:i/>
          <w:iCs/>
          <w:sz w:val="24"/>
        </w:rPr>
        <w:t>Background</w:t>
      </w:r>
    </w:p>
    <w:p w14:paraId="15160B22" w14:textId="77777777" w:rsidR="00A51C50" w:rsidRDefault="00A51C50" w:rsidP="00A51C50">
      <w:r w:rsidRPr="00704E98">
        <w:t>Since 1998, the Committee for Environmental Protection (CEP) has provided advice and formulated recommendations to the Parties in connection with the implementation of th</w:t>
      </w:r>
      <w:r>
        <w:t>e</w:t>
      </w:r>
      <w:r w:rsidRPr="00704E98">
        <w:t xml:space="preserve"> Protocol, including the operation of its Annexes, for consideration at Antarctic Treaty Consultative Meetings (ATCMs).  During that time, the Committee has </w:t>
      </w:r>
      <w:r>
        <w:t>looked to</w:t>
      </w:r>
      <w:r w:rsidRPr="00704E98">
        <w:t xml:space="preserve"> the best available science to inform its advice to the ATCM on environmental issues</w:t>
      </w:r>
      <w:r>
        <w:t xml:space="preserve">.  </w:t>
      </w:r>
      <w:r w:rsidRPr="00704E98">
        <w:t xml:space="preserve"> </w:t>
      </w:r>
    </w:p>
    <w:p w14:paraId="09B5CFA0" w14:textId="77777777" w:rsidR="00A51C50" w:rsidRDefault="00A51C50" w:rsidP="00A51C50"/>
    <w:p w14:paraId="1EEAF06A" w14:textId="77777777" w:rsidR="00A51C50" w:rsidRDefault="00A51C50" w:rsidP="00A51C50">
      <w:r w:rsidRPr="001465CB">
        <w:t>The CEP has regularly identified subject areas where it needs further scientific information</w:t>
      </w:r>
      <w:r>
        <w:t xml:space="preserve"> to support its work and discussions</w:t>
      </w:r>
      <w:r w:rsidRPr="001465CB">
        <w:t xml:space="preserve">.  </w:t>
      </w:r>
      <w:r>
        <w:t>Consolidating these science needs into one list, a</w:t>
      </w:r>
      <w:r w:rsidRPr="001465CB">
        <w:t xml:space="preserve">t CEP XX, the CEP Chair proposed </w:t>
      </w:r>
      <w:r>
        <w:t>the</w:t>
      </w:r>
      <w:r w:rsidRPr="001465CB">
        <w:t xml:space="preserve"> </w:t>
      </w:r>
      <w:r>
        <w:t>“</w:t>
      </w:r>
      <w:r w:rsidRPr="001465CB">
        <w:t>list of CEP science</w:t>
      </w:r>
      <w:r>
        <w:t xml:space="preserve"> knowledge and information</w:t>
      </w:r>
      <w:r w:rsidRPr="001465CB">
        <w:t xml:space="preserve"> needs</w:t>
      </w:r>
      <w:r>
        <w:t>”</w:t>
      </w:r>
      <w:r w:rsidRPr="001465CB">
        <w:t xml:space="preserve"> </w:t>
      </w:r>
      <w:r>
        <w:t xml:space="preserve">as a tool </w:t>
      </w:r>
      <w:r w:rsidRPr="001465CB">
        <w:t xml:space="preserve">to help with promoting and supporting science to better </w:t>
      </w:r>
      <w:r w:rsidRPr="00AE7845">
        <w:t xml:space="preserve">understand and address the environmental challenges facing Antarctica (ATCMXL WP34).  The list contained science knowledge and information needs identified in the CEP Final Reports, </w:t>
      </w:r>
      <w:r>
        <w:t xml:space="preserve">the CEP Five-Year Work Plan, </w:t>
      </w:r>
      <w:r w:rsidRPr="00AE7845">
        <w:t xml:space="preserve">the CEP Climate Change Response Work Programme and other CEP Manuals.  </w:t>
      </w:r>
    </w:p>
    <w:p w14:paraId="3615CA55" w14:textId="77777777" w:rsidR="00A51C50" w:rsidRDefault="00A51C50" w:rsidP="00A51C50"/>
    <w:p w14:paraId="7CFFDEB7" w14:textId="77777777" w:rsidR="00A51C50" w:rsidRDefault="00A51C50" w:rsidP="00A51C50">
      <w:r w:rsidRPr="00AE7845">
        <w:t>The</w:t>
      </w:r>
      <w:r w:rsidRPr="001465CB">
        <w:t xml:space="preserve"> Committee </w:t>
      </w:r>
      <w:r w:rsidRPr="001465CB">
        <w:rPr>
          <w:rStyle w:val="markedcontent"/>
        </w:rPr>
        <w:t>agreed that this was a useful initiative and would serve as a valuable tool</w:t>
      </w:r>
      <w:r w:rsidRPr="001465CB">
        <w:t xml:space="preserve"> </w:t>
      </w:r>
      <w:r w:rsidRPr="001465CB">
        <w:rPr>
          <w:rStyle w:val="markedcontent"/>
        </w:rPr>
        <w:t>both for CEP and ATCM discussions</w:t>
      </w:r>
      <w:r>
        <w:rPr>
          <w:rStyle w:val="markedcontent"/>
        </w:rPr>
        <w:t xml:space="preserve">.  The Committee also </w:t>
      </w:r>
      <w:r w:rsidRPr="001465CB">
        <w:rPr>
          <w:rStyle w:val="markedcontent"/>
        </w:rPr>
        <w:t>not</w:t>
      </w:r>
      <w:r>
        <w:rPr>
          <w:rStyle w:val="markedcontent"/>
        </w:rPr>
        <w:t>ed</w:t>
      </w:r>
      <w:r w:rsidRPr="001465CB">
        <w:rPr>
          <w:rStyle w:val="markedcontent"/>
        </w:rPr>
        <w:t xml:space="preserve"> that this item aligned with</w:t>
      </w:r>
      <w:r w:rsidRPr="001465CB">
        <w:t xml:space="preserve"> </w:t>
      </w:r>
      <w:r w:rsidRPr="001465CB">
        <w:rPr>
          <w:rStyle w:val="markedcontent"/>
        </w:rPr>
        <w:t>ATCM discussions on future Antarctic science challenges and priorities</w:t>
      </w:r>
      <w:r w:rsidRPr="001465CB">
        <w:t xml:space="preserve"> (CEP Final Report pg</w:t>
      </w:r>
      <w:r>
        <w:t>.</w:t>
      </w:r>
      <w:r w:rsidRPr="001465CB">
        <w:t xml:space="preserve"> 25, para. 38)</w:t>
      </w:r>
      <w:r>
        <w:t>.</w:t>
      </w:r>
      <w:r w:rsidRPr="001465CB">
        <w:t xml:space="preserve"> Most recently, CEP XXIII agreed </w:t>
      </w:r>
      <w:r>
        <w:t>that</w:t>
      </w:r>
      <w:r w:rsidRPr="001465CB">
        <w:t xml:space="preserve"> research requirements identified in the </w:t>
      </w:r>
      <w:r>
        <w:t xml:space="preserve">updated draft </w:t>
      </w:r>
      <w:r w:rsidRPr="001465CB">
        <w:t xml:space="preserve">CEP Climate Change Response Work Programme </w:t>
      </w:r>
      <w:r>
        <w:t>should be</w:t>
      </w:r>
      <w:r w:rsidRPr="001465CB">
        <w:t xml:space="preserve"> consolidated into </w:t>
      </w:r>
      <w:r>
        <w:t xml:space="preserve">the </w:t>
      </w:r>
      <w:r w:rsidRPr="001465CB">
        <w:t xml:space="preserve">existing </w:t>
      </w:r>
      <w:r>
        <w:t xml:space="preserve">list of </w:t>
      </w:r>
      <w:r w:rsidRPr="001465CB">
        <w:t xml:space="preserve">CEP science needs, </w:t>
      </w:r>
      <w:r>
        <w:t>as inter alia found in this</w:t>
      </w:r>
      <w:r w:rsidRPr="001465CB">
        <w:t xml:space="preserve"> </w:t>
      </w:r>
      <w:hyperlink r:id="rId11" w:history="1">
        <w:r w:rsidRPr="009A7939">
          <w:rPr>
            <w:rStyle w:val="Hipervnculo"/>
          </w:rPr>
          <w:t>document</w:t>
        </w:r>
      </w:hyperlink>
      <w:r w:rsidRPr="001465CB">
        <w:t xml:space="preserve"> (CEP XXIII Report, para. 35).</w:t>
      </w:r>
    </w:p>
    <w:p w14:paraId="7F100963" w14:textId="77777777" w:rsidR="00A51C50" w:rsidRDefault="00A51C50" w:rsidP="00A51C50"/>
    <w:p w14:paraId="2545255C" w14:textId="77777777" w:rsidR="00A51C50" w:rsidRDefault="00A51C50" w:rsidP="00A51C50">
      <w:r>
        <w:t xml:space="preserve">It should be recognized that the questions and </w:t>
      </w:r>
      <w:r w:rsidRPr="00496235">
        <w:t xml:space="preserve">issues </w:t>
      </w:r>
      <w:r>
        <w:t xml:space="preserve">contained </w:t>
      </w:r>
      <w:r w:rsidRPr="00496235">
        <w:t xml:space="preserve">in </w:t>
      </w:r>
      <w:r>
        <w:t>the list of CEP science, knowledge and information needs are, to a large degree, not framed in a manner that is easily translated into relevant scientific efforts.  Consequently, it may prove a challenge for scientists to identify the specific research that will help answer the science needs communicated by CEP</w:t>
      </w:r>
      <w:r w:rsidRPr="00496235">
        <w:t>.</w:t>
      </w:r>
      <w:r>
        <w:t xml:space="preserve"> </w:t>
      </w:r>
    </w:p>
    <w:p w14:paraId="68B700C7" w14:textId="77777777" w:rsidR="00A51C50" w:rsidRDefault="00A51C50" w:rsidP="00A51C50">
      <w:r>
        <w:t xml:space="preserve">Furthermore, the current </w:t>
      </w:r>
      <w:proofErr w:type="gramStart"/>
      <w:r>
        <w:t>manner in which</w:t>
      </w:r>
      <w:proofErr w:type="gramEnd"/>
      <w:r>
        <w:t xml:space="preserve"> CEP science needs are framed may also affect the ability of funding agencies to prioritize relevant research in funding schemes. </w:t>
      </w:r>
    </w:p>
    <w:p w14:paraId="4FA5C1A3" w14:textId="77777777" w:rsidR="00A51C50" w:rsidRPr="00022056" w:rsidRDefault="00A51C50" w:rsidP="00A51C50">
      <w:pPr>
        <w:spacing w:before="480" w:after="120"/>
        <w:rPr>
          <w:rFonts w:ascii="Arial" w:hAnsi="Arial" w:cs="Arial"/>
          <w:b/>
          <w:bCs/>
          <w:i/>
          <w:iCs/>
          <w:sz w:val="24"/>
        </w:rPr>
      </w:pPr>
      <w:r w:rsidRPr="00022056">
        <w:rPr>
          <w:rFonts w:ascii="Arial" w:hAnsi="Arial" w:cs="Arial"/>
          <w:b/>
          <w:bCs/>
          <w:i/>
          <w:iCs/>
          <w:sz w:val="24"/>
        </w:rPr>
        <w:t xml:space="preserve">Sources of </w:t>
      </w:r>
      <w:r>
        <w:rPr>
          <w:rFonts w:ascii="Arial" w:hAnsi="Arial" w:cs="Arial"/>
          <w:b/>
          <w:bCs/>
          <w:i/>
          <w:iCs/>
          <w:sz w:val="24"/>
        </w:rPr>
        <w:t xml:space="preserve">scientific </w:t>
      </w:r>
      <w:r w:rsidRPr="00022056">
        <w:rPr>
          <w:rFonts w:ascii="Arial" w:hAnsi="Arial" w:cs="Arial"/>
          <w:b/>
          <w:bCs/>
          <w:i/>
          <w:iCs/>
          <w:sz w:val="24"/>
        </w:rPr>
        <w:t>information</w:t>
      </w:r>
    </w:p>
    <w:p w14:paraId="250260E9" w14:textId="77777777" w:rsidR="00A51C50" w:rsidRDefault="00A51C50" w:rsidP="00A51C50">
      <w:r>
        <w:t>S</w:t>
      </w:r>
      <w:r w:rsidRPr="00704E98">
        <w:t xml:space="preserve">cientific </w:t>
      </w:r>
      <w:r>
        <w:t>information</w:t>
      </w:r>
      <w:r w:rsidRPr="00704E98">
        <w:t xml:space="preserve"> </w:t>
      </w:r>
      <w:r>
        <w:t>can and has been</w:t>
      </w:r>
      <w:r w:rsidRPr="00704E98">
        <w:t xml:space="preserve"> </w:t>
      </w:r>
      <w:r>
        <w:t>made available</w:t>
      </w:r>
      <w:r w:rsidRPr="00704E98">
        <w:t xml:space="preserve"> to the CEP </w:t>
      </w:r>
      <w:r>
        <w:t xml:space="preserve">from scientists </w:t>
      </w:r>
      <w:r w:rsidRPr="00704E98">
        <w:t xml:space="preserve">via individual </w:t>
      </w:r>
      <w:r>
        <w:t xml:space="preserve">Parties </w:t>
      </w:r>
      <w:r w:rsidRPr="00704E98">
        <w:t>or groups o</w:t>
      </w:r>
      <w:r>
        <w:t>f</w:t>
      </w:r>
      <w:r w:rsidRPr="00704E98">
        <w:t xml:space="preserve"> Parties</w:t>
      </w:r>
      <w:r>
        <w:t xml:space="preserve">.  </w:t>
      </w:r>
      <w:r w:rsidRPr="00704E98">
        <w:t xml:space="preserve"> </w:t>
      </w:r>
      <w:r>
        <w:t xml:space="preserve">Alternatively, </w:t>
      </w:r>
      <w:r w:rsidRPr="00704E98">
        <w:t xml:space="preserve">information </w:t>
      </w:r>
      <w:r>
        <w:t xml:space="preserve">can be made available via international </w:t>
      </w:r>
      <w:r>
        <w:lastRenderedPageBreak/>
        <w:t xml:space="preserve">science bodies, such as </w:t>
      </w:r>
      <w:r w:rsidRPr="00704E98">
        <w:t xml:space="preserve">the World Meteorological Organisation (WMO) </w:t>
      </w:r>
      <w:r>
        <w:t xml:space="preserve">and </w:t>
      </w:r>
      <w:r w:rsidRPr="00704E98">
        <w:t xml:space="preserve">the </w:t>
      </w:r>
      <w:r w:rsidRPr="00AF1DB4">
        <w:t xml:space="preserve">Scientific Committee on Antarctic Research (SCAR). </w:t>
      </w:r>
      <w:r>
        <w:t xml:space="preserve"> </w:t>
      </w:r>
      <w:r w:rsidRPr="00A906A0">
        <w:t>SCAR</w:t>
      </w:r>
      <w:r>
        <w:t xml:space="preserve">, whose membership includes scientists from </w:t>
      </w:r>
      <w:proofErr w:type="gramStart"/>
      <w:r>
        <w:t>all of</w:t>
      </w:r>
      <w:proofErr w:type="gramEnd"/>
      <w:r>
        <w:t xml:space="preserve"> the Consultative Parties and many non-Consultative Parties</w:t>
      </w:r>
      <w:r w:rsidRPr="00A906A0">
        <w:t xml:space="preserve">, has a role of providing independent and objective scientific advice to the Antarctic Treaty Consultative Meetings and other bodies.  </w:t>
      </w:r>
    </w:p>
    <w:p w14:paraId="674C8430" w14:textId="77777777" w:rsidR="00A51C50" w:rsidRDefault="00A51C50" w:rsidP="00A51C50"/>
    <w:p w14:paraId="7D781274" w14:textId="77777777" w:rsidR="00A51C50" w:rsidRDefault="00A51C50" w:rsidP="00A51C50">
      <w:r w:rsidRPr="00A906A0">
        <w:t xml:space="preserve">In recent years </w:t>
      </w:r>
      <w:r>
        <w:t>SCAR</w:t>
      </w:r>
      <w:r w:rsidRPr="00A906A0">
        <w:t xml:space="preserve"> has provided science summaries </w:t>
      </w:r>
      <w:r>
        <w:t xml:space="preserve">to the CEP </w:t>
      </w:r>
      <w:r w:rsidRPr="00A906A0">
        <w:t>on a diverse range of topics including designation of specially protected species status (ATCMXLIII WP37), the designation of protected area (ATCMXLII IP52), pollution (ATCMXLIII IP137), wildlife disturbance (ATCMXXXVIII WP 27; ATCMXL WP 20), non-native species (ATCMXXXV WP5), ocean acidification (ATCMXLIII WP36) and climate change (ATCMXLIII WP17).  SCAR also hosts the Antarctic Environments Portal (</w:t>
      </w:r>
      <w:hyperlink r:id="rId12" w:history="1">
        <w:r w:rsidRPr="00A906A0">
          <w:rPr>
            <w:rStyle w:val="Hipervnculo"/>
          </w:rPr>
          <w:t>www.environments.aq</w:t>
        </w:r>
      </w:hyperlink>
      <w:r w:rsidRPr="00A906A0">
        <w:t>) (ATCMXLIII WP19) which aims to link Antarctic science and Antarctic policy, by providing easy access to information</w:t>
      </w:r>
      <w:r w:rsidRPr="00AA32D6">
        <w:t xml:space="preserve"> on a range of scientific issues relevant to Antarctic environmental governance and management</w:t>
      </w:r>
      <w:r>
        <w:t xml:space="preserve">. </w:t>
      </w:r>
    </w:p>
    <w:p w14:paraId="0268F75D" w14:textId="77777777" w:rsidR="00A51C50" w:rsidRDefault="00A51C50" w:rsidP="00A51C50"/>
    <w:p w14:paraId="0FE64AC8" w14:textId="77777777" w:rsidR="00A51C50" w:rsidRPr="00640C18" w:rsidRDefault="00A51C50" w:rsidP="00A51C50">
      <w:pPr>
        <w:rPr>
          <w:b/>
          <w:bCs/>
        </w:rPr>
      </w:pPr>
      <w:r>
        <w:t xml:space="preserve">Further demonstrating SCAR’s commitment to the effective delivery of policy-relevant science, in 2021, SCAR established the Scientific Research Programme ‘Ant-ICON’ (Integrated Science to </w:t>
      </w:r>
      <w:r w:rsidRPr="008E7F9C">
        <w:t xml:space="preserve">Inform Antarctic and the Southern Ocean Conservation; </w:t>
      </w:r>
      <w:hyperlink r:id="rId13" w:history="1">
        <w:r w:rsidRPr="008E7F9C">
          <w:rPr>
            <w:rStyle w:val="Hipervnculo"/>
          </w:rPr>
          <w:t>https://www.scar.org/science/ant-icon/home/</w:t>
        </w:r>
      </w:hyperlink>
      <w:r w:rsidRPr="008E7F9C">
        <w:t>)</w:t>
      </w:r>
      <w:r w:rsidRPr="00640C18">
        <w:t xml:space="preserve"> which </w:t>
      </w:r>
      <w:r w:rsidRPr="00640C18">
        <w:rPr>
          <w:rStyle w:val="Textoennegrita"/>
          <w:bCs w:val="0"/>
        </w:rPr>
        <w:t>aims to answer fundamental science questions relating to the conservation and management of Antarctica and the Southern Ocean.  Importantly, it focusses on research to drive and inform international decision-making and policy change, which would be delivered to policymakers via the SCAR Standing Committee on the Antarctic Treaty System.</w:t>
      </w:r>
    </w:p>
    <w:p w14:paraId="10CFA3A4" w14:textId="77777777" w:rsidR="00A51C50" w:rsidRPr="00011A0A" w:rsidRDefault="00A51C50" w:rsidP="00A51C50">
      <w:pPr>
        <w:pStyle w:val="ATSNormal"/>
        <w:spacing w:before="480"/>
        <w:rPr>
          <w:rFonts w:ascii="Arial" w:hAnsi="Arial" w:cs="Arial"/>
          <w:b/>
          <w:bCs/>
          <w:i/>
          <w:iCs/>
          <w:sz w:val="24"/>
        </w:rPr>
      </w:pPr>
      <w:r w:rsidRPr="00011A0A">
        <w:rPr>
          <w:rFonts w:ascii="Arial" w:hAnsi="Arial" w:cs="Arial"/>
          <w:b/>
          <w:bCs/>
          <w:i/>
          <w:iCs/>
          <w:sz w:val="24"/>
        </w:rPr>
        <w:t>Recent developments</w:t>
      </w:r>
    </w:p>
    <w:p w14:paraId="08C591EA" w14:textId="77777777" w:rsidR="00A51C50" w:rsidRDefault="00A51C50" w:rsidP="00A51C50">
      <w:pPr>
        <w:pStyle w:val="ATSNormal"/>
      </w:pPr>
      <w:r>
        <w:t xml:space="preserve">In recent years the Parties have engaged in discussions concerning future Antarctic science challenges and factors influencing the setting of national science goals and objectives (see ATCM XLII WP32).  Participants in ATCM discussions reported that their national Antarctic science objective setting is informed by external research prioritisation and coordination schemes, broader national priorities, funding schemes, and areas of research excellence. </w:t>
      </w:r>
    </w:p>
    <w:p w14:paraId="1E7B6E7D" w14:textId="77777777" w:rsidR="00A51C50" w:rsidRPr="00C542BE" w:rsidRDefault="00A51C50" w:rsidP="00A51C50">
      <w:pPr>
        <w:pStyle w:val="ATSNormal"/>
      </w:pPr>
      <w:r>
        <w:t xml:space="preserve">Many participants referenced the importance of science priorities and research programmes facilitated through SCAR and highlighted the importance of the connection between SCAR and the Antarctic Treaty System. Other drivers of national objective setting included research priorities relevant to the forums of the Antarctic Treaty system including the CEP’s work to identify and promote the science needed to better understand and address the environmental challenges facing Antarctica. </w:t>
      </w:r>
    </w:p>
    <w:p w14:paraId="004A78E5" w14:textId="77777777" w:rsidR="00A51C50" w:rsidRDefault="00A51C50" w:rsidP="00A51C50">
      <w:r w:rsidRPr="00C542BE">
        <w:t xml:space="preserve">While policymakers have made efforts to better communicate their science needs to researchers, and the Antarctic science community has shown a strong desire to provide policy-relevant research and information, it </w:t>
      </w:r>
      <w:r>
        <w:t>may not</w:t>
      </w:r>
      <w:r w:rsidRPr="00C542BE">
        <w:t xml:space="preserve"> always the case that national funding agencies are </w:t>
      </w:r>
      <w:r>
        <w:t xml:space="preserve">aware of these science priorities or provide appropriate targeted funding.  </w:t>
      </w:r>
      <w:r w:rsidRPr="00C542BE">
        <w:t>In 2016, at the SCAR mini-symposium ‘</w:t>
      </w:r>
      <w:r w:rsidRPr="00C542BE">
        <w:rPr>
          <w:rStyle w:val="nfasis"/>
        </w:rPr>
        <w:t>Linking Antarctic Science with Environmental Protection: celebrating the 25th Anniversary of the Madrid Protocol</w:t>
      </w:r>
      <w:r w:rsidRPr="00C542BE">
        <w:t xml:space="preserve">’, researchers and environmental managers observed that purposeful consideration of funding opportunities for policy-relevant science, would greatly enhance international policy development and protection of the Antarctic environment (see </w:t>
      </w:r>
      <w:hyperlink r:id="rId14" w:history="1">
        <w:r w:rsidRPr="00C542BE">
          <w:rPr>
            <w:rStyle w:val="Hipervnculo"/>
          </w:rPr>
          <w:t>Hughes et al., 2018</w:t>
        </w:r>
      </w:hyperlink>
      <w:r w:rsidRPr="00C542BE">
        <w:t xml:space="preserve">).  </w:t>
      </w:r>
    </w:p>
    <w:p w14:paraId="440CA79B" w14:textId="77777777" w:rsidR="00A51C50" w:rsidRDefault="00A51C50" w:rsidP="00A51C50"/>
    <w:p w14:paraId="3486CAEA" w14:textId="77777777" w:rsidR="00A51C50" w:rsidRDefault="00A51C50" w:rsidP="00A51C50">
      <w:r>
        <w:t>Direct communication of the science needs relevant to decision-making by national governments to both their science organisations and national funding bodies would help facilitate the delivery of targeted science in a timely manner (see Figure 1).</w:t>
      </w:r>
    </w:p>
    <w:p w14:paraId="3223408F" w14:textId="77777777" w:rsidR="00A51C50" w:rsidRDefault="00A51C50" w:rsidP="00A51C50"/>
    <w:p w14:paraId="0D7087B7" w14:textId="1EF279E9" w:rsidR="00A51C50" w:rsidRDefault="00A51C50" w:rsidP="00A51C50">
      <w:pPr>
        <w:jc w:val="center"/>
      </w:pPr>
      <w:r w:rsidRPr="00D030C4">
        <w:rPr>
          <w:noProof/>
          <w:lang w:eastAsia="en-GB"/>
        </w:rPr>
        <w:lastRenderedPageBreak/>
        <w:drawing>
          <wp:inline distT="0" distB="0" distL="0" distR="0" wp14:anchorId="57C540D7" wp14:editId="6F33528A">
            <wp:extent cx="4772025" cy="3914775"/>
            <wp:effectExtent l="0" t="0" r="9525" b="9525"/>
            <wp:docPr id="2" name="Imagen 2" descr="Diagram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2025" cy="3914775"/>
                    </a:xfrm>
                    <a:prstGeom prst="rect">
                      <a:avLst/>
                    </a:prstGeom>
                    <a:noFill/>
                    <a:ln>
                      <a:noFill/>
                    </a:ln>
                  </pic:spPr>
                </pic:pic>
              </a:graphicData>
            </a:graphic>
          </wp:inline>
        </w:drawing>
      </w:r>
    </w:p>
    <w:p w14:paraId="3113422F" w14:textId="77777777" w:rsidR="00A51C50" w:rsidRDefault="00A51C50" w:rsidP="00A51C50"/>
    <w:p w14:paraId="4ADEE296" w14:textId="77777777" w:rsidR="00A51C50" w:rsidRDefault="00A51C50" w:rsidP="00A51C50">
      <w:r>
        <w:t>Figure 1.  For delivery of policy-relevant scientific information, it is important to communicate the science needs not only to the science community (Scenario A), but also to national science funding agencies (Scenario B).</w:t>
      </w:r>
    </w:p>
    <w:p w14:paraId="63A76257" w14:textId="77777777" w:rsidR="00A51C50" w:rsidRPr="00704E98" w:rsidRDefault="00A51C50" w:rsidP="00A51C50">
      <w:pPr>
        <w:spacing w:before="480" w:after="120"/>
        <w:rPr>
          <w:rFonts w:ascii="Arial" w:hAnsi="Arial" w:cs="Arial"/>
          <w:b/>
          <w:bCs/>
          <w:i/>
          <w:iCs/>
          <w:sz w:val="24"/>
        </w:rPr>
      </w:pPr>
      <w:r w:rsidRPr="00704E98">
        <w:rPr>
          <w:rFonts w:ascii="Arial" w:hAnsi="Arial" w:cs="Arial"/>
          <w:b/>
          <w:bCs/>
          <w:i/>
          <w:iCs/>
          <w:sz w:val="24"/>
        </w:rPr>
        <w:t>Recommendation</w:t>
      </w:r>
    </w:p>
    <w:p w14:paraId="2774993F" w14:textId="77777777" w:rsidR="00A51C50" w:rsidRPr="0076176B" w:rsidRDefault="00A51C50" w:rsidP="00A51C50">
      <w:r w:rsidRPr="0076176B">
        <w:t>Norway and the United Kingdom recommend that the Committee:</w:t>
      </w:r>
    </w:p>
    <w:p w14:paraId="3F27C01B" w14:textId="77777777" w:rsidR="00A51C50" w:rsidRDefault="00A51C50" w:rsidP="00A51C50">
      <w:pPr>
        <w:pStyle w:val="Prrafodelista"/>
        <w:numPr>
          <w:ilvl w:val="0"/>
          <w:numId w:val="21"/>
        </w:numPr>
      </w:pPr>
      <w:r>
        <w:t xml:space="preserve">initiate a process to consider how the list of CEP science needs for Antarctic management, in the CEP Five-Year Work Plan, can be further developed </w:t>
      </w:r>
      <w:r w:rsidRPr="00A47762">
        <w:t>to clarify research needs in a way that can</w:t>
      </w:r>
      <w:r>
        <w:t xml:space="preserve"> be more easily understood and actioned by researchers and funding agencies; and</w:t>
      </w:r>
    </w:p>
    <w:p w14:paraId="7301AAD1" w14:textId="77777777" w:rsidR="00A51C50" w:rsidRPr="005D1B0D" w:rsidRDefault="00A51C50" w:rsidP="00A51C50">
      <w:pPr>
        <w:pStyle w:val="Prrafodelista"/>
        <w:numPr>
          <w:ilvl w:val="0"/>
          <w:numId w:val="21"/>
        </w:numPr>
      </w:pPr>
      <w:r>
        <w:t>advise</w:t>
      </w:r>
      <w:r w:rsidRPr="004A5902">
        <w:t xml:space="preserve"> the ATCM that </w:t>
      </w:r>
      <w:r>
        <w:t xml:space="preserve">Parties should ensure that </w:t>
      </w:r>
      <w:r w:rsidRPr="004A5902">
        <w:t>CEP science needs are regularly communicated to national science funding agencies with the aim of supporting timely delivery of policy-relevant science to inform CEP advice to the ATCM</w:t>
      </w:r>
      <w:r>
        <w:t>.</w:t>
      </w:r>
    </w:p>
    <w:p w14:paraId="2202FA0E" w14:textId="77777777" w:rsidR="00A51C50" w:rsidRPr="00450EC0" w:rsidRDefault="00A51C50" w:rsidP="00A51C50">
      <w:pPr>
        <w:pStyle w:val="Prrafodelista"/>
      </w:pPr>
    </w:p>
    <w:p w14:paraId="2FA42A9D" w14:textId="77777777" w:rsidR="00A51C50" w:rsidRDefault="00A51C50" w:rsidP="00952E9F"/>
    <w:sectPr w:rsidR="00A51C50" w:rsidSect="00283F0F">
      <w:headerReference w:type="default" r:id="rId16"/>
      <w:footerReference w:type="default" r:id="rId17"/>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C6971" w14:textId="77777777" w:rsidR="00000000" w:rsidRDefault="00A51C50">
      <w:r>
        <w:separator/>
      </w:r>
    </w:p>
  </w:endnote>
  <w:endnote w:type="continuationSeparator" w:id="0">
    <w:p w14:paraId="6BFB1477" w14:textId="77777777" w:rsidR="00000000" w:rsidRDefault="00A51C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6FBA" w14:textId="77777777" w:rsidR="00FA0B9F" w:rsidRDefault="00A51C50" w:rsidP="00CF5C82">
    <w:pPr>
      <w:framePr w:wrap="around" w:vAnchor="text" w:hAnchor="margin" w:xAlign="right" w:y="1"/>
    </w:pPr>
    <w:r>
      <w:fldChar w:fldCharType="begin"/>
    </w:r>
    <w:r>
      <w:instrText xml:space="preserve">PAGE  </w:instrText>
    </w:r>
    <w:r>
      <w:fldChar w:fldCharType="separate"/>
    </w:r>
    <w:r>
      <w:fldChar w:fldCharType="end"/>
    </w:r>
  </w:p>
  <w:p w14:paraId="78F4FFF8" w14:textId="77777777" w:rsidR="00FA0B9F" w:rsidRDefault="00A51C50"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32678" w14:textId="77777777" w:rsidR="00FA0B9F" w:rsidRDefault="00A51C50"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27B77FFE" w14:textId="4AE794DE" w:rsidR="00FA0B9F" w:rsidRDefault="00A51C50"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5A62A" w14:textId="77777777" w:rsidR="00E311C9" w:rsidRDefault="00A51C50"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2004561A" w14:textId="77777777" w:rsidR="00E311C9" w:rsidRDefault="00A51C50"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EFC79" w14:textId="77777777" w:rsidR="00000000" w:rsidRDefault="00A51C50">
      <w:r>
        <w:separator/>
      </w:r>
    </w:p>
  </w:footnote>
  <w:footnote w:type="continuationSeparator" w:id="0">
    <w:p w14:paraId="36C9FED2" w14:textId="77777777" w:rsidR="00000000" w:rsidRDefault="00A51C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84434F" w14:paraId="62F6D506" w14:textId="77777777" w:rsidTr="00490760">
      <w:trPr>
        <w:trHeight w:val="344"/>
        <w:jc w:val="center"/>
      </w:trPr>
      <w:tc>
        <w:tcPr>
          <w:tcW w:w="5495" w:type="dxa"/>
        </w:tcPr>
        <w:p w14:paraId="15D382C1" w14:textId="77777777" w:rsidR="00DB7C09" w:rsidRDefault="00A51C50" w:rsidP="00F968D4"/>
      </w:tc>
      <w:tc>
        <w:tcPr>
          <w:tcW w:w="4253" w:type="dxa"/>
          <w:gridSpan w:val="2"/>
        </w:tcPr>
        <w:p w14:paraId="6E4BDCA9" w14:textId="77777777" w:rsidR="00DB7C09" w:rsidRPr="00BD47E4" w:rsidRDefault="00A51C50" w:rsidP="002A07BC">
          <w:pPr>
            <w:jc w:val="right"/>
            <w:rPr>
              <w:b/>
              <w:sz w:val="32"/>
              <w:szCs w:val="32"/>
            </w:rPr>
          </w:pPr>
          <w:bookmarkStart w:id="2" w:name="type"/>
          <w:r w:rsidRPr="00BD47E4">
            <w:rPr>
              <w:b/>
              <w:sz w:val="32"/>
              <w:szCs w:val="32"/>
            </w:rPr>
            <w:t>WP</w:t>
          </w:r>
          <w:bookmarkEnd w:id="2"/>
        </w:p>
      </w:tc>
      <w:tc>
        <w:tcPr>
          <w:tcW w:w="1524" w:type="dxa"/>
          <w:gridSpan w:val="2"/>
        </w:tcPr>
        <w:p w14:paraId="6F5D2239" w14:textId="77777777" w:rsidR="00DB7C09" w:rsidRPr="00BD47E4" w:rsidRDefault="00A51C50" w:rsidP="00DB7C09">
          <w:pPr>
            <w:rPr>
              <w:b/>
              <w:sz w:val="32"/>
              <w:szCs w:val="32"/>
            </w:rPr>
          </w:pPr>
          <w:bookmarkStart w:id="3" w:name="number"/>
          <w:r w:rsidRPr="00BD47E4">
            <w:rPr>
              <w:b/>
              <w:sz w:val="32"/>
              <w:szCs w:val="32"/>
            </w:rPr>
            <w:t>21</w:t>
          </w:r>
          <w:bookmarkEnd w:id="3"/>
        </w:p>
      </w:tc>
    </w:tr>
    <w:tr w:rsidR="0084434F" w14:paraId="72F4BB0D" w14:textId="77777777" w:rsidTr="00490760">
      <w:trPr>
        <w:trHeight w:val="2165"/>
        <w:jc w:val="center"/>
      </w:trPr>
      <w:tc>
        <w:tcPr>
          <w:tcW w:w="5495" w:type="dxa"/>
        </w:tcPr>
        <w:p w14:paraId="32572BCF" w14:textId="77777777" w:rsidR="00490760" w:rsidRPr="00EE4D48" w:rsidRDefault="00A51C50" w:rsidP="002A07BC">
          <w:pPr>
            <w:rPr>
              <w:b/>
              <w:sz w:val="28"/>
              <w:szCs w:val="28"/>
            </w:rPr>
          </w:pPr>
          <w:r>
            <w:rPr>
              <w:noProof/>
            </w:rPr>
            <w:drawing>
              <wp:inline distT="0" distB="0" distL="0" distR="0" wp14:anchorId="7D6CC49D" wp14:editId="50BFC14E">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815735"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55387BDD" w14:textId="77777777" w:rsidR="00490760" w:rsidRPr="00FE5146" w:rsidRDefault="00A51C50" w:rsidP="00490760">
          <w:pPr>
            <w:jc w:val="right"/>
            <w:rPr>
              <w:sz w:val="144"/>
              <w:szCs w:val="144"/>
            </w:rPr>
          </w:pPr>
          <w:r w:rsidRPr="00FE5146">
            <w:rPr>
              <w:sz w:val="144"/>
              <w:szCs w:val="144"/>
            </w:rPr>
            <w:t>ENG</w:t>
          </w:r>
        </w:p>
      </w:tc>
    </w:tr>
    <w:tr w:rsidR="0084434F" w14:paraId="406E67FA" w14:textId="77777777" w:rsidTr="00BD47E4">
      <w:trPr>
        <w:trHeight w:val="409"/>
        <w:jc w:val="center"/>
      </w:trPr>
      <w:tc>
        <w:tcPr>
          <w:tcW w:w="9039" w:type="dxa"/>
          <w:gridSpan w:val="2"/>
        </w:tcPr>
        <w:p w14:paraId="31B8E5E6" w14:textId="77777777" w:rsidR="00BD47E4" w:rsidRDefault="00A51C50" w:rsidP="002C30DA">
          <w:pPr>
            <w:jc w:val="right"/>
          </w:pPr>
          <w:r>
            <w:t>Agenda Item:</w:t>
          </w:r>
        </w:p>
      </w:tc>
      <w:tc>
        <w:tcPr>
          <w:tcW w:w="1843" w:type="dxa"/>
          <w:gridSpan w:val="2"/>
        </w:tcPr>
        <w:p w14:paraId="1D586BEB" w14:textId="77777777" w:rsidR="00BD47E4" w:rsidRDefault="00A51C50" w:rsidP="002C30DA">
          <w:pPr>
            <w:jc w:val="right"/>
          </w:pPr>
          <w:bookmarkStart w:id="4" w:name="agenda"/>
          <w:r>
            <w:t>CEP 13</w:t>
          </w:r>
          <w:bookmarkEnd w:id="4"/>
        </w:p>
      </w:tc>
      <w:tc>
        <w:tcPr>
          <w:tcW w:w="390" w:type="dxa"/>
        </w:tcPr>
        <w:p w14:paraId="6430D529" w14:textId="77777777" w:rsidR="00BD47E4" w:rsidRDefault="00A51C50" w:rsidP="00387A65">
          <w:pPr>
            <w:jc w:val="right"/>
          </w:pPr>
        </w:p>
      </w:tc>
    </w:tr>
    <w:tr w:rsidR="0084434F" w14:paraId="7191A5C5" w14:textId="77777777" w:rsidTr="00BD47E4">
      <w:trPr>
        <w:trHeight w:val="397"/>
        <w:jc w:val="center"/>
      </w:trPr>
      <w:tc>
        <w:tcPr>
          <w:tcW w:w="9039" w:type="dxa"/>
          <w:gridSpan w:val="2"/>
        </w:tcPr>
        <w:p w14:paraId="6697B2BE" w14:textId="77777777" w:rsidR="00BD47E4" w:rsidRDefault="00A51C50" w:rsidP="002C30DA">
          <w:pPr>
            <w:jc w:val="right"/>
          </w:pPr>
          <w:r>
            <w:t>Presented by:</w:t>
          </w:r>
        </w:p>
      </w:tc>
      <w:tc>
        <w:tcPr>
          <w:tcW w:w="1843" w:type="dxa"/>
          <w:gridSpan w:val="2"/>
        </w:tcPr>
        <w:p w14:paraId="64B10374" w14:textId="77777777" w:rsidR="00BD47E4" w:rsidRDefault="00A51C50" w:rsidP="002C30DA">
          <w:pPr>
            <w:jc w:val="right"/>
          </w:pPr>
          <w:bookmarkStart w:id="5" w:name="party"/>
          <w:r>
            <w:t>Norway, United Kingdom</w:t>
          </w:r>
          <w:bookmarkEnd w:id="5"/>
        </w:p>
      </w:tc>
      <w:tc>
        <w:tcPr>
          <w:tcW w:w="390" w:type="dxa"/>
        </w:tcPr>
        <w:p w14:paraId="75DE7093" w14:textId="77777777" w:rsidR="00BD47E4" w:rsidRDefault="00A51C50" w:rsidP="00387A65">
          <w:pPr>
            <w:jc w:val="right"/>
          </w:pPr>
        </w:p>
      </w:tc>
    </w:tr>
    <w:tr w:rsidR="0084434F" w14:paraId="0A17F163" w14:textId="77777777" w:rsidTr="00BD47E4">
      <w:trPr>
        <w:trHeight w:val="409"/>
        <w:jc w:val="center"/>
      </w:trPr>
      <w:tc>
        <w:tcPr>
          <w:tcW w:w="9039" w:type="dxa"/>
          <w:gridSpan w:val="2"/>
        </w:tcPr>
        <w:p w14:paraId="7B9165D5" w14:textId="77777777" w:rsidR="00BD47E4" w:rsidRDefault="00A51C50" w:rsidP="002C30DA">
          <w:pPr>
            <w:jc w:val="right"/>
          </w:pPr>
          <w:r>
            <w:t>Original:</w:t>
          </w:r>
        </w:p>
      </w:tc>
      <w:tc>
        <w:tcPr>
          <w:tcW w:w="1843" w:type="dxa"/>
          <w:gridSpan w:val="2"/>
        </w:tcPr>
        <w:p w14:paraId="13FC928B" w14:textId="77777777" w:rsidR="00BD47E4" w:rsidRDefault="00A51C50" w:rsidP="002C30DA">
          <w:pPr>
            <w:jc w:val="right"/>
          </w:pPr>
          <w:bookmarkStart w:id="6" w:name="language"/>
          <w:r>
            <w:t>English</w:t>
          </w:r>
          <w:bookmarkEnd w:id="6"/>
        </w:p>
      </w:tc>
      <w:tc>
        <w:tcPr>
          <w:tcW w:w="390" w:type="dxa"/>
        </w:tcPr>
        <w:p w14:paraId="5B8EA334" w14:textId="77777777" w:rsidR="00BD47E4" w:rsidRDefault="00A51C50" w:rsidP="00387A65">
          <w:pPr>
            <w:jc w:val="right"/>
          </w:pPr>
        </w:p>
      </w:tc>
    </w:tr>
    <w:tr w:rsidR="0084434F" w14:paraId="4FAA1114" w14:textId="77777777" w:rsidTr="00BD47E4">
      <w:trPr>
        <w:trHeight w:val="409"/>
        <w:jc w:val="center"/>
      </w:trPr>
      <w:tc>
        <w:tcPr>
          <w:tcW w:w="9039" w:type="dxa"/>
          <w:gridSpan w:val="2"/>
        </w:tcPr>
        <w:p w14:paraId="5394213B" w14:textId="77777777" w:rsidR="0097629D" w:rsidRDefault="00A51C50" w:rsidP="002C30DA">
          <w:pPr>
            <w:jc w:val="right"/>
          </w:pPr>
          <w:r>
            <w:t>Submitted:</w:t>
          </w:r>
        </w:p>
      </w:tc>
      <w:tc>
        <w:tcPr>
          <w:tcW w:w="1843" w:type="dxa"/>
          <w:gridSpan w:val="2"/>
        </w:tcPr>
        <w:p w14:paraId="74CBAC19" w14:textId="77777777" w:rsidR="0097629D" w:rsidRDefault="00A51C50" w:rsidP="0097629D">
          <w:pPr>
            <w:jc w:val="right"/>
          </w:pPr>
          <w:bookmarkStart w:id="7" w:name="date_submission"/>
          <w:r>
            <w:t>7/4/2022</w:t>
          </w:r>
          <w:bookmarkEnd w:id="7"/>
        </w:p>
      </w:tc>
      <w:tc>
        <w:tcPr>
          <w:tcW w:w="390" w:type="dxa"/>
        </w:tcPr>
        <w:p w14:paraId="449628DA" w14:textId="77777777" w:rsidR="0097629D" w:rsidRDefault="00A51C50" w:rsidP="00387A65">
          <w:pPr>
            <w:jc w:val="right"/>
          </w:pPr>
        </w:p>
      </w:tc>
    </w:tr>
  </w:tbl>
  <w:p w14:paraId="4A5E1CF5" w14:textId="77777777" w:rsidR="00AE5DD0" w:rsidRDefault="00A51C5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84434F" w14:paraId="3E3477DC" w14:textId="77777777">
      <w:trPr>
        <w:trHeight w:val="354"/>
        <w:jc w:val="center"/>
      </w:trPr>
      <w:tc>
        <w:tcPr>
          <w:tcW w:w="9694" w:type="dxa"/>
        </w:tcPr>
        <w:p w14:paraId="73642BBD" w14:textId="2CB99F97" w:rsidR="00AE5DD0" w:rsidRPr="00BD47E4" w:rsidRDefault="00A51C50" w:rsidP="00C26F2D">
          <w:pPr>
            <w:jc w:val="right"/>
            <w:rPr>
              <w:b/>
              <w:sz w:val="32"/>
              <w:szCs w:val="32"/>
            </w:rPr>
          </w:pPr>
          <w:r>
            <w:rPr>
              <w:b/>
              <w:sz w:val="32"/>
              <w:szCs w:val="32"/>
            </w:rPr>
            <w:t>WP</w:t>
          </w:r>
        </w:p>
      </w:tc>
      <w:tc>
        <w:tcPr>
          <w:tcW w:w="1332" w:type="dxa"/>
        </w:tcPr>
        <w:p w14:paraId="64EEF4DC" w14:textId="18C4A67A" w:rsidR="00AE5DD0" w:rsidRPr="00BD47E4" w:rsidRDefault="00A51C50" w:rsidP="00080F4C">
          <w:pPr>
            <w:rPr>
              <w:b/>
              <w:sz w:val="32"/>
              <w:szCs w:val="32"/>
            </w:rPr>
          </w:pPr>
          <w:r>
            <w:rPr>
              <w:b/>
              <w:sz w:val="32"/>
              <w:szCs w:val="32"/>
            </w:rPr>
            <w:t>21</w:t>
          </w:r>
        </w:p>
      </w:tc>
    </w:tr>
  </w:tbl>
  <w:p w14:paraId="7DE707E3" w14:textId="77777777" w:rsidR="00AE5DD0" w:rsidRDefault="00A51C5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5632AE"/>
    <w:multiLevelType w:val="hybridMultilevel"/>
    <w:tmpl w:val="FFFFFFFF"/>
    <w:lvl w:ilvl="0" w:tplc="B6E61A92">
      <w:start w:val="1"/>
      <w:numFmt w:val="lowerRoman"/>
      <w:lvlText w:val="(%1)"/>
      <w:lvlJc w:val="left"/>
      <w:pPr>
        <w:ind w:left="1080" w:hanging="72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1"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7FE1411"/>
    <w:multiLevelType w:val="hybridMultilevel"/>
    <w:tmpl w:val="FFFFFFFF"/>
    <w:lvl w:ilvl="0" w:tplc="4AFE8176">
      <w:start w:val="1"/>
      <w:numFmt w:val="lowerRoman"/>
      <w:lvlText w:val="(%1)"/>
      <w:lvlJc w:val="left"/>
      <w:pPr>
        <w:ind w:left="720" w:hanging="360"/>
      </w:pPr>
      <w:rPr>
        <w:rFonts w:cs="Times New Roman"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86577EA"/>
    <w:multiLevelType w:val="hybridMultilevel"/>
    <w:tmpl w:val="21A63D98"/>
    <w:lvl w:ilvl="0" w:tplc="D1E617DE">
      <w:start w:val="1"/>
      <w:numFmt w:val="bullet"/>
      <w:pStyle w:val="ATSBullet1"/>
      <w:lvlText w:val=""/>
      <w:lvlJc w:val="left"/>
      <w:pPr>
        <w:tabs>
          <w:tab w:val="num" w:pos="360"/>
        </w:tabs>
        <w:ind w:left="360" w:hanging="360"/>
      </w:pPr>
      <w:rPr>
        <w:rFonts w:ascii="Symbol" w:hAnsi="Symbol" w:hint="default"/>
        <w:color w:val="auto"/>
      </w:rPr>
    </w:lvl>
    <w:lvl w:ilvl="1" w:tplc="0C069448" w:tentative="1">
      <w:start w:val="1"/>
      <w:numFmt w:val="bullet"/>
      <w:lvlText w:val="o"/>
      <w:lvlJc w:val="left"/>
      <w:pPr>
        <w:tabs>
          <w:tab w:val="num" w:pos="1440"/>
        </w:tabs>
        <w:ind w:left="1440" w:hanging="360"/>
      </w:pPr>
      <w:rPr>
        <w:rFonts w:ascii="Courier New" w:hAnsi="Courier New" w:cs="Courier New" w:hint="default"/>
      </w:rPr>
    </w:lvl>
    <w:lvl w:ilvl="2" w:tplc="F3B2B608" w:tentative="1">
      <w:start w:val="1"/>
      <w:numFmt w:val="bullet"/>
      <w:lvlText w:val=""/>
      <w:lvlJc w:val="left"/>
      <w:pPr>
        <w:tabs>
          <w:tab w:val="num" w:pos="2160"/>
        </w:tabs>
        <w:ind w:left="2160" w:hanging="360"/>
      </w:pPr>
      <w:rPr>
        <w:rFonts w:ascii="Wingdings" w:hAnsi="Wingdings" w:hint="default"/>
      </w:rPr>
    </w:lvl>
    <w:lvl w:ilvl="3" w:tplc="DA8A7360" w:tentative="1">
      <w:start w:val="1"/>
      <w:numFmt w:val="bullet"/>
      <w:lvlText w:val=""/>
      <w:lvlJc w:val="left"/>
      <w:pPr>
        <w:tabs>
          <w:tab w:val="num" w:pos="2880"/>
        </w:tabs>
        <w:ind w:left="2880" w:hanging="360"/>
      </w:pPr>
      <w:rPr>
        <w:rFonts w:ascii="Symbol" w:hAnsi="Symbol" w:hint="default"/>
      </w:rPr>
    </w:lvl>
    <w:lvl w:ilvl="4" w:tplc="93CEDC50" w:tentative="1">
      <w:start w:val="1"/>
      <w:numFmt w:val="bullet"/>
      <w:lvlText w:val="o"/>
      <w:lvlJc w:val="left"/>
      <w:pPr>
        <w:tabs>
          <w:tab w:val="num" w:pos="3600"/>
        </w:tabs>
        <w:ind w:left="3600" w:hanging="360"/>
      </w:pPr>
      <w:rPr>
        <w:rFonts w:ascii="Courier New" w:hAnsi="Courier New" w:cs="Courier New" w:hint="default"/>
      </w:rPr>
    </w:lvl>
    <w:lvl w:ilvl="5" w:tplc="7A98B344" w:tentative="1">
      <w:start w:val="1"/>
      <w:numFmt w:val="bullet"/>
      <w:lvlText w:val=""/>
      <w:lvlJc w:val="left"/>
      <w:pPr>
        <w:tabs>
          <w:tab w:val="num" w:pos="4320"/>
        </w:tabs>
        <w:ind w:left="4320" w:hanging="360"/>
      </w:pPr>
      <w:rPr>
        <w:rFonts w:ascii="Wingdings" w:hAnsi="Wingdings" w:hint="default"/>
      </w:rPr>
    </w:lvl>
    <w:lvl w:ilvl="6" w:tplc="AA8899D8" w:tentative="1">
      <w:start w:val="1"/>
      <w:numFmt w:val="bullet"/>
      <w:lvlText w:val=""/>
      <w:lvlJc w:val="left"/>
      <w:pPr>
        <w:tabs>
          <w:tab w:val="num" w:pos="5040"/>
        </w:tabs>
        <w:ind w:left="5040" w:hanging="360"/>
      </w:pPr>
      <w:rPr>
        <w:rFonts w:ascii="Symbol" w:hAnsi="Symbol" w:hint="default"/>
      </w:rPr>
    </w:lvl>
    <w:lvl w:ilvl="7" w:tplc="6D00F756" w:tentative="1">
      <w:start w:val="1"/>
      <w:numFmt w:val="bullet"/>
      <w:lvlText w:val="o"/>
      <w:lvlJc w:val="left"/>
      <w:pPr>
        <w:tabs>
          <w:tab w:val="num" w:pos="5760"/>
        </w:tabs>
        <w:ind w:left="5760" w:hanging="360"/>
      </w:pPr>
      <w:rPr>
        <w:rFonts w:ascii="Courier New" w:hAnsi="Courier New" w:cs="Courier New" w:hint="default"/>
      </w:rPr>
    </w:lvl>
    <w:lvl w:ilvl="8" w:tplc="358ED5B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9D35C15"/>
    <w:multiLevelType w:val="hybridMultilevel"/>
    <w:tmpl w:val="A8A2E45C"/>
    <w:lvl w:ilvl="0" w:tplc="58A670EC">
      <w:start w:val="1"/>
      <w:numFmt w:val="decimal"/>
      <w:lvlText w:val="%1)"/>
      <w:lvlJc w:val="left"/>
      <w:pPr>
        <w:tabs>
          <w:tab w:val="num" w:pos="340"/>
        </w:tabs>
        <w:ind w:left="340" w:hanging="340"/>
      </w:pPr>
      <w:rPr>
        <w:rFonts w:hint="default"/>
      </w:rPr>
    </w:lvl>
    <w:lvl w:ilvl="1" w:tplc="815E706A" w:tentative="1">
      <w:start w:val="1"/>
      <w:numFmt w:val="lowerLetter"/>
      <w:lvlText w:val="%2."/>
      <w:lvlJc w:val="left"/>
      <w:pPr>
        <w:tabs>
          <w:tab w:val="num" w:pos="1440"/>
        </w:tabs>
        <w:ind w:left="1440" w:hanging="360"/>
      </w:pPr>
    </w:lvl>
    <w:lvl w:ilvl="2" w:tplc="2480AEA2" w:tentative="1">
      <w:start w:val="1"/>
      <w:numFmt w:val="lowerRoman"/>
      <w:lvlText w:val="%3."/>
      <w:lvlJc w:val="right"/>
      <w:pPr>
        <w:tabs>
          <w:tab w:val="num" w:pos="2160"/>
        </w:tabs>
        <w:ind w:left="2160" w:hanging="180"/>
      </w:pPr>
    </w:lvl>
    <w:lvl w:ilvl="3" w:tplc="088668CE" w:tentative="1">
      <w:start w:val="1"/>
      <w:numFmt w:val="decimal"/>
      <w:lvlText w:val="%4."/>
      <w:lvlJc w:val="left"/>
      <w:pPr>
        <w:tabs>
          <w:tab w:val="num" w:pos="2880"/>
        </w:tabs>
        <w:ind w:left="2880" w:hanging="360"/>
      </w:pPr>
    </w:lvl>
    <w:lvl w:ilvl="4" w:tplc="38ACA47C" w:tentative="1">
      <w:start w:val="1"/>
      <w:numFmt w:val="lowerLetter"/>
      <w:lvlText w:val="%5."/>
      <w:lvlJc w:val="left"/>
      <w:pPr>
        <w:tabs>
          <w:tab w:val="num" w:pos="3600"/>
        </w:tabs>
        <w:ind w:left="3600" w:hanging="360"/>
      </w:pPr>
    </w:lvl>
    <w:lvl w:ilvl="5" w:tplc="D65071E4" w:tentative="1">
      <w:start w:val="1"/>
      <w:numFmt w:val="lowerRoman"/>
      <w:lvlText w:val="%6."/>
      <w:lvlJc w:val="right"/>
      <w:pPr>
        <w:tabs>
          <w:tab w:val="num" w:pos="4320"/>
        </w:tabs>
        <w:ind w:left="4320" w:hanging="180"/>
      </w:pPr>
    </w:lvl>
    <w:lvl w:ilvl="6" w:tplc="CCB4BF0A" w:tentative="1">
      <w:start w:val="1"/>
      <w:numFmt w:val="decimal"/>
      <w:lvlText w:val="%7."/>
      <w:lvlJc w:val="left"/>
      <w:pPr>
        <w:tabs>
          <w:tab w:val="num" w:pos="5040"/>
        </w:tabs>
        <w:ind w:left="5040" w:hanging="360"/>
      </w:pPr>
    </w:lvl>
    <w:lvl w:ilvl="7" w:tplc="9C3EA434" w:tentative="1">
      <w:start w:val="1"/>
      <w:numFmt w:val="lowerLetter"/>
      <w:lvlText w:val="%8."/>
      <w:lvlJc w:val="left"/>
      <w:pPr>
        <w:tabs>
          <w:tab w:val="num" w:pos="5760"/>
        </w:tabs>
        <w:ind w:left="5760" w:hanging="360"/>
      </w:pPr>
    </w:lvl>
    <w:lvl w:ilvl="8" w:tplc="CE0AF4D8" w:tentative="1">
      <w:start w:val="1"/>
      <w:numFmt w:val="lowerRoman"/>
      <w:lvlText w:val="%9."/>
      <w:lvlJc w:val="right"/>
      <w:pPr>
        <w:tabs>
          <w:tab w:val="num" w:pos="6480"/>
        </w:tabs>
        <w:ind w:left="6480" w:hanging="180"/>
      </w:pPr>
    </w:lvl>
  </w:abstractNum>
  <w:abstractNum w:abstractNumId="15" w15:restartNumberingAfterBreak="0">
    <w:nsid w:val="642F3AFA"/>
    <w:multiLevelType w:val="hybridMultilevel"/>
    <w:tmpl w:val="9DF09BE6"/>
    <w:lvl w:ilvl="0" w:tplc="44A82C22">
      <w:start w:val="1"/>
      <w:numFmt w:val="decimal"/>
      <w:lvlText w:val="%1."/>
      <w:lvlJc w:val="left"/>
      <w:pPr>
        <w:tabs>
          <w:tab w:val="num" w:pos="1057"/>
        </w:tabs>
        <w:ind w:left="1057" w:hanging="360"/>
      </w:pPr>
      <w:rPr>
        <w:rFonts w:hint="default"/>
      </w:rPr>
    </w:lvl>
    <w:lvl w:ilvl="1" w:tplc="7802702E" w:tentative="1">
      <w:start w:val="1"/>
      <w:numFmt w:val="lowerLetter"/>
      <w:lvlText w:val="%2."/>
      <w:lvlJc w:val="left"/>
      <w:pPr>
        <w:tabs>
          <w:tab w:val="num" w:pos="2137"/>
        </w:tabs>
        <w:ind w:left="2137" w:hanging="360"/>
      </w:pPr>
    </w:lvl>
    <w:lvl w:ilvl="2" w:tplc="1A860EEE" w:tentative="1">
      <w:start w:val="1"/>
      <w:numFmt w:val="lowerRoman"/>
      <w:lvlText w:val="%3."/>
      <w:lvlJc w:val="right"/>
      <w:pPr>
        <w:tabs>
          <w:tab w:val="num" w:pos="2857"/>
        </w:tabs>
        <w:ind w:left="2857" w:hanging="180"/>
      </w:pPr>
    </w:lvl>
    <w:lvl w:ilvl="3" w:tplc="34AC23B4" w:tentative="1">
      <w:start w:val="1"/>
      <w:numFmt w:val="decimal"/>
      <w:lvlText w:val="%4."/>
      <w:lvlJc w:val="left"/>
      <w:pPr>
        <w:tabs>
          <w:tab w:val="num" w:pos="3577"/>
        </w:tabs>
        <w:ind w:left="3577" w:hanging="360"/>
      </w:pPr>
    </w:lvl>
    <w:lvl w:ilvl="4" w:tplc="11DA5066" w:tentative="1">
      <w:start w:val="1"/>
      <w:numFmt w:val="lowerLetter"/>
      <w:lvlText w:val="%5."/>
      <w:lvlJc w:val="left"/>
      <w:pPr>
        <w:tabs>
          <w:tab w:val="num" w:pos="4297"/>
        </w:tabs>
        <w:ind w:left="4297" w:hanging="360"/>
      </w:pPr>
    </w:lvl>
    <w:lvl w:ilvl="5" w:tplc="C6E86BBE" w:tentative="1">
      <w:start w:val="1"/>
      <w:numFmt w:val="lowerRoman"/>
      <w:lvlText w:val="%6."/>
      <w:lvlJc w:val="right"/>
      <w:pPr>
        <w:tabs>
          <w:tab w:val="num" w:pos="5017"/>
        </w:tabs>
        <w:ind w:left="5017" w:hanging="180"/>
      </w:pPr>
    </w:lvl>
    <w:lvl w:ilvl="6" w:tplc="BAA28034" w:tentative="1">
      <w:start w:val="1"/>
      <w:numFmt w:val="decimal"/>
      <w:lvlText w:val="%7."/>
      <w:lvlJc w:val="left"/>
      <w:pPr>
        <w:tabs>
          <w:tab w:val="num" w:pos="5737"/>
        </w:tabs>
        <w:ind w:left="5737" w:hanging="360"/>
      </w:pPr>
    </w:lvl>
    <w:lvl w:ilvl="7" w:tplc="EFD44834" w:tentative="1">
      <w:start w:val="1"/>
      <w:numFmt w:val="lowerLetter"/>
      <w:lvlText w:val="%8."/>
      <w:lvlJc w:val="left"/>
      <w:pPr>
        <w:tabs>
          <w:tab w:val="num" w:pos="6457"/>
        </w:tabs>
        <w:ind w:left="6457" w:hanging="360"/>
      </w:pPr>
    </w:lvl>
    <w:lvl w:ilvl="8" w:tplc="3FB0D6EA" w:tentative="1">
      <w:start w:val="1"/>
      <w:numFmt w:val="lowerRoman"/>
      <w:lvlText w:val="%9."/>
      <w:lvlJc w:val="right"/>
      <w:pPr>
        <w:tabs>
          <w:tab w:val="num" w:pos="7177"/>
        </w:tabs>
        <w:ind w:left="7177" w:hanging="180"/>
      </w:pPr>
    </w:lvl>
  </w:abstractNum>
  <w:abstractNum w:abstractNumId="16" w15:restartNumberingAfterBreak="0">
    <w:nsid w:val="7212657C"/>
    <w:multiLevelType w:val="hybridMultilevel"/>
    <w:tmpl w:val="0A8E2A84"/>
    <w:lvl w:ilvl="0" w:tplc="715C594A">
      <w:start w:val="1"/>
      <w:numFmt w:val="decimal"/>
      <w:pStyle w:val="ATSNumber1"/>
      <w:lvlText w:val="%1)"/>
      <w:lvlJc w:val="left"/>
      <w:pPr>
        <w:tabs>
          <w:tab w:val="num" w:pos="720"/>
        </w:tabs>
        <w:ind w:left="720" w:hanging="360"/>
      </w:pPr>
    </w:lvl>
    <w:lvl w:ilvl="1" w:tplc="F4FE365C" w:tentative="1">
      <w:start w:val="1"/>
      <w:numFmt w:val="lowerLetter"/>
      <w:lvlText w:val="%2."/>
      <w:lvlJc w:val="left"/>
      <w:pPr>
        <w:tabs>
          <w:tab w:val="num" w:pos="1440"/>
        </w:tabs>
        <w:ind w:left="1440" w:hanging="360"/>
      </w:pPr>
    </w:lvl>
    <w:lvl w:ilvl="2" w:tplc="F9D4C6EA" w:tentative="1">
      <w:start w:val="1"/>
      <w:numFmt w:val="lowerRoman"/>
      <w:lvlText w:val="%3."/>
      <w:lvlJc w:val="right"/>
      <w:pPr>
        <w:tabs>
          <w:tab w:val="num" w:pos="2160"/>
        </w:tabs>
        <w:ind w:left="2160" w:hanging="180"/>
      </w:pPr>
    </w:lvl>
    <w:lvl w:ilvl="3" w:tplc="AA24C0BC" w:tentative="1">
      <w:start w:val="1"/>
      <w:numFmt w:val="decimal"/>
      <w:lvlText w:val="%4."/>
      <w:lvlJc w:val="left"/>
      <w:pPr>
        <w:tabs>
          <w:tab w:val="num" w:pos="2880"/>
        </w:tabs>
        <w:ind w:left="2880" w:hanging="360"/>
      </w:pPr>
    </w:lvl>
    <w:lvl w:ilvl="4" w:tplc="6C4E7FCA" w:tentative="1">
      <w:start w:val="1"/>
      <w:numFmt w:val="lowerLetter"/>
      <w:lvlText w:val="%5."/>
      <w:lvlJc w:val="left"/>
      <w:pPr>
        <w:tabs>
          <w:tab w:val="num" w:pos="3600"/>
        </w:tabs>
        <w:ind w:left="3600" w:hanging="360"/>
      </w:pPr>
    </w:lvl>
    <w:lvl w:ilvl="5" w:tplc="05D40546" w:tentative="1">
      <w:start w:val="1"/>
      <w:numFmt w:val="lowerRoman"/>
      <w:lvlText w:val="%6."/>
      <w:lvlJc w:val="right"/>
      <w:pPr>
        <w:tabs>
          <w:tab w:val="num" w:pos="4320"/>
        </w:tabs>
        <w:ind w:left="4320" w:hanging="180"/>
      </w:pPr>
    </w:lvl>
    <w:lvl w:ilvl="6" w:tplc="A03A3F68" w:tentative="1">
      <w:start w:val="1"/>
      <w:numFmt w:val="decimal"/>
      <w:lvlText w:val="%7."/>
      <w:lvlJc w:val="left"/>
      <w:pPr>
        <w:tabs>
          <w:tab w:val="num" w:pos="5040"/>
        </w:tabs>
        <w:ind w:left="5040" w:hanging="360"/>
      </w:pPr>
    </w:lvl>
    <w:lvl w:ilvl="7" w:tplc="FE384E76" w:tentative="1">
      <w:start w:val="1"/>
      <w:numFmt w:val="lowerLetter"/>
      <w:lvlText w:val="%8."/>
      <w:lvlJc w:val="left"/>
      <w:pPr>
        <w:tabs>
          <w:tab w:val="num" w:pos="5760"/>
        </w:tabs>
        <w:ind w:left="5760" w:hanging="360"/>
      </w:pPr>
    </w:lvl>
    <w:lvl w:ilvl="8" w:tplc="63AA0558" w:tentative="1">
      <w:start w:val="1"/>
      <w:numFmt w:val="lowerRoman"/>
      <w:lvlText w:val="%9."/>
      <w:lvlJc w:val="right"/>
      <w:pPr>
        <w:tabs>
          <w:tab w:val="num" w:pos="6480"/>
        </w:tabs>
        <w:ind w:left="6480" w:hanging="180"/>
      </w:pPr>
    </w:lvl>
  </w:abstractNum>
  <w:abstractNum w:abstractNumId="17" w15:restartNumberingAfterBreak="0">
    <w:nsid w:val="743D2161"/>
    <w:multiLevelType w:val="hybridMultilevel"/>
    <w:tmpl w:val="B0868D9E"/>
    <w:lvl w:ilvl="0" w:tplc="A2BEBB32">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E586FF98" w:tentative="1">
      <w:start w:val="1"/>
      <w:numFmt w:val="bullet"/>
      <w:lvlText w:val="o"/>
      <w:lvlJc w:val="left"/>
      <w:pPr>
        <w:tabs>
          <w:tab w:val="num" w:pos="2517"/>
        </w:tabs>
        <w:ind w:left="2517" w:hanging="360"/>
      </w:pPr>
      <w:rPr>
        <w:rFonts w:ascii="Courier New" w:hAnsi="Courier New" w:cs="Courier New" w:hint="default"/>
      </w:rPr>
    </w:lvl>
    <w:lvl w:ilvl="2" w:tplc="1B8C5434" w:tentative="1">
      <w:start w:val="1"/>
      <w:numFmt w:val="bullet"/>
      <w:lvlText w:val=""/>
      <w:lvlJc w:val="left"/>
      <w:pPr>
        <w:tabs>
          <w:tab w:val="num" w:pos="3237"/>
        </w:tabs>
        <w:ind w:left="3237" w:hanging="360"/>
      </w:pPr>
      <w:rPr>
        <w:rFonts w:ascii="Wingdings" w:hAnsi="Wingdings" w:hint="default"/>
      </w:rPr>
    </w:lvl>
    <w:lvl w:ilvl="3" w:tplc="9F609E16" w:tentative="1">
      <w:start w:val="1"/>
      <w:numFmt w:val="bullet"/>
      <w:lvlText w:val=""/>
      <w:lvlJc w:val="left"/>
      <w:pPr>
        <w:tabs>
          <w:tab w:val="num" w:pos="3957"/>
        </w:tabs>
        <w:ind w:left="3957" w:hanging="360"/>
      </w:pPr>
      <w:rPr>
        <w:rFonts w:ascii="Symbol" w:hAnsi="Symbol" w:hint="default"/>
      </w:rPr>
    </w:lvl>
    <w:lvl w:ilvl="4" w:tplc="4CEEC722" w:tentative="1">
      <w:start w:val="1"/>
      <w:numFmt w:val="bullet"/>
      <w:lvlText w:val="o"/>
      <w:lvlJc w:val="left"/>
      <w:pPr>
        <w:tabs>
          <w:tab w:val="num" w:pos="4677"/>
        </w:tabs>
        <w:ind w:left="4677" w:hanging="360"/>
      </w:pPr>
      <w:rPr>
        <w:rFonts w:ascii="Courier New" w:hAnsi="Courier New" w:cs="Courier New" w:hint="default"/>
      </w:rPr>
    </w:lvl>
    <w:lvl w:ilvl="5" w:tplc="F0CECCE8" w:tentative="1">
      <w:start w:val="1"/>
      <w:numFmt w:val="bullet"/>
      <w:lvlText w:val=""/>
      <w:lvlJc w:val="left"/>
      <w:pPr>
        <w:tabs>
          <w:tab w:val="num" w:pos="5397"/>
        </w:tabs>
        <w:ind w:left="5397" w:hanging="360"/>
      </w:pPr>
      <w:rPr>
        <w:rFonts w:ascii="Wingdings" w:hAnsi="Wingdings" w:hint="default"/>
      </w:rPr>
    </w:lvl>
    <w:lvl w:ilvl="6" w:tplc="8F3ECD84" w:tentative="1">
      <w:start w:val="1"/>
      <w:numFmt w:val="bullet"/>
      <w:lvlText w:val=""/>
      <w:lvlJc w:val="left"/>
      <w:pPr>
        <w:tabs>
          <w:tab w:val="num" w:pos="6117"/>
        </w:tabs>
        <w:ind w:left="6117" w:hanging="360"/>
      </w:pPr>
      <w:rPr>
        <w:rFonts w:ascii="Symbol" w:hAnsi="Symbol" w:hint="default"/>
      </w:rPr>
    </w:lvl>
    <w:lvl w:ilvl="7" w:tplc="E5C2E874" w:tentative="1">
      <w:start w:val="1"/>
      <w:numFmt w:val="bullet"/>
      <w:lvlText w:val="o"/>
      <w:lvlJc w:val="left"/>
      <w:pPr>
        <w:tabs>
          <w:tab w:val="num" w:pos="6837"/>
        </w:tabs>
        <w:ind w:left="6837" w:hanging="360"/>
      </w:pPr>
      <w:rPr>
        <w:rFonts w:ascii="Courier New" w:hAnsi="Courier New" w:cs="Courier New" w:hint="default"/>
      </w:rPr>
    </w:lvl>
    <w:lvl w:ilvl="8" w:tplc="5476B95A" w:tentative="1">
      <w:start w:val="1"/>
      <w:numFmt w:val="bullet"/>
      <w:lvlText w:val=""/>
      <w:lvlJc w:val="left"/>
      <w:pPr>
        <w:tabs>
          <w:tab w:val="num" w:pos="7557"/>
        </w:tabs>
        <w:ind w:left="7557" w:hanging="360"/>
      </w:pPr>
      <w:rPr>
        <w:rFonts w:ascii="Wingdings" w:hAnsi="Wingdings" w:hint="default"/>
      </w:rPr>
    </w:lvl>
  </w:abstractNum>
  <w:abstractNum w:abstractNumId="18" w15:restartNumberingAfterBreak="0">
    <w:nsid w:val="7C866FC0"/>
    <w:multiLevelType w:val="hybridMultilevel"/>
    <w:tmpl w:val="57EA2900"/>
    <w:lvl w:ilvl="0" w:tplc="418C21E2">
      <w:start w:val="1"/>
      <w:numFmt w:val="decimal"/>
      <w:pStyle w:val="ATSNumber2"/>
      <w:lvlText w:val="%1."/>
      <w:lvlJc w:val="left"/>
      <w:pPr>
        <w:tabs>
          <w:tab w:val="num" w:pos="720"/>
        </w:tabs>
        <w:ind w:left="720" w:hanging="360"/>
      </w:pPr>
      <w:rPr>
        <w:rFonts w:hint="default"/>
      </w:rPr>
    </w:lvl>
    <w:lvl w:ilvl="1" w:tplc="579EAF60" w:tentative="1">
      <w:start w:val="1"/>
      <w:numFmt w:val="lowerLetter"/>
      <w:lvlText w:val="%2."/>
      <w:lvlJc w:val="left"/>
      <w:pPr>
        <w:tabs>
          <w:tab w:val="num" w:pos="1440"/>
        </w:tabs>
        <w:ind w:left="1440" w:hanging="360"/>
      </w:pPr>
    </w:lvl>
    <w:lvl w:ilvl="2" w:tplc="781E9F56" w:tentative="1">
      <w:start w:val="1"/>
      <w:numFmt w:val="lowerRoman"/>
      <w:lvlText w:val="%3."/>
      <w:lvlJc w:val="right"/>
      <w:pPr>
        <w:tabs>
          <w:tab w:val="num" w:pos="2160"/>
        </w:tabs>
        <w:ind w:left="2160" w:hanging="180"/>
      </w:pPr>
    </w:lvl>
    <w:lvl w:ilvl="3" w:tplc="1C6CC3B6" w:tentative="1">
      <w:start w:val="1"/>
      <w:numFmt w:val="decimal"/>
      <w:lvlText w:val="%4."/>
      <w:lvlJc w:val="left"/>
      <w:pPr>
        <w:tabs>
          <w:tab w:val="num" w:pos="2880"/>
        </w:tabs>
        <w:ind w:left="2880" w:hanging="360"/>
      </w:pPr>
    </w:lvl>
    <w:lvl w:ilvl="4" w:tplc="B26C4922" w:tentative="1">
      <w:start w:val="1"/>
      <w:numFmt w:val="lowerLetter"/>
      <w:lvlText w:val="%5."/>
      <w:lvlJc w:val="left"/>
      <w:pPr>
        <w:tabs>
          <w:tab w:val="num" w:pos="3600"/>
        </w:tabs>
        <w:ind w:left="3600" w:hanging="360"/>
      </w:pPr>
    </w:lvl>
    <w:lvl w:ilvl="5" w:tplc="F6A48082" w:tentative="1">
      <w:start w:val="1"/>
      <w:numFmt w:val="lowerRoman"/>
      <w:lvlText w:val="%6."/>
      <w:lvlJc w:val="right"/>
      <w:pPr>
        <w:tabs>
          <w:tab w:val="num" w:pos="4320"/>
        </w:tabs>
        <w:ind w:left="4320" w:hanging="180"/>
      </w:pPr>
    </w:lvl>
    <w:lvl w:ilvl="6" w:tplc="5FDE4A6C" w:tentative="1">
      <w:start w:val="1"/>
      <w:numFmt w:val="decimal"/>
      <w:lvlText w:val="%7."/>
      <w:lvlJc w:val="left"/>
      <w:pPr>
        <w:tabs>
          <w:tab w:val="num" w:pos="5040"/>
        </w:tabs>
        <w:ind w:left="5040" w:hanging="360"/>
      </w:pPr>
    </w:lvl>
    <w:lvl w:ilvl="7" w:tplc="77F8D2DE" w:tentative="1">
      <w:start w:val="1"/>
      <w:numFmt w:val="lowerLetter"/>
      <w:lvlText w:val="%8."/>
      <w:lvlJc w:val="left"/>
      <w:pPr>
        <w:tabs>
          <w:tab w:val="num" w:pos="5760"/>
        </w:tabs>
        <w:ind w:left="5760" w:hanging="360"/>
      </w:pPr>
    </w:lvl>
    <w:lvl w:ilvl="8" w:tplc="27AEB332" w:tentative="1">
      <w:start w:val="1"/>
      <w:numFmt w:val="lowerRoman"/>
      <w:lvlText w:val="%9."/>
      <w:lvlJc w:val="right"/>
      <w:pPr>
        <w:tabs>
          <w:tab w:val="num" w:pos="6480"/>
        </w:tabs>
        <w:ind w:left="6480" w:hanging="180"/>
      </w:pPr>
    </w:lvl>
  </w:abstractNum>
  <w:num w:numId="1" w16cid:durableId="33817061">
    <w:abstractNumId w:val="9"/>
  </w:num>
  <w:num w:numId="2" w16cid:durableId="1766882839">
    <w:abstractNumId w:val="7"/>
  </w:num>
  <w:num w:numId="3" w16cid:durableId="207030975">
    <w:abstractNumId w:val="6"/>
  </w:num>
  <w:num w:numId="4" w16cid:durableId="533225952">
    <w:abstractNumId w:val="5"/>
  </w:num>
  <w:num w:numId="5" w16cid:durableId="437333968">
    <w:abstractNumId w:val="4"/>
  </w:num>
  <w:num w:numId="6" w16cid:durableId="1804611319">
    <w:abstractNumId w:val="8"/>
  </w:num>
  <w:num w:numId="7" w16cid:durableId="1767732421">
    <w:abstractNumId w:val="3"/>
  </w:num>
  <w:num w:numId="8" w16cid:durableId="183792659">
    <w:abstractNumId w:val="2"/>
  </w:num>
  <w:num w:numId="9" w16cid:durableId="2059695487">
    <w:abstractNumId w:val="1"/>
  </w:num>
  <w:num w:numId="10" w16cid:durableId="1638796370">
    <w:abstractNumId w:val="0"/>
  </w:num>
  <w:num w:numId="11" w16cid:durableId="1734112994">
    <w:abstractNumId w:val="13"/>
  </w:num>
  <w:num w:numId="12" w16cid:durableId="1695500966">
    <w:abstractNumId w:val="17"/>
  </w:num>
  <w:num w:numId="13" w16cid:durableId="1246692116">
    <w:abstractNumId w:val="16"/>
  </w:num>
  <w:num w:numId="14" w16cid:durableId="1835294193">
    <w:abstractNumId w:val="14"/>
  </w:num>
  <w:num w:numId="15" w16cid:durableId="1378822839">
    <w:abstractNumId w:val="15"/>
  </w:num>
  <w:num w:numId="16" w16cid:durableId="588928937">
    <w:abstractNumId w:val="11"/>
  </w:num>
  <w:num w:numId="17" w16cid:durableId="2034374855">
    <w:abstractNumId w:val="13"/>
  </w:num>
  <w:num w:numId="18" w16cid:durableId="1151673105">
    <w:abstractNumId w:val="17"/>
  </w:num>
  <w:num w:numId="19" w16cid:durableId="1660503367">
    <w:abstractNumId w:val="16"/>
  </w:num>
  <w:num w:numId="20" w16cid:durableId="1863933677">
    <w:abstractNumId w:val="18"/>
  </w:num>
  <w:num w:numId="21" w16cid:durableId="1379206743">
    <w:abstractNumId w:val="12"/>
  </w:num>
  <w:num w:numId="22" w16cid:durableId="16201394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34F"/>
    <w:rsid w:val="0084434F"/>
    <w:rsid w:val="00A51C5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6519EA"/>
  <w15:chartTrackingRefBased/>
  <w15:docId w15:val="{4B1DCC4D-A916-4555-AB27-99B69A5A3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uiPriority w:val="22"/>
    <w:qFormat/>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qFormat/>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NormalChar">
    <w:name w:val="ATS Normal Char"/>
    <w:link w:val="ATSNormal"/>
    <w:locked/>
    <w:rsid w:val="00A51C50"/>
    <w:rPr>
      <w:sz w:val="22"/>
      <w:szCs w:val="24"/>
      <w:lang w:val="en-GB" w:eastAsia="en-GB"/>
    </w:rPr>
  </w:style>
  <w:style w:type="character" w:styleId="nfasis">
    <w:name w:val="Emphasis"/>
    <w:basedOn w:val="Fuentedeprrafopredeter"/>
    <w:uiPriority w:val="20"/>
    <w:qFormat/>
    <w:rsid w:val="00A51C50"/>
    <w:rPr>
      <w:rFonts w:cs="Times New Roman"/>
      <w:i/>
      <w:iCs/>
    </w:rPr>
  </w:style>
  <w:style w:type="character" w:customStyle="1" w:styleId="markedcontent">
    <w:name w:val="markedcontent"/>
    <w:basedOn w:val="Fuentedeprrafopredeter"/>
    <w:rsid w:val="00A51C50"/>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scar.org/science/ant-icon/hom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nvironments.aq"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uments.ats.aq/ATCM43/att/ATCM43_att054_e.docx"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sciencedirect.com/science/article/pii/S146290111731127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1136</Words>
  <Characters>7032</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2022-04-07T12:04:00Z</dcterms:modified>
</cp:coreProperties>
</file>