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2F68A" w14:textId="77777777" w:rsidR="00C26F2D" w:rsidRPr="00BF077B" w:rsidRDefault="008E445B" w:rsidP="00BF077B">
      <w:pPr>
        <w:pStyle w:val="ATSNormal"/>
        <w:rPr>
          <w:rStyle w:val="Ttulodellibro"/>
        </w:rPr>
      </w:pPr>
    </w:p>
    <w:p w14:paraId="6548D795" w14:textId="77777777" w:rsidR="002F0A13" w:rsidRDefault="008E445B" w:rsidP="004B4A60">
      <w:pPr>
        <w:rPr>
          <w:b/>
          <w:u w:val="single"/>
          <w:lang w:val="es-ES_tradnl"/>
        </w:rPr>
      </w:pPr>
    </w:p>
    <w:p w14:paraId="36836BF6" w14:textId="77777777" w:rsidR="002F0A13" w:rsidRDefault="008E445B" w:rsidP="004B4A60">
      <w:pPr>
        <w:rPr>
          <w:b/>
          <w:u w:val="single"/>
          <w:lang w:val="es-ES_tradnl"/>
        </w:rPr>
      </w:pPr>
    </w:p>
    <w:p w14:paraId="6AD1875E" w14:textId="77777777" w:rsidR="002F0A13" w:rsidRDefault="008E445B" w:rsidP="004B4A60">
      <w:pPr>
        <w:rPr>
          <w:b/>
          <w:u w:val="single"/>
          <w:lang w:val="es-ES_tradnl"/>
        </w:rPr>
      </w:pPr>
    </w:p>
    <w:p w14:paraId="03431A89" w14:textId="77777777" w:rsidR="002F0A13" w:rsidRDefault="008E445B" w:rsidP="004B4A60">
      <w:pPr>
        <w:rPr>
          <w:b/>
          <w:u w:val="single"/>
          <w:lang w:val="es-ES_tradnl"/>
        </w:rPr>
      </w:pPr>
    </w:p>
    <w:p w14:paraId="405DB723" w14:textId="77777777" w:rsidR="00C26F2D" w:rsidRDefault="008E445B" w:rsidP="004B4A60">
      <w:pPr>
        <w:rPr>
          <w:b/>
          <w:u w:val="single"/>
          <w:lang w:val="es-ES_tradnl"/>
        </w:rPr>
      </w:pPr>
    </w:p>
    <w:p w14:paraId="66478A7D" w14:textId="77777777" w:rsidR="004B4A60" w:rsidRPr="0057246E" w:rsidRDefault="008E445B" w:rsidP="001B789F">
      <w:pPr>
        <w:pStyle w:val="ATSTitle"/>
      </w:pPr>
      <w:bookmarkStart w:id="0" w:name="name"/>
      <w:r>
        <w:t>Report of the Intersessional Contact Group on Permanent Facilities for Tourism and other Non-Governmental Activities in Antarctica</w:t>
      </w:r>
      <w:bookmarkEnd w:id="0"/>
    </w:p>
    <w:p w14:paraId="6198C6E8" w14:textId="77777777" w:rsidR="004B4A60" w:rsidRPr="0057246E" w:rsidRDefault="008E445B" w:rsidP="00F75424">
      <w:pPr>
        <w:jc w:val="center"/>
      </w:pPr>
    </w:p>
    <w:p w14:paraId="3D13A8E5" w14:textId="77777777" w:rsidR="004B4A60" w:rsidRPr="002F0A13" w:rsidRDefault="008E445B" w:rsidP="002F0A13"/>
    <w:p w14:paraId="36432146" w14:textId="77777777" w:rsidR="004B4A60" w:rsidRDefault="008E445B" w:rsidP="00F75424">
      <w:pPr>
        <w:jc w:val="center"/>
      </w:pPr>
      <w:bookmarkStart w:id="1" w:name="memo"/>
      <w:bookmarkEnd w:id="1"/>
    </w:p>
    <w:p w14:paraId="48604A3A" w14:textId="77777777" w:rsidR="0097629D" w:rsidRDefault="008E445B" w:rsidP="00F75424">
      <w:pPr>
        <w:jc w:val="center"/>
      </w:pPr>
    </w:p>
    <w:p w14:paraId="310C7E12" w14:textId="77777777" w:rsidR="0097629D" w:rsidRDefault="008E445B" w:rsidP="00F75424">
      <w:pPr>
        <w:jc w:val="center"/>
      </w:pPr>
    </w:p>
    <w:p w14:paraId="474D3AB3" w14:textId="77777777" w:rsidR="0097629D" w:rsidRDefault="008E445B" w:rsidP="00F75424">
      <w:pPr>
        <w:jc w:val="center"/>
      </w:pPr>
    </w:p>
    <w:p w14:paraId="78D1CDC6" w14:textId="77777777" w:rsidR="0097629D" w:rsidRPr="00C26F2D" w:rsidRDefault="008E445B" w:rsidP="00F75424">
      <w:pPr>
        <w:jc w:val="center"/>
      </w:pPr>
    </w:p>
    <w:p w14:paraId="23D02296" w14:textId="77777777" w:rsidR="004B4A60" w:rsidRPr="0057246E" w:rsidRDefault="008E445B" w:rsidP="004B4A60"/>
    <w:p w14:paraId="02CB9F80" w14:textId="77777777" w:rsidR="00C26F2D" w:rsidRDefault="008E445B"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58B29E28" w14:textId="552014F3" w:rsidR="004B4A60" w:rsidRDefault="008E445B" w:rsidP="008E445B">
      <w:pPr>
        <w:pStyle w:val="ATSHeading1"/>
      </w:pPr>
    </w:p>
    <w:p w14:paraId="59A36D2E" w14:textId="0948F43C" w:rsidR="008E445B" w:rsidRPr="000D2B36" w:rsidRDefault="008E445B" w:rsidP="008E445B">
      <w:pPr>
        <w:pStyle w:val="ATSHeading1"/>
        <w:rPr>
          <w:rFonts w:ascii="Times New Roman" w:hAnsi="Times New Roman"/>
          <w:color w:val="1A1A1A" w:themeColor="background1" w:themeShade="1A"/>
        </w:rPr>
      </w:pPr>
      <w:r w:rsidRPr="000D2B36">
        <w:rPr>
          <w:rFonts w:ascii="Times New Roman" w:hAnsi="Times New Roman"/>
          <w:color w:val="1A1A1A" w:themeColor="background1" w:themeShade="1A"/>
        </w:rPr>
        <w:t>Report of the Intersessional Contact Group on Permanent Facilities</w:t>
      </w:r>
      <w:r>
        <w:rPr>
          <w:rFonts w:ascii="Times New Roman" w:hAnsi="Times New Roman"/>
          <w:color w:val="1A1A1A" w:themeColor="background1" w:themeShade="1A"/>
        </w:rPr>
        <w:t xml:space="preserve"> </w:t>
      </w:r>
      <w:r w:rsidRPr="000D2B36">
        <w:rPr>
          <w:rFonts w:ascii="Times New Roman" w:hAnsi="Times New Roman"/>
          <w:color w:val="1A1A1A" w:themeColor="background1" w:themeShade="1A"/>
        </w:rPr>
        <w:t>for Tourism and other Non-Governmental Activities in Antarctica</w:t>
      </w:r>
    </w:p>
    <w:p w14:paraId="6DA05DEB" w14:textId="77777777" w:rsidR="008E445B" w:rsidRPr="0079222C" w:rsidRDefault="008E445B" w:rsidP="008E445B">
      <w:pPr>
        <w:pStyle w:val="Sinespaciado"/>
        <w:rPr>
          <w:rFonts w:ascii="Times New Roman" w:hAnsi="Times New Roman" w:cs="Times New Roman"/>
          <w:color w:val="1A1A1A" w:themeColor="background1" w:themeShade="1A"/>
          <w:sz w:val="22"/>
          <w:szCs w:val="22"/>
          <w:lang w:val="en-US"/>
        </w:rPr>
      </w:pPr>
    </w:p>
    <w:p w14:paraId="3C3FE2E7" w14:textId="77777777" w:rsidR="008E445B" w:rsidRPr="0079222C" w:rsidRDefault="008E445B" w:rsidP="008E445B">
      <w:pPr>
        <w:pStyle w:val="Sinespaciado"/>
        <w:rPr>
          <w:rFonts w:ascii="Times New Roman" w:hAnsi="Times New Roman" w:cs="Times New Roman"/>
          <w:color w:val="1A1A1A" w:themeColor="background1" w:themeShade="1A"/>
          <w:sz w:val="22"/>
          <w:szCs w:val="22"/>
          <w:lang w:val="en-US"/>
        </w:rPr>
      </w:pPr>
    </w:p>
    <w:p w14:paraId="79F08C5C" w14:textId="77777777" w:rsidR="008E445B" w:rsidRPr="000D2B36" w:rsidRDefault="008E445B" w:rsidP="008E445B">
      <w:pPr>
        <w:pStyle w:val="ATSHeading3"/>
      </w:pPr>
      <w:r w:rsidRPr="000D2B36">
        <w:t>Summary</w:t>
      </w:r>
    </w:p>
    <w:p w14:paraId="1C459A76" w14:textId="77777777" w:rsidR="008E445B" w:rsidRPr="000D2B36" w:rsidRDefault="008E445B" w:rsidP="008E445B">
      <w:pPr>
        <w:spacing w:line="276" w:lineRule="auto"/>
        <w:rPr>
          <w:color w:val="1A1A1A" w:themeColor="background1" w:themeShade="1A"/>
          <w:szCs w:val="22"/>
        </w:rPr>
      </w:pPr>
    </w:p>
    <w:p w14:paraId="35437038" w14:textId="77777777" w:rsidR="008E445B" w:rsidRPr="00C406EE" w:rsidRDefault="008E445B" w:rsidP="008E445B">
      <w:pPr>
        <w:spacing w:line="276" w:lineRule="auto"/>
        <w:rPr>
          <w:szCs w:val="22"/>
        </w:rPr>
      </w:pPr>
      <w:r w:rsidRPr="000D2B36">
        <w:rPr>
          <w:color w:val="1A1A1A" w:themeColor="background1" w:themeShade="1A"/>
          <w:szCs w:val="22"/>
        </w:rPr>
        <w:t>ATCM XLIII</w:t>
      </w:r>
      <w:r w:rsidRPr="000D2B36">
        <w:rPr>
          <w:iCs/>
          <w:color w:val="1A1A1A" w:themeColor="background1" w:themeShade="1A"/>
          <w:szCs w:val="22"/>
        </w:rPr>
        <w:t xml:space="preserve"> </w:t>
      </w:r>
      <w:r w:rsidRPr="000D2B36">
        <w:rPr>
          <w:color w:val="1A1A1A" w:themeColor="background1" w:themeShade="1A"/>
          <w:szCs w:val="22"/>
        </w:rPr>
        <w:t xml:space="preserve">(§ 227 of the Final Report) agreed to establish an Intersessional Contact Group (ICG) on permanent facilities for tourism and other non-governmental activities in Antarctica. In </w:t>
      </w:r>
      <w:r>
        <w:rPr>
          <w:color w:val="1A1A1A" w:themeColor="background1" w:themeShade="1A"/>
          <w:szCs w:val="22"/>
        </w:rPr>
        <w:t>four</w:t>
      </w:r>
      <w:r w:rsidRPr="000D2B36">
        <w:rPr>
          <w:color w:val="1A1A1A" w:themeColor="background1" w:themeShade="1A"/>
          <w:szCs w:val="22"/>
        </w:rPr>
        <w:t xml:space="preserve"> rounds of discussions, </w:t>
      </w:r>
      <w:r w:rsidRPr="000D2B36">
        <w:rPr>
          <w:iCs/>
          <w:color w:val="1A1A1A" w:themeColor="background1" w:themeShade="1A"/>
          <w:szCs w:val="22"/>
        </w:rPr>
        <w:t xml:space="preserve">the ICG made an inventory of </w:t>
      </w:r>
      <w:r w:rsidRPr="000D2B36">
        <w:rPr>
          <w:color w:val="1A1A1A" w:themeColor="background1" w:themeShade="1A"/>
          <w:szCs w:val="22"/>
        </w:rPr>
        <w:t xml:space="preserve">recent initiatives to establish such facilities, exchanged views on possible concerns relating to such facilities and discussed the question of whether the ATCM should </w:t>
      </w:r>
      <w:proofErr w:type="gramStart"/>
      <w:r w:rsidRPr="000D2B36">
        <w:rPr>
          <w:color w:val="1A1A1A" w:themeColor="background1" w:themeShade="1A"/>
          <w:szCs w:val="22"/>
        </w:rPr>
        <w:t>take action</w:t>
      </w:r>
      <w:proofErr w:type="gramEnd"/>
      <w:r w:rsidRPr="000D2B36">
        <w:rPr>
          <w:color w:val="1A1A1A" w:themeColor="background1" w:themeShade="1A"/>
          <w:szCs w:val="22"/>
        </w:rPr>
        <w:t xml:space="preserve"> on the issue. </w:t>
      </w:r>
      <w:r w:rsidRPr="000D2B36">
        <w:rPr>
          <w:iCs/>
          <w:color w:val="1A1A1A" w:themeColor="background1" w:themeShade="1A"/>
          <w:szCs w:val="22"/>
        </w:rPr>
        <w:t xml:space="preserve">This report summarizes these discussions and </w:t>
      </w:r>
      <w:r w:rsidRPr="00D469C0">
        <w:rPr>
          <w:szCs w:val="22"/>
        </w:rPr>
        <w:t>propose</w:t>
      </w:r>
      <w:r>
        <w:rPr>
          <w:szCs w:val="22"/>
        </w:rPr>
        <w:t>s</w:t>
      </w:r>
      <w:r w:rsidRPr="00D469C0">
        <w:rPr>
          <w:szCs w:val="22"/>
        </w:rPr>
        <w:t xml:space="preserve"> to continue </w:t>
      </w:r>
      <w:r>
        <w:rPr>
          <w:szCs w:val="22"/>
        </w:rPr>
        <w:t xml:space="preserve">the </w:t>
      </w:r>
      <w:r w:rsidRPr="00D469C0">
        <w:rPr>
          <w:szCs w:val="22"/>
        </w:rPr>
        <w:t>discussion</w:t>
      </w:r>
      <w:r>
        <w:rPr>
          <w:szCs w:val="22"/>
        </w:rPr>
        <w:t>s</w:t>
      </w:r>
      <w:r w:rsidRPr="00D469C0">
        <w:rPr>
          <w:szCs w:val="22"/>
        </w:rPr>
        <w:t xml:space="preserve"> </w:t>
      </w:r>
      <w:r>
        <w:rPr>
          <w:szCs w:val="22"/>
        </w:rPr>
        <w:t xml:space="preserve">at </w:t>
      </w:r>
      <w:r w:rsidRPr="00D469C0">
        <w:rPr>
          <w:szCs w:val="22"/>
        </w:rPr>
        <w:t xml:space="preserve">ATCM </w:t>
      </w:r>
      <w:r>
        <w:rPr>
          <w:szCs w:val="22"/>
        </w:rPr>
        <w:t xml:space="preserve">XLIV </w:t>
      </w:r>
      <w:proofErr w:type="gramStart"/>
      <w:r w:rsidRPr="00D469C0">
        <w:rPr>
          <w:szCs w:val="22"/>
        </w:rPr>
        <w:t>on the basis of</w:t>
      </w:r>
      <w:proofErr w:type="gramEnd"/>
      <w:r w:rsidRPr="00D469C0">
        <w:rPr>
          <w:szCs w:val="22"/>
        </w:rPr>
        <w:t xml:space="preserve"> </w:t>
      </w:r>
      <w:r>
        <w:rPr>
          <w:szCs w:val="22"/>
        </w:rPr>
        <w:t>a</w:t>
      </w:r>
      <w:r w:rsidRPr="00D469C0">
        <w:rPr>
          <w:szCs w:val="22"/>
        </w:rPr>
        <w:t xml:space="preserve"> draft </w:t>
      </w:r>
      <w:r>
        <w:rPr>
          <w:szCs w:val="22"/>
        </w:rPr>
        <w:t>R</w:t>
      </w:r>
      <w:r w:rsidRPr="00D469C0">
        <w:rPr>
          <w:szCs w:val="22"/>
        </w:rPr>
        <w:t>esolution</w:t>
      </w:r>
      <w:r>
        <w:rPr>
          <w:szCs w:val="22"/>
        </w:rPr>
        <w:t xml:space="preserve"> text (see the last page of this WP).</w:t>
      </w:r>
    </w:p>
    <w:p w14:paraId="7734D587" w14:textId="77777777" w:rsidR="008E445B" w:rsidRPr="000D2B36" w:rsidRDefault="008E445B" w:rsidP="008E445B">
      <w:pPr>
        <w:pStyle w:val="Sinespaciado"/>
        <w:spacing w:line="276" w:lineRule="auto"/>
        <w:rPr>
          <w:rFonts w:ascii="Times New Roman" w:hAnsi="Times New Roman" w:cs="Times New Roman"/>
          <w:iCs/>
          <w:color w:val="1A1A1A" w:themeColor="background1" w:themeShade="1A"/>
          <w:sz w:val="22"/>
          <w:szCs w:val="22"/>
          <w:lang w:val="en-GB"/>
        </w:rPr>
      </w:pPr>
    </w:p>
    <w:p w14:paraId="40F09D4B" w14:textId="77777777" w:rsidR="008E445B" w:rsidRPr="000D2B36" w:rsidRDefault="008E445B" w:rsidP="008E445B">
      <w:pPr>
        <w:spacing w:line="276" w:lineRule="auto"/>
        <w:rPr>
          <w:color w:val="1A1A1A" w:themeColor="background1" w:themeShade="1A"/>
          <w:szCs w:val="22"/>
        </w:rPr>
      </w:pPr>
    </w:p>
    <w:p w14:paraId="69CF2CD2" w14:textId="77777777" w:rsidR="008E445B" w:rsidRPr="000D2B36" w:rsidRDefault="008E445B" w:rsidP="008E445B">
      <w:pPr>
        <w:pStyle w:val="Prrafodelista"/>
        <w:numPr>
          <w:ilvl w:val="0"/>
          <w:numId w:val="22"/>
        </w:numPr>
        <w:spacing w:line="276" w:lineRule="auto"/>
        <w:rPr>
          <w:b/>
          <w:color w:val="1A1A1A" w:themeColor="background1" w:themeShade="1A"/>
          <w:szCs w:val="22"/>
        </w:rPr>
      </w:pPr>
      <w:r w:rsidRPr="000D2B36">
        <w:rPr>
          <w:b/>
          <w:color w:val="1A1A1A" w:themeColor="background1" w:themeShade="1A"/>
          <w:szCs w:val="22"/>
        </w:rPr>
        <w:t>Introduction</w:t>
      </w:r>
    </w:p>
    <w:p w14:paraId="4BF767AE" w14:textId="77777777" w:rsidR="008E445B" w:rsidRPr="000D2B36" w:rsidRDefault="008E445B" w:rsidP="008E445B">
      <w:pPr>
        <w:spacing w:line="276" w:lineRule="auto"/>
        <w:rPr>
          <w:color w:val="1A1A1A" w:themeColor="background1" w:themeShade="1A"/>
          <w:szCs w:val="22"/>
        </w:rPr>
      </w:pPr>
    </w:p>
    <w:p w14:paraId="6D514D8F" w14:textId="77777777" w:rsidR="008E445B" w:rsidRPr="000D2B36" w:rsidRDefault="008E445B" w:rsidP="008E445B">
      <w:pPr>
        <w:spacing w:line="276" w:lineRule="auto"/>
        <w:rPr>
          <w:b/>
          <w:color w:val="1A1A1A" w:themeColor="background1" w:themeShade="1A"/>
          <w:szCs w:val="22"/>
        </w:rPr>
      </w:pPr>
      <w:r w:rsidRPr="000D2B36">
        <w:rPr>
          <w:color w:val="1A1A1A" w:themeColor="background1" w:themeShade="1A"/>
          <w:szCs w:val="22"/>
        </w:rPr>
        <w:t>ATCM XLIII (§ 227 of the Final Report) agreed to establish an Intersessional Contact Group (ICG) on permanent facilities for tourism and other non-governmental activities in Antarctica. For this ICG, the ATCM adopted the following Terms of Reference:</w:t>
      </w:r>
      <w:r w:rsidRPr="000D2B36">
        <w:rPr>
          <w:rStyle w:val="Refdenotaalpie"/>
          <w:color w:val="1A1A1A" w:themeColor="background1" w:themeShade="1A"/>
          <w:szCs w:val="22"/>
        </w:rPr>
        <w:footnoteReference w:id="1"/>
      </w:r>
    </w:p>
    <w:p w14:paraId="63194E80" w14:textId="77777777" w:rsidR="008E445B" w:rsidRPr="000D2B36" w:rsidRDefault="008E445B" w:rsidP="008E445B">
      <w:pPr>
        <w:spacing w:line="276" w:lineRule="auto"/>
        <w:rPr>
          <w:bCs/>
          <w:iCs/>
          <w:color w:val="1A1A1A" w:themeColor="background1" w:themeShade="1A"/>
          <w:szCs w:val="22"/>
        </w:rPr>
      </w:pPr>
    </w:p>
    <w:p w14:paraId="5CE55F89" w14:textId="77777777" w:rsidR="008E445B" w:rsidRPr="000D2B36" w:rsidRDefault="008E445B" w:rsidP="008E445B">
      <w:pPr>
        <w:pStyle w:val="Sinespaciado"/>
        <w:numPr>
          <w:ilvl w:val="0"/>
          <w:numId w:val="23"/>
        </w:numPr>
        <w:spacing w:line="276" w:lineRule="auto"/>
        <w:rPr>
          <w:rFonts w:ascii="Times New Roman" w:hAnsi="Times New Roman" w:cs="Times New Roman"/>
          <w:color w:val="1A1A1A" w:themeColor="background1" w:themeShade="1A"/>
          <w:sz w:val="22"/>
          <w:szCs w:val="22"/>
          <w:lang w:val="en-GB"/>
        </w:rPr>
      </w:pPr>
      <w:r w:rsidRPr="000D2B36">
        <w:rPr>
          <w:rFonts w:ascii="Times New Roman" w:hAnsi="Times New Roman" w:cs="Times New Roman"/>
          <w:color w:val="1A1A1A" w:themeColor="background1" w:themeShade="1A"/>
          <w:sz w:val="22"/>
          <w:szCs w:val="22"/>
          <w:lang w:val="en-GB"/>
        </w:rPr>
        <w:t xml:space="preserve">“To share and collate information on past and present initiatives to establish permanent facilities for tourism and other non-governmental activities in </w:t>
      </w:r>
      <w:proofErr w:type="gramStart"/>
      <w:r w:rsidRPr="000D2B36">
        <w:rPr>
          <w:rFonts w:ascii="Times New Roman" w:hAnsi="Times New Roman" w:cs="Times New Roman"/>
          <w:color w:val="1A1A1A" w:themeColor="background1" w:themeShade="1A"/>
          <w:sz w:val="22"/>
          <w:szCs w:val="22"/>
          <w:lang w:val="en-GB"/>
        </w:rPr>
        <w:t>Antarctica;</w:t>
      </w:r>
      <w:proofErr w:type="gramEnd"/>
      <w:r w:rsidRPr="000D2B36">
        <w:rPr>
          <w:rFonts w:ascii="Times New Roman" w:hAnsi="Times New Roman" w:cs="Times New Roman"/>
          <w:color w:val="1A1A1A" w:themeColor="background1" w:themeShade="1A"/>
          <w:sz w:val="22"/>
          <w:szCs w:val="22"/>
          <w:lang w:val="en-GB"/>
        </w:rPr>
        <w:t xml:space="preserve"> </w:t>
      </w:r>
    </w:p>
    <w:p w14:paraId="668EFF35" w14:textId="77777777" w:rsidR="008E445B" w:rsidRPr="000D2B36" w:rsidRDefault="008E445B" w:rsidP="008E445B">
      <w:pPr>
        <w:pStyle w:val="Sinespaciado"/>
        <w:numPr>
          <w:ilvl w:val="0"/>
          <w:numId w:val="23"/>
        </w:numPr>
        <w:spacing w:line="276" w:lineRule="auto"/>
        <w:rPr>
          <w:rFonts w:ascii="Times New Roman" w:hAnsi="Times New Roman" w:cs="Times New Roman"/>
          <w:color w:val="1A1A1A" w:themeColor="background1" w:themeShade="1A"/>
          <w:sz w:val="22"/>
          <w:szCs w:val="22"/>
          <w:lang w:val="en-GB"/>
        </w:rPr>
      </w:pPr>
      <w:r w:rsidRPr="000D2B36">
        <w:rPr>
          <w:rFonts w:ascii="Times New Roman" w:hAnsi="Times New Roman" w:cs="Times New Roman"/>
          <w:color w:val="1A1A1A" w:themeColor="background1" w:themeShade="1A"/>
          <w:sz w:val="22"/>
          <w:szCs w:val="22"/>
          <w:lang w:val="en-GB"/>
        </w:rPr>
        <w:t xml:space="preserve">To exchange views on the desirability and possible content of a definition of permanent facilities for tourism and other non-governmental activities in </w:t>
      </w:r>
      <w:proofErr w:type="gramStart"/>
      <w:r w:rsidRPr="000D2B36">
        <w:rPr>
          <w:rFonts w:ascii="Times New Roman" w:hAnsi="Times New Roman" w:cs="Times New Roman"/>
          <w:color w:val="1A1A1A" w:themeColor="background1" w:themeShade="1A"/>
          <w:sz w:val="22"/>
          <w:szCs w:val="22"/>
          <w:lang w:val="en-GB"/>
        </w:rPr>
        <w:t>Antarctica;</w:t>
      </w:r>
      <w:proofErr w:type="gramEnd"/>
      <w:r w:rsidRPr="000D2B36">
        <w:rPr>
          <w:rFonts w:ascii="Times New Roman" w:hAnsi="Times New Roman" w:cs="Times New Roman"/>
          <w:color w:val="1A1A1A" w:themeColor="background1" w:themeShade="1A"/>
          <w:sz w:val="22"/>
          <w:szCs w:val="22"/>
          <w:lang w:val="en-GB"/>
        </w:rPr>
        <w:t xml:space="preserve"> </w:t>
      </w:r>
    </w:p>
    <w:p w14:paraId="16E17870" w14:textId="77777777" w:rsidR="008E445B" w:rsidRPr="000D2B36" w:rsidRDefault="008E445B" w:rsidP="008E445B">
      <w:pPr>
        <w:pStyle w:val="Sinespaciado"/>
        <w:numPr>
          <w:ilvl w:val="0"/>
          <w:numId w:val="23"/>
        </w:numPr>
        <w:spacing w:line="276" w:lineRule="auto"/>
        <w:rPr>
          <w:rFonts w:ascii="Times New Roman" w:hAnsi="Times New Roman" w:cs="Times New Roman"/>
          <w:color w:val="1A1A1A" w:themeColor="background1" w:themeShade="1A"/>
          <w:sz w:val="22"/>
          <w:szCs w:val="22"/>
          <w:lang w:val="en-GB"/>
        </w:rPr>
      </w:pPr>
      <w:r w:rsidRPr="000D2B36">
        <w:rPr>
          <w:rFonts w:ascii="Times New Roman" w:hAnsi="Times New Roman" w:cs="Times New Roman"/>
          <w:color w:val="1A1A1A" w:themeColor="background1" w:themeShade="1A"/>
          <w:sz w:val="22"/>
          <w:szCs w:val="22"/>
          <w:lang w:val="en-GB"/>
        </w:rPr>
        <w:t xml:space="preserve">To exchange views on possible concerns relating to such facilities, including, for instance, environmental concerns and pressure on the search and rescue capacity of national </w:t>
      </w:r>
      <w:proofErr w:type="gramStart"/>
      <w:r w:rsidRPr="000D2B36">
        <w:rPr>
          <w:rFonts w:ascii="Times New Roman" w:hAnsi="Times New Roman" w:cs="Times New Roman"/>
          <w:color w:val="1A1A1A" w:themeColor="background1" w:themeShade="1A"/>
          <w:sz w:val="22"/>
          <w:szCs w:val="22"/>
          <w:lang w:val="en-GB"/>
        </w:rPr>
        <w:t>programmes;</w:t>
      </w:r>
      <w:proofErr w:type="gramEnd"/>
      <w:r w:rsidRPr="000D2B36">
        <w:rPr>
          <w:rFonts w:ascii="Times New Roman" w:hAnsi="Times New Roman" w:cs="Times New Roman"/>
          <w:color w:val="1A1A1A" w:themeColor="background1" w:themeShade="1A"/>
          <w:sz w:val="22"/>
          <w:szCs w:val="22"/>
          <w:lang w:val="en-GB"/>
        </w:rPr>
        <w:t xml:space="preserve"> </w:t>
      </w:r>
    </w:p>
    <w:p w14:paraId="62D60E8B" w14:textId="77777777" w:rsidR="008E445B" w:rsidRPr="000D2B36" w:rsidRDefault="008E445B" w:rsidP="008E445B">
      <w:pPr>
        <w:pStyle w:val="Sinespaciado"/>
        <w:numPr>
          <w:ilvl w:val="0"/>
          <w:numId w:val="23"/>
        </w:numPr>
        <w:spacing w:line="276" w:lineRule="auto"/>
        <w:rPr>
          <w:rFonts w:ascii="Times New Roman" w:hAnsi="Times New Roman" w:cs="Times New Roman"/>
          <w:color w:val="1A1A1A" w:themeColor="background1" w:themeShade="1A"/>
          <w:sz w:val="22"/>
          <w:szCs w:val="22"/>
          <w:lang w:val="en-GB"/>
        </w:rPr>
      </w:pPr>
      <w:r w:rsidRPr="000D2B36">
        <w:rPr>
          <w:rFonts w:ascii="Times New Roman" w:hAnsi="Times New Roman" w:cs="Times New Roman"/>
          <w:color w:val="1A1A1A" w:themeColor="background1" w:themeShade="1A"/>
          <w:sz w:val="22"/>
          <w:szCs w:val="22"/>
          <w:lang w:val="en-GB"/>
        </w:rPr>
        <w:t xml:space="preserve">To discuss the question of whether the ATCM should </w:t>
      </w:r>
      <w:proofErr w:type="gramStart"/>
      <w:r w:rsidRPr="000D2B36">
        <w:rPr>
          <w:rFonts w:ascii="Times New Roman" w:hAnsi="Times New Roman" w:cs="Times New Roman"/>
          <w:color w:val="1A1A1A" w:themeColor="background1" w:themeShade="1A"/>
          <w:sz w:val="22"/>
          <w:szCs w:val="22"/>
          <w:lang w:val="en-GB"/>
        </w:rPr>
        <w:t>take action</w:t>
      </w:r>
      <w:proofErr w:type="gramEnd"/>
      <w:r w:rsidRPr="000D2B36">
        <w:rPr>
          <w:rFonts w:ascii="Times New Roman" w:hAnsi="Times New Roman" w:cs="Times New Roman"/>
          <w:color w:val="1A1A1A" w:themeColor="background1" w:themeShade="1A"/>
          <w:sz w:val="22"/>
          <w:szCs w:val="22"/>
          <w:lang w:val="en-GB"/>
        </w:rPr>
        <w:t xml:space="preserve"> relating to future plans for permanent facilities for tourism and other non-governmental activities in Antarctica and, if so, what action might be appropriate; and </w:t>
      </w:r>
    </w:p>
    <w:p w14:paraId="48F8CAA1" w14:textId="77777777" w:rsidR="008E445B" w:rsidRPr="000D2B36" w:rsidRDefault="008E445B" w:rsidP="008E445B">
      <w:pPr>
        <w:pStyle w:val="Sinespaciado"/>
        <w:numPr>
          <w:ilvl w:val="0"/>
          <w:numId w:val="23"/>
        </w:numPr>
        <w:spacing w:line="276" w:lineRule="auto"/>
        <w:rPr>
          <w:rFonts w:ascii="Times New Roman" w:hAnsi="Times New Roman" w:cs="Times New Roman"/>
          <w:color w:val="1A1A1A" w:themeColor="background1" w:themeShade="1A"/>
          <w:sz w:val="22"/>
          <w:szCs w:val="22"/>
          <w:lang w:val="en-GB"/>
        </w:rPr>
      </w:pPr>
      <w:r w:rsidRPr="000D2B36">
        <w:rPr>
          <w:rFonts w:ascii="Times New Roman" w:hAnsi="Times New Roman" w:cs="Times New Roman"/>
          <w:color w:val="1A1A1A" w:themeColor="background1" w:themeShade="1A"/>
          <w:sz w:val="22"/>
          <w:szCs w:val="22"/>
          <w:lang w:val="en-GB"/>
        </w:rPr>
        <w:t xml:space="preserve">Depending on progress and outcomes of discussions on the previous item, to develop a clear proposal on the issue of permanent facilities for tourism and other non-governmental activities in Antarctica that may be submitted to ATCM XLIV.” </w:t>
      </w:r>
    </w:p>
    <w:p w14:paraId="0B825E0E"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rPr>
      </w:pPr>
    </w:p>
    <w:p w14:paraId="235EF137"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r w:rsidRPr="000D2B36">
        <w:rPr>
          <w:rFonts w:ascii="Times New Roman" w:hAnsi="Times New Roman" w:cs="Times New Roman"/>
          <w:color w:val="1A1A1A" w:themeColor="background1" w:themeShade="1A"/>
          <w:sz w:val="22"/>
          <w:szCs w:val="22"/>
          <w:lang w:val="en-GB"/>
        </w:rPr>
        <w:t xml:space="preserve">In October 2021, the ICG agreed on a work plan and schedule for its discussions and a first round of discussions focused on the first four components of the </w:t>
      </w:r>
      <w:proofErr w:type="spellStart"/>
      <w:r w:rsidRPr="000D2B36">
        <w:rPr>
          <w:rFonts w:ascii="Times New Roman" w:hAnsi="Times New Roman" w:cs="Times New Roman"/>
          <w:color w:val="1A1A1A" w:themeColor="background1" w:themeShade="1A"/>
          <w:sz w:val="22"/>
          <w:szCs w:val="22"/>
          <w:lang w:val="en-GB"/>
        </w:rPr>
        <w:t>ToR</w:t>
      </w:r>
      <w:proofErr w:type="spellEnd"/>
      <w:r w:rsidRPr="000D2B36">
        <w:rPr>
          <w:rFonts w:ascii="Times New Roman" w:hAnsi="Times New Roman" w:cs="Times New Roman"/>
          <w:color w:val="1A1A1A" w:themeColor="background1" w:themeShade="1A"/>
          <w:sz w:val="22"/>
          <w:szCs w:val="22"/>
          <w:lang w:val="en-GB"/>
        </w:rPr>
        <w:t xml:space="preserve">. </w:t>
      </w:r>
      <w:r w:rsidRPr="000D2B36">
        <w:rPr>
          <w:rFonts w:ascii="Times New Roman" w:hAnsi="Times New Roman" w:cs="Times New Roman"/>
          <w:color w:val="1A1A1A" w:themeColor="background1" w:themeShade="1A"/>
          <w:sz w:val="22"/>
          <w:szCs w:val="22"/>
          <w:lang w:val="en-GB" w:eastAsia="nl-NL"/>
        </w:rPr>
        <w:t xml:space="preserve">To stimulate and support </w:t>
      </w:r>
      <w:r w:rsidRPr="000D2B36">
        <w:rPr>
          <w:rFonts w:ascii="Times New Roman" w:hAnsi="Times New Roman" w:cs="Times New Roman"/>
          <w:color w:val="1A1A1A" w:themeColor="background1" w:themeShade="1A"/>
          <w:sz w:val="22"/>
          <w:szCs w:val="22"/>
          <w:lang w:val="en-GB" w:eastAsia="nl-NL"/>
        </w:rPr>
        <w:lastRenderedPageBreak/>
        <w:t xml:space="preserve">the exchange of views, a discussion paper was uploaded to the ATCM forum (20 October 2021), which gave a short overview of existing information and raised one or more concrete questions for each of the first four </w:t>
      </w:r>
      <w:proofErr w:type="spellStart"/>
      <w:r w:rsidRPr="000D2B36">
        <w:rPr>
          <w:rFonts w:ascii="Times New Roman" w:hAnsi="Times New Roman" w:cs="Times New Roman"/>
          <w:color w:val="1A1A1A" w:themeColor="background1" w:themeShade="1A"/>
          <w:sz w:val="22"/>
          <w:szCs w:val="22"/>
          <w:lang w:val="en-GB" w:eastAsia="nl-NL"/>
        </w:rPr>
        <w:t>ToR</w:t>
      </w:r>
      <w:proofErr w:type="spellEnd"/>
      <w:r w:rsidRPr="000D2B36">
        <w:rPr>
          <w:rFonts w:ascii="Times New Roman" w:hAnsi="Times New Roman" w:cs="Times New Roman"/>
          <w:color w:val="1A1A1A" w:themeColor="background1" w:themeShade="1A"/>
          <w:sz w:val="22"/>
          <w:szCs w:val="22"/>
          <w:lang w:val="en-GB" w:eastAsia="nl-NL"/>
        </w:rPr>
        <w:t xml:space="preserve">-components. Based on a summary of all contributions and a short note by the convener (uploaded on 23 December 2021), a second round of discussions focused on a possible working definition of permanent facilities for tourism and other non-governmental activities and the (interrelated) question whether the ATCM should </w:t>
      </w:r>
      <w:proofErr w:type="gramStart"/>
      <w:r w:rsidRPr="000D2B36">
        <w:rPr>
          <w:rFonts w:ascii="Times New Roman" w:hAnsi="Times New Roman" w:cs="Times New Roman"/>
          <w:color w:val="1A1A1A" w:themeColor="background1" w:themeShade="1A"/>
          <w:sz w:val="22"/>
          <w:szCs w:val="22"/>
          <w:lang w:val="en-GB" w:eastAsia="nl-NL"/>
        </w:rPr>
        <w:t>take action</w:t>
      </w:r>
      <w:proofErr w:type="gramEnd"/>
      <w:r w:rsidRPr="000D2B36">
        <w:rPr>
          <w:rFonts w:ascii="Times New Roman" w:hAnsi="Times New Roman" w:cs="Times New Roman"/>
          <w:color w:val="1A1A1A" w:themeColor="background1" w:themeShade="1A"/>
          <w:sz w:val="22"/>
          <w:szCs w:val="22"/>
          <w:lang w:val="en-GB" w:eastAsia="nl-NL"/>
        </w:rPr>
        <w:t xml:space="preserve"> relating to future plans for such facilities. </w:t>
      </w:r>
    </w:p>
    <w:p w14:paraId="0C589251" w14:textId="77777777" w:rsidR="008E445B" w:rsidRPr="000D2B36" w:rsidRDefault="008E445B" w:rsidP="008E445B">
      <w:pPr>
        <w:pStyle w:val="Sinespaciado"/>
        <w:spacing w:line="276" w:lineRule="auto"/>
        <w:ind w:firstLine="708"/>
        <w:rPr>
          <w:rFonts w:ascii="Times New Roman" w:hAnsi="Times New Roman" w:cs="Times New Roman"/>
          <w:color w:val="1A1A1A" w:themeColor="background1" w:themeShade="1A"/>
          <w:sz w:val="22"/>
          <w:szCs w:val="22"/>
          <w:lang w:val="en-GB" w:eastAsia="nl-NL"/>
        </w:rPr>
      </w:pPr>
      <w:r w:rsidRPr="000D2B36">
        <w:rPr>
          <w:rFonts w:ascii="Times New Roman" w:hAnsi="Times New Roman" w:cs="Times New Roman"/>
          <w:color w:val="1A1A1A" w:themeColor="background1" w:themeShade="1A"/>
          <w:sz w:val="22"/>
          <w:szCs w:val="22"/>
          <w:lang w:val="en-GB" w:eastAsia="nl-NL"/>
        </w:rPr>
        <w:t xml:space="preserve">The ICG was characterised by a broad </w:t>
      </w:r>
      <w:r w:rsidRPr="00FB448A">
        <w:rPr>
          <w:rFonts w:ascii="Times New Roman" w:hAnsi="Times New Roman" w:cs="Times New Roman"/>
          <w:color w:val="1A1A1A" w:themeColor="background1" w:themeShade="1A"/>
          <w:sz w:val="22"/>
          <w:szCs w:val="22"/>
          <w:lang w:val="en-GB" w:eastAsia="nl-NL"/>
        </w:rPr>
        <w:t>participation (Argentina, Australia, Belgium, Chili, Finland, France, Germany, New Zealand, Norway, United Kingdom, United States of America, ASOC and IAATO)</w:t>
      </w:r>
      <w:r w:rsidRPr="000D2B36">
        <w:rPr>
          <w:rFonts w:ascii="Times New Roman" w:hAnsi="Times New Roman" w:cs="Times New Roman"/>
          <w:color w:val="1A1A1A" w:themeColor="background1" w:themeShade="1A"/>
          <w:sz w:val="22"/>
          <w:szCs w:val="22"/>
          <w:lang w:val="en-GB" w:eastAsia="nl-NL"/>
        </w:rPr>
        <w:t xml:space="preserve"> and very constructive discussions. </w:t>
      </w:r>
      <w:r w:rsidRPr="000D2B36">
        <w:rPr>
          <w:rFonts w:ascii="Times New Roman" w:hAnsi="Times New Roman" w:cs="Times New Roman"/>
          <w:iCs/>
          <w:color w:val="1A1A1A" w:themeColor="background1" w:themeShade="1A"/>
          <w:sz w:val="22"/>
          <w:szCs w:val="22"/>
          <w:lang w:val="en-GB"/>
        </w:rPr>
        <w:t xml:space="preserve">This report summarizes these discussions </w:t>
      </w:r>
      <w:r>
        <w:rPr>
          <w:rFonts w:ascii="Times New Roman" w:hAnsi="Times New Roman" w:cs="Times New Roman"/>
          <w:iCs/>
          <w:color w:val="1A1A1A" w:themeColor="background1" w:themeShade="1A"/>
          <w:sz w:val="22"/>
          <w:szCs w:val="22"/>
          <w:lang w:val="en-GB"/>
        </w:rPr>
        <w:t xml:space="preserve">and </w:t>
      </w:r>
      <w:r w:rsidRPr="00D469C0">
        <w:rPr>
          <w:rFonts w:ascii="Times New Roman" w:hAnsi="Times New Roman" w:cs="Times New Roman"/>
          <w:sz w:val="22"/>
          <w:szCs w:val="22"/>
          <w:lang w:val="en-GB"/>
        </w:rPr>
        <w:t>propose</w:t>
      </w:r>
      <w:r>
        <w:rPr>
          <w:rFonts w:ascii="Times New Roman" w:hAnsi="Times New Roman" w:cs="Times New Roman"/>
          <w:sz w:val="22"/>
          <w:szCs w:val="22"/>
          <w:lang w:val="en-GB"/>
        </w:rPr>
        <w:t>s</w:t>
      </w:r>
      <w:r w:rsidRPr="00D469C0">
        <w:rPr>
          <w:rFonts w:ascii="Times New Roman" w:hAnsi="Times New Roman" w:cs="Times New Roman"/>
          <w:sz w:val="22"/>
          <w:szCs w:val="22"/>
          <w:lang w:val="en-GB"/>
        </w:rPr>
        <w:t xml:space="preserve"> to continue </w:t>
      </w:r>
      <w:r>
        <w:rPr>
          <w:rFonts w:ascii="Times New Roman" w:hAnsi="Times New Roman" w:cs="Times New Roman"/>
          <w:sz w:val="22"/>
          <w:szCs w:val="22"/>
          <w:lang w:val="en-GB"/>
        </w:rPr>
        <w:t xml:space="preserve">the </w:t>
      </w:r>
      <w:r w:rsidRPr="00D469C0">
        <w:rPr>
          <w:rFonts w:ascii="Times New Roman" w:hAnsi="Times New Roman" w:cs="Times New Roman"/>
          <w:sz w:val="22"/>
          <w:szCs w:val="22"/>
          <w:lang w:val="en-GB"/>
        </w:rPr>
        <w:t>discussion</w:t>
      </w:r>
      <w:r>
        <w:rPr>
          <w:rFonts w:ascii="Times New Roman" w:hAnsi="Times New Roman" w:cs="Times New Roman"/>
          <w:sz w:val="22"/>
          <w:szCs w:val="22"/>
          <w:lang w:val="en-GB"/>
        </w:rPr>
        <w:t>s</w:t>
      </w:r>
      <w:r w:rsidRPr="00D469C0">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at </w:t>
      </w:r>
      <w:r w:rsidRPr="00D469C0">
        <w:rPr>
          <w:rFonts w:ascii="Times New Roman" w:hAnsi="Times New Roman" w:cs="Times New Roman"/>
          <w:sz w:val="22"/>
          <w:szCs w:val="22"/>
          <w:lang w:val="en-GB"/>
        </w:rPr>
        <w:t xml:space="preserve">ATCM </w:t>
      </w:r>
      <w:r>
        <w:rPr>
          <w:rFonts w:ascii="Times New Roman" w:hAnsi="Times New Roman" w:cs="Times New Roman"/>
          <w:sz w:val="22"/>
          <w:szCs w:val="22"/>
          <w:lang w:val="en-GB"/>
        </w:rPr>
        <w:t xml:space="preserve">XLIV </w:t>
      </w:r>
      <w:proofErr w:type="gramStart"/>
      <w:r w:rsidRPr="00D469C0">
        <w:rPr>
          <w:rFonts w:ascii="Times New Roman" w:hAnsi="Times New Roman" w:cs="Times New Roman"/>
          <w:sz w:val="22"/>
          <w:szCs w:val="22"/>
          <w:lang w:val="en-GB"/>
        </w:rPr>
        <w:t>on the basis of</w:t>
      </w:r>
      <w:proofErr w:type="gramEnd"/>
      <w:r w:rsidRPr="00D469C0">
        <w:rPr>
          <w:rFonts w:ascii="Times New Roman" w:hAnsi="Times New Roman" w:cs="Times New Roman"/>
          <w:sz w:val="22"/>
          <w:szCs w:val="22"/>
          <w:lang w:val="en-GB"/>
        </w:rPr>
        <w:t xml:space="preserve"> </w:t>
      </w:r>
      <w:r>
        <w:rPr>
          <w:rFonts w:ascii="Times New Roman" w:hAnsi="Times New Roman" w:cs="Times New Roman"/>
          <w:sz w:val="22"/>
          <w:szCs w:val="22"/>
          <w:lang w:val="en-GB"/>
        </w:rPr>
        <w:t>a</w:t>
      </w:r>
      <w:r w:rsidRPr="00D469C0">
        <w:rPr>
          <w:rFonts w:ascii="Times New Roman" w:hAnsi="Times New Roman" w:cs="Times New Roman"/>
          <w:sz w:val="22"/>
          <w:szCs w:val="22"/>
          <w:lang w:val="en-GB"/>
        </w:rPr>
        <w:t xml:space="preserve"> draft </w:t>
      </w:r>
      <w:r>
        <w:rPr>
          <w:rFonts w:ascii="Times New Roman" w:hAnsi="Times New Roman" w:cs="Times New Roman"/>
          <w:sz w:val="22"/>
          <w:szCs w:val="22"/>
          <w:lang w:val="en-GB"/>
        </w:rPr>
        <w:t>R</w:t>
      </w:r>
      <w:r w:rsidRPr="00D469C0">
        <w:rPr>
          <w:rFonts w:ascii="Times New Roman" w:hAnsi="Times New Roman" w:cs="Times New Roman"/>
          <w:sz w:val="22"/>
          <w:szCs w:val="22"/>
          <w:lang w:val="en-GB"/>
        </w:rPr>
        <w:t>esolution</w:t>
      </w:r>
      <w:r>
        <w:rPr>
          <w:rFonts w:ascii="Times New Roman" w:hAnsi="Times New Roman" w:cs="Times New Roman"/>
          <w:sz w:val="22"/>
          <w:szCs w:val="22"/>
          <w:lang w:val="en-GB"/>
        </w:rPr>
        <w:t xml:space="preserve"> text (see the last page of this WP).</w:t>
      </w:r>
    </w:p>
    <w:p w14:paraId="3CF1DDE8"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p>
    <w:p w14:paraId="25DAD4C4" w14:textId="77777777" w:rsidR="008E445B" w:rsidRPr="000D2B36" w:rsidRDefault="008E445B" w:rsidP="008E445B">
      <w:pPr>
        <w:pStyle w:val="Prrafodelista"/>
        <w:numPr>
          <w:ilvl w:val="0"/>
          <w:numId w:val="22"/>
        </w:numPr>
        <w:spacing w:line="276" w:lineRule="auto"/>
        <w:rPr>
          <w:b/>
          <w:color w:val="1A1A1A" w:themeColor="background1" w:themeShade="1A"/>
          <w:szCs w:val="22"/>
        </w:rPr>
      </w:pPr>
      <w:r w:rsidRPr="000D2B36">
        <w:rPr>
          <w:b/>
          <w:color w:val="1A1A1A" w:themeColor="background1" w:themeShade="1A"/>
          <w:szCs w:val="22"/>
        </w:rPr>
        <w:t>Past and present initiatives to establish permanent facilities for tourism and other non-governmental activities in Antarctica</w:t>
      </w:r>
    </w:p>
    <w:p w14:paraId="5721219E" w14:textId="77777777" w:rsidR="008E445B" w:rsidRPr="000D2B36" w:rsidRDefault="008E445B" w:rsidP="008E445B">
      <w:pPr>
        <w:spacing w:line="276" w:lineRule="auto"/>
        <w:rPr>
          <w:color w:val="1A1A1A" w:themeColor="background1" w:themeShade="1A"/>
          <w:szCs w:val="22"/>
        </w:rPr>
      </w:pPr>
    </w:p>
    <w:p w14:paraId="2D139001" w14:textId="77777777" w:rsidR="008E445B" w:rsidRPr="000D2B36" w:rsidRDefault="008E445B" w:rsidP="008E445B">
      <w:pPr>
        <w:spacing w:line="276" w:lineRule="auto"/>
        <w:rPr>
          <w:i/>
          <w:color w:val="1A1A1A" w:themeColor="background1" w:themeShade="1A"/>
          <w:szCs w:val="22"/>
        </w:rPr>
      </w:pPr>
      <w:r w:rsidRPr="000D2B36">
        <w:rPr>
          <w:i/>
          <w:color w:val="1A1A1A" w:themeColor="background1" w:themeShade="1A"/>
          <w:szCs w:val="22"/>
        </w:rPr>
        <w:t>2.1 Plans which never materialised</w:t>
      </w:r>
    </w:p>
    <w:p w14:paraId="62883587" w14:textId="77777777" w:rsidR="008E445B" w:rsidRPr="000D2B36" w:rsidRDefault="008E445B" w:rsidP="008E445B">
      <w:pPr>
        <w:spacing w:line="276" w:lineRule="auto"/>
        <w:rPr>
          <w:color w:val="1A1A1A" w:themeColor="background1" w:themeShade="1A"/>
          <w:szCs w:val="22"/>
        </w:rPr>
      </w:pPr>
    </w:p>
    <w:p w14:paraId="1E7A5A9B" w14:textId="77777777" w:rsidR="008E445B" w:rsidRPr="000D2B36" w:rsidRDefault="008E445B" w:rsidP="008E445B">
      <w:pPr>
        <w:spacing w:line="276" w:lineRule="auto"/>
        <w:rPr>
          <w:color w:val="1A1A1A" w:themeColor="background1" w:themeShade="1A"/>
          <w:szCs w:val="22"/>
        </w:rPr>
      </w:pPr>
      <w:r w:rsidRPr="000D2B36">
        <w:rPr>
          <w:color w:val="1A1A1A" w:themeColor="background1" w:themeShade="1A"/>
          <w:szCs w:val="22"/>
        </w:rPr>
        <w:t xml:space="preserve">Examples of (plans for) facilities that have been considered permanent facilities for Antarctic tourism include a plan of Lars Erik Lindblad (1974) to lease Cape Hallett station in the Ross Sea region (capacity: 60 people) and a plan of Rhode and partners (1989) to establish ‘Project Oasis’, a joint science and tourism facility in the Vestfold Hills with an envisaged capacity of 344 tourists, 70 scientist and 174 staff. These plans have never materialised. </w:t>
      </w:r>
    </w:p>
    <w:p w14:paraId="56F2A8A0" w14:textId="77777777" w:rsidR="008E445B" w:rsidRPr="000D2B36" w:rsidRDefault="008E445B" w:rsidP="008E445B">
      <w:pPr>
        <w:spacing w:line="276" w:lineRule="auto"/>
        <w:rPr>
          <w:color w:val="1A1A1A" w:themeColor="background1" w:themeShade="1A"/>
          <w:szCs w:val="22"/>
        </w:rPr>
      </w:pPr>
    </w:p>
    <w:p w14:paraId="363BE46F" w14:textId="77777777" w:rsidR="008E445B" w:rsidRPr="000D2B36" w:rsidRDefault="008E445B" w:rsidP="008E445B">
      <w:pPr>
        <w:spacing w:line="276" w:lineRule="auto"/>
        <w:rPr>
          <w:i/>
          <w:color w:val="1A1A1A" w:themeColor="background1" w:themeShade="1A"/>
          <w:szCs w:val="22"/>
        </w:rPr>
      </w:pPr>
      <w:r w:rsidRPr="000D2B36">
        <w:rPr>
          <w:i/>
          <w:color w:val="1A1A1A" w:themeColor="background1" w:themeShade="1A"/>
          <w:szCs w:val="22"/>
        </w:rPr>
        <w:t>2.2 Past and existing facilities</w:t>
      </w:r>
    </w:p>
    <w:p w14:paraId="32B735CA"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rPr>
      </w:pPr>
    </w:p>
    <w:p w14:paraId="39975A74" w14:textId="77777777" w:rsidR="008E445B" w:rsidRPr="000D2B36" w:rsidRDefault="008E445B" w:rsidP="008E445B">
      <w:pPr>
        <w:pStyle w:val="Sinespaciado"/>
        <w:spacing w:line="276" w:lineRule="auto"/>
        <w:rPr>
          <w:rFonts w:ascii="Times New Roman" w:eastAsia="Times New Roman" w:hAnsi="Times New Roman" w:cs="Times New Roman"/>
          <w:color w:val="1A1A1A" w:themeColor="background1" w:themeShade="1A"/>
          <w:sz w:val="22"/>
          <w:szCs w:val="22"/>
          <w:lang w:val="en-GB" w:eastAsia="nl-NL"/>
        </w:rPr>
      </w:pPr>
      <w:r w:rsidRPr="000D2B36">
        <w:rPr>
          <w:rFonts w:ascii="Times New Roman" w:hAnsi="Times New Roman" w:cs="Times New Roman"/>
          <w:color w:val="1A1A1A" w:themeColor="background1" w:themeShade="1A"/>
          <w:sz w:val="22"/>
          <w:szCs w:val="22"/>
          <w:lang w:val="en-GB"/>
        </w:rPr>
        <w:t>Some overviews of facilities that could be considered permanent facilities for tourism have been established and tabled at previous ATCM,</w:t>
      </w:r>
      <w:r w:rsidRPr="000D2B36">
        <w:rPr>
          <w:rStyle w:val="Refdenotaalpie"/>
          <w:rFonts w:ascii="Times New Roman" w:hAnsi="Times New Roman" w:cs="Times New Roman"/>
          <w:color w:val="1A1A1A" w:themeColor="background1" w:themeShade="1A"/>
          <w:sz w:val="22"/>
          <w:szCs w:val="22"/>
          <w:lang w:val="en-GB"/>
        </w:rPr>
        <w:footnoteReference w:id="2"/>
      </w:r>
      <w:r w:rsidRPr="000D2B36">
        <w:rPr>
          <w:rFonts w:ascii="Times New Roman" w:hAnsi="Times New Roman" w:cs="Times New Roman"/>
          <w:color w:val="1A1A1A" w:themeColor="background1" w:themeShade="1A"/>
          <w:sz w:val="22"/>
          <w:szCs w:val="22"/>
          <w:lang w:val="en-GB"/>
        </w:rPr>
        <w:t xml:space="preserve"> although such inventories depend on the definition used (see below). Initiatives at a small scale that have been implemented, includes the E(</w:t>
      </w:r>
      <w:proofErr w:type="spellStart"/>
      <w:r w:rsidRPr="000D2B36">
        <w:rPr>
          <w:rFonts w:ascii="Times New Roman" w:hAnsi="Times New Roman" w:cs="Times New Roman"/>
          <w:color w:val="1A1A1A" w:themeColor="background1" w:themeShade="1A"/>
          <w:sz w:val="22"/>
          <w:szCs w:val="22"/>
          <w:lang w:val="en-GB"/>
        </w:rPr>
        <w:t>ducational</w:t>
      </w:r>
      <w:proofErr w:type="spellEnd"/>
      <w:r w:rsidRPr="000D2B36">
        <w:rPr>
          <w:rFonts w:ascii="Times New Roman" w:hAnsi="Times New Roman" w:cs="Times New Roman"/>
          <w:color w:val="1A1A1A" w:themeColor="background1" w:themeShade="1A"/>
          <w:sz w:val="22"/>
          <w:szCs w:val="22"/>
          <w:lang w:val="en-GB"/>
        </w:rPr>
        <w:t xml:space="preserve">)-Base by Robert Swan’s organisation ‘2041’. </w:t>
      </w:r>
      <w:r>
        <w:rPr>
          <w:rFonts w:ascii="Times New Roman" w:hAnsi="Times New Roman" w:cs="Times New Roman"/>
          <w:color w:val="1A1A1A" w:themeColor="background1" w:themeShade="1A"/>
          <w:sz w:val="22"/>
          <w:szCs w:val="22"/>
          <w:lang w:val="en-GB"/>
        </w:rPr>
        <w:t>One participant</w:t>
      </w:r>
      <w:r w:rsidRPr="000D2B36">
        <w:rPr>
          <w:rFonts w:ascii="Times New Roman" w:hAnsi="Times New Roman" w:cs="Times New Roman"/>
          <w:color w:val="1A1A1A" w:themeColor="background1" w:themeShade="1A"/>
          <w:sz w:val="22"/>
          <w:szCs w:val="22"/>
          <w:lang w:val="en-GB"/>
        </w:rPr>
        <w:t xml:space="preserve"> added that - although not for tourism – “the Greenpeace Station on Ross Island, albeit carefully planned and removed, is an additional NGO facility” and that “[t]here are some modules on King George Island which are only utilised by DAP logistics staff.” During the ICG discussions it was noted that </w:t>
      </w:r>
      <w:r w:rsidRPr="000D2B36">
        <w:rPr>
          <w:rFonts w:ascii="Times New Roman" w:eastAsia="Times New Roman" w:hAnsi="Times New Roman" w:cs="Times New Roman"/>
          <w:color w:val="1A1A1A" w:themeColor="background1" w:themeShade="1A"/>
          <w:sz w:val="22"/>
          <w:szCs w:val="22"/>
          <w:lang w:val="en-GB" w:eastAsia="nl-NL"/>
        </w:rPr>
        <w:t>it might be useful to commission an inventory of “existing infrastructure used for tourism purposes, to any degree, already in Antarctica (permanent or in Antarctica temporarily, but for more than a single season).”</w:t>
      </w:r>
    </w:p>
    <w:p w14:paraId="7E75E655" w14:textId="77777777" w:rsidR="008E445B" w:rsidRPr="000D2B36" w:rsidRDefault="008E445B" w:rsidP="008E445B">
      <w:pPr>
        <w:spacing w:line="276" w:lineRule="auto"/>
        <w:rPr>
          <w:color w:val="1A1A1A" w:themeColor="background1" w:themeShade="1A"/>
          <w:szCs w:val="22"/>
        </w:rPr>
      </w:pPr>
    </w:p>
    <w:p w14:paraId="0C12550D" w14:textId="77777777" w:rsidR="008E445B" w:rsidRPr="000D2B36" w:rsidRDefault="008E445B" w:rsidP="008E445B">
      <w:pPr>
        <w:spacing w:line="276" w:lineRule="auto"/>
        <w:rPr>
          <w:i/>
          <w:color w:val="1A1A1A" w:themeColor="background1" w:themeShade="1A"/>
          <w:szCs w:val="22"/>
        </w:rPr>
      </w:pPr>
      <w:r w:rsidRPr="000D2B36">
        <w:rPr>
          <w:i/>
          <w:color w:val="1A1A1A" w:themeColor="background1" w:themeShade="1A"/>
          <w:szCs w:val="22"/>
        </w:rPr>
        <w:t>2.3 Recent new plans</w:t>
      </w:r>
    </w:p>
    <w:p w14:paraId="3655851A" w14:textId="77777777" w:rsidR="008E445B" w:rsidRPr="000D2B36" w:rsidRDefault="008E445B" w:rsidP="008E445B">
      <w:pPr>
        <w:spacing w:line="276" w:lineRule="auto"/>
        <w:rPr>
          <w:color w:val="1A1A1A" w:themeColor="background1" w:themeShade="1A"/>
          <w:szCs w:val="22"/>
        </w:rPr>
      </w:pPr>
    </w:p>
    <w:p w14:paraId="09E004D3" w14:textId="77777777" w:rsidR="008E445B" w:rsidRPr="000D2B36" w:rsidRDefault="008E445B" w:rsidP="008E445B">
      <w:pPr>
        <w:spacing w:line="276" w:lineRule="auto"/>
        <w:rPr>
          <w:color w:val="1A1A1A" w:themeColor="background1" w:themeShade="1A"/>
          <w:szCs w:val="22"/>
        </w:rPr>
      </w:pPr>
      <w:r w:rsidRPr="000D2B36">
        <w:rPr>
          <w:color w:val="1A1A1A" w:themeColor="background1" w:themeShade="1A"/>
          <w:szCs w:val="22"/>
        </w:rPr>
        <w:t xml:space="preserve">Based on a previous investigation “through their networks with non-IAATO Operators and potential future Operators”, </w:t>
      </w:r>
      <w:r>
        <w:rPr>
          <w:color w:val="1A1A1A" w:themeColor="background1" w:themeShade="1A"/>
          <w:szCs w:val="22"/>
        </w:rPr>
        <w:t>one participant</w:t>
      </w:r>
      <w:r w:rsidRPr="000D2B36">
        <w:rPr>
          <w:color w:val="1A1A1A" w:themeColor="background1" w:themeShade="1A"/>
          <w:szCs w:val="22"/>
        </w:rPr>
        <w:t xml:space="preserve"> stated that “it does not appear there has been any serious interest in permanent facility development specifically for tourism.” However, recently some initiatives have been developed.  In Belgium a proposal was recently developed with the title ‘The Andromeda Project’. The project, initiated by the Belgium non-governmental ‘International Polar Foundation’, is presented as a new facility for science and education and is referred to as the first Antarctic University. The facility would be established near the Belgium </w:t>
      </w:r>
      <w:r w:rsidRPr="000D2B36">
        <w:rPr>
          <w:color w:val="1A1A1A" w:themeColor="background1" w:themeShade="1A"/>
          <w:szCs w:val="22"/>
        </w:rPr>
        <w:lastRenderedPageBreak/>
        <w:t xml:space="preserve">Princess Elisabeth Station. The expected revenue for flights and visits exceeds 20 million Euro in 2030 (Brochure of the International Polar Foundation, ‘The Andromeda Project’, 2020). </w:t>
      </w:r>
    </w:p>
    <w:p w14:paraId="7225C5FA" w14:textId="77777777" w:rsidR="008E445B" w:rsidRPr="000D2B36" w:rsidRDefault="008E445B" w:rsidP="008E445B">
      <w:pPr>
        <w:spacing w:line="276" w:lineRule="auto"/>
        <w:ind w:firstLine="708"/>
        <w:rPr>
          <w:color w:val="1A1A1A" w:themeColor="background1" w:themeShade="1A"/>
          <w:szCs w:val="22"/>
          <w:lang w:eastAsia="nl-NL"/>
        </w:rPr>
      </w:pPr>
      <w:r w:rsidRPr="000D2B36">
        <w:rPr>
          <w:color w:val="1A1A1A" w:themeColor="background1" w:themeShade="1A"/>
          <w:szCs w:val="22"/>
          <w:lang w:eastAsia="nl-NL"/>
        </w:rPr>
        <w:t xml:space="preserve">Furthermore, one participant in the ICG shared that in 2016 a proposal was received from a company for the construction of tourist facilities near </w:t>
      </w:r>
      <w:proofErr w:type="spellStart"/>
      <w:r w:rsidRPr="000D2B36">
        <w:rPr>
          <w:color w:val="1A1A1A" w:themeColor="background1" w:themeShade="1A"/>
          <w:szCs w:val="22"/>
          <w:lang w:eastAsia="nl-NL"/>
        </w:rPr>
        <w:t>Marambio</w:t>
      </w:r>
      <w:proofErr w:type="spellEnd"/>
      <w:r w:rsidRPr="000D2B36">
        <w:rPr>
          <w:color w:val="1A1A1A" w:themeColor="background1" w:themeShade="1A"/>
          <w:szCs w:val="22"/>
          <w:lang w:eastAsia="nl-NL"/>
        </w:rPr>
        <w:t xml:space="preserve"> station, a proposal that was rejected by the national authorities. </w:t>
      </w:r>
    </w:p>
    <w:p w14:paraId="2E28F1EC" w14:textId="77777777" w:rsidR="008E445B" w:rsidRPr="000D2B36" w:rsidRDefault="008E445B" w:rsidP="008E445B">
      <w:pPr>
        <w:spacing w:line="276" w:lineRule="auto"/>
        <w:ind w:firstLine="708"/>
        <w:rPr>
          <w:color w:val="1A1A1A" w:themeColor="background1" w:themeShade="1A"/>
          <w:szCs w:val="22"/>
        </w:rPr>
      </w:pPr>
      <w:r w:rsidRPr="000D2B36">
        <w:rPr>
          <w:color w:val="1A1A1A" w:themeColor="background1" w:themeShade="1A"/>
          <w:szCs w:val="22"/>
          <w:lang w:eastAsia="nl-NL"/>
        </w:rPr>
        <w:t xml:space="preserve">This information is of great value for the ICG discussions as it shows </w:t>
      </w:r>
      <w:r w:rsidRPr="000D2B36">
        <w:rPr>
          <w:color w:val="1A1A1A" w:themeColor="background1" w:themeShade="1A"/>
          <w:szCs w:val="22"/>
        </w:rPr>
        <w:t>that plans for permanent facilities for tourism or other non-governmental activities in Antarctica are not just theoretical. Importantly, some participants highlighted that the fact that it seems that to a large extent we are still ahead of the curve provides a good window of opportunity for action, prior to additional proposals and actual implementation of such plans.</w:t>
      </w:r>
    </w:p>
    <w:p w14:paraId="73D5A600" w14:textId="77777777" w:rsidR="008E445B" w:rsidRPr="000D2B36" w:rsidRDefault="008E445B" w:rsidP="008E445B">
      <w:pPr>
        <w:spacing w:line="276" w:lineRule="auto"/>
        <w:contextualSpacing/>
        <w:jc w:val="both"/>
        <w:rPr>
          <w:b/>
          <w:color w:val="1A1A1A" w:themeColor="background1" w:themeShade="1A"/>
          <w:szCs w:val="22"/>
        </w:rPr>
      </w:pPr>
    </w:p>
    <w:p w14:paraId="664E41D6" w14:textId="77777777" w:rsidR="008E445B" w:rsidRPr="000D2B36" w:rsidRDefault="008E445B" w:rsidP="008E445B">
      <w:pPr>
        <w:pStyle w:val="Sinespaciado"/>
        <w:numPr>
          <w:ilvl w:val="0"/>
          <w:numId w:val="22"/>
        </w:numPr>
        <w:spacing w:line="276" w:lineRule="auto"/>
        <w:rPr>
          <w:rFonts w:ascii="Times New Roman" w:hAnsi="Times New Roman" w:cs="Times New Roman"/>
          <w:b/>
          <w:color w:val="1A1A1A" w:themeColor="background1" w:themeShade="1A"/>
          <w:sz w:val="22"/>
          <w:szCs w:val="22"/>
          <w:lang w:val="en-GB" w:eastAsia="nl-NL"/>
        </w:rPr>
      </w:pPr>
      <w:r w:rsidRPr="000D2B36">
        <w:rPr>
          <w:rFonts w:ascii="Times New Roman" w:hAnsi="Times New Roman" w:cs="Times New Roman"/>
          <w:b/>
          <w:color w:val="1A1A1A" w:themeColor="background1" w:themeShade="1A"/>
          <w:sz w:val="22"/>
          <w:szCs w:val="22"/>
          <w:lang w:val="en-GB"/>
        </w:rPr>
        <w:t>Working definition</w:t>
      </w:r>
    </w:p>
    <w:p w14:paraId="6340A80D" w14:textId="77777777" w:rsidR="008E445B" w:rsidRPr="000D2B36" w:rsidRDefault="008E445B" w:rsidP="008E445B">
      <w:pPr>
        <w:spacing w:line="276" w:lineRule="auto"/>
        <w:rPr>
          <w:color w:val="1A1A1A" w:themeColor="background1" w:themeShade="1A"/>
          <w:szCs w:val="22"/>
          <w:lang w:eastAsia="nl-NL"/>
        </w:rPr>
      </w:pPr>
    </w:p>
    <w:p w14:paraId="427BD77C" w14:textId="77777777" w:rsidR="008E445B" w:rsidRPr="000D2B36" w:rsidRDefault="008E445B" w:rsidP="008E445B">
      <w:pPr>
        <w:spacing w:line="276" w:lineRule="auto"/>
        <w:rPr>
          <w:color w:val="1A1A1A" w:themeColor="background1" w:themeShade="1A"/>
          <w:szCs w:val="22"/>
          <w:lang w:eastAsia="nl-NL"/>
        </w:rPr>
      </w:pPr>
      <w:r w:rsidRPr="000D2B36">
        <w:rPr>
          <w:color w:val="1A1A1A" w:themeColor="background1" w:themeShade="1A"/>
          <w:szCs w:val="22"/>
          <w:lang w:eastAsia="nl-NL"/>
        </w:rPr>
        <w:t>In the first round of discussions, most participants in the ICG considered a definition desirable or needed to ensure clear and focused discussions and/or to provide clarity on the scope of any future ATCM policy response. Several participants stated that it might be difficult to reach consensus on a definition, however, it was suggested that the adoption of a working definition could facilitate further discussions “</w:t>
      </w:r>
      <w:r w:rsidRPr="000D2B36">
        <w:rPr>
          <w:color w:val="1A1A1A" w:themeColor="background1" w:themeShade="1A"/>
          <w:szCs w:val="22"/>
        </w:rPr>
        <w:t xml:space="preserve">without prejudice to any future definition that might be required for policy or regulatory purposes.” </w:t>
      </w:r>
      <w:r w:rsidRPr="000D2B36">
        <w:rPr>
          <w:color w:val="1A1A1A" w:themeColor="background1" w:themeShade="1A"/>
          <w:szCs w:val="22"/>
          <w:lang w:eastAsia="nl-NL"/>
        </w:rPr>
        <w:t>Based on the views expressed in the first round of the ICG, the convener proposed the following working definition for round II:</w:t>
      </w:r>
    </w:p>
    <w:p w14:paraId="240684F1" w14:textId="77777777" w:rsidR="008E445B" w:rsidRPr="000D2B36" w:rsidRDefault="008E445B" w:rsidP="008E445B">
      <w:pPr>
        <w:spacing w:line="276" w:lineRule="auto"/>
        <w:rPr>
          <w:color w:val="1A1A1A" w:themeColor="background1" w:themeShade="1A"/>
          <w:szCs w:val="22"/>
        </w:rPr>
      </w:pPr>
    </w:p>
    <w:p w14:paraId="2926E3AD" w14:textId="77777777" w:rsidR="008E445B" w:rsidRPr="000D2B36" w:rsidRDefault="008E445B" w:rsidP="008E445B">
      <w:pPr>
        <w:pStyle w:val="Sinespaciado"/>
        <w:spacing w:line="276" w:lineRule="auto"/>
        <w:ind w:left="360"/>
        <w:rPr>
          <w:rFonts w:ascii="Times New Roman" w:hAnsi="Times New Roman" w:cs="Times New Roman"/>
          <w:i/>
          <w:color w:val="1A1A1A" w:themeColor="background1" w:themeShade="1A"/>
          <w:sz w:val="22"/>
          <w:szCs w:val="22"/>
          <w:lang w:val="en-GB"/>
        </w:rPr>
      </w:pPr>
      <w:r w:rsidRPr="000D2B36">
        <w:rPr>
          <w:rFonts w:ascii="Times New Roman" w:hAnsi="Times New Roman" w:cs="Times New Roman"/>
          <w:i/>
          <w:color w:val="1A1A1A" w:themeColor="background1" w:themeShade="1A"/>
          <w:sz w:val="22"/>
          <w:szCs w:val="22"/>
          <w:lang w:val="en-GB"/>
        </w:rPr>
        <w:t>“Permanent infrastructure” comprises any structure or facility in Antarctica:</w:t>
      </w:r>
    </w:p>
    <w:p w14:paraId="53F91A52" w14:textId="77777777" w:rsidR="008E445B" w:rsidRPr="000D2B36" w:rsidRDefault="008E445B" w:rsidP="008E445B">
      <w:pPr>
        <w:pStyle w:val="Sinespaciado"/>
        <w:numPr>
          <w:ilvl w:val="0"/>
          <w:numId w:val="21"/>
        </w:numPr>
        <w:spacing w:line="276" w:lineRule="auto"/>
        <w:ind w:left="1080"/>
        <w:rPr>
          <w:rFonts w:ascii="Times New Roman" w:hAnsi="Times New Roman" w:cs="Times New Roman"/>
          <w:i/>
          <w:color w:val="1A1A1A" w:themeColor="background1" w:themeShade="1A"/>
          <w:sz w:val="22"/>
          <w:szCs w:val="22"/>
          <w:lang w:val="en-GB"/>
        </w:rPr>
      </w:pPr>
      <w:r w:rsidRPr="000D2B36">
        <w:rPr>
          <w:rFonts w:ascii="Times New Roman" w:hAnsi="Times New Roman" w:cs="Times New Roman"/>
          <w:i/>
          <w:color w:val="1A1A1A" w:themeColor="background1" w:themeShade="1A"/>
          <w:sz w:val="22"/>
          <w:szCs w:val="22"/>
          <w:lang w:val="en-GB"/>
        </w:rPr>
        <w:t xml:space="preserve">intended to serve tourism or other non-governmental activities, </w:t>
      </w:r>
    </w:p>
    <w:p w14:paraId="167397A7" w14:textId="77777777" w:rsidR="008E445B" w:rsidRPr="000D2B36" w:rsidRDefault="008E445B" w:rsidP="008E445B">
      <w:pPr>
        <w:pStyle w:val="Sinespaciado"/>
        <w:numPr>
          <w:ilvl w:val="0"/>
          <w:numId w:val="21"/>
        </w:numPr>
        <w:spacing w:line="276" w:lineRule="auto"/>
        <w:ind w:left="1080"/>
        <w:rPr>
          <w:rFonts w:ascii="Times New Roman" w:hAnsi="Times New Roman" w:cs="Times New Roman"/>
          <w:i/>
          <w:color w:val="1A1A1A" w:themeColor="background1" w:themeShade="1A"/>
          <w:sz w:val="22"/>
          <w:szCs w:val="22"/>
          <w:lang w:val="en-GB"/>
        </w:rPr>
      </w:pPr>
      <w:r w:rsidRPr="000D2B36">
        <w:rPr>
          <w:rFonts w:ascii="Times New Roman" w:hAnsi="Times New Roman" w:cs="Times New Roman"/>
          <w:i/>
          <w:color w:val="1A1A1A" w:themeColor="background1" w:themeShade="1A"/>
          <w:sz w:val="22"/>
          <w:szCs w:val="22"/>
          <w:lang w:val="en-GB"/>
        </w:rPr>
        <w:t>intended to be in place for longer than one Antarctic season, and</w:t>
      </w:r>
    </w:p>
    <w:p w14:paraId="6B8DAFAA" w14:textId="77777777" w:rsidR="008E445B" w:rsidRPr="000D2B36" w:rsidRDefault="008E445B" w:rsidP="008E445B">
      <w:pPr>
        <w:pStyle w:val="Sinespaciado"/>
        <w:numPr>
          <w:ilvl w:val="0"/>
          <w:numId w:val="21"/>
        </w:numPr>
        <w:spacing w:line="276" w:lineRule="auto"/>
        <w:ind w:left="1080"/>
        <w:rPr>
          <w:rFonts w:ascii="Times New Roman" w:hAnsi="Times New Roman" w:cs="Times New Roman"/>
          <w:i/>
          <w:color w:val="1A1A1A" w:themeColor="background1" w:themeShade="1A"/>
          <w:sz w:val="22"/>
          <w:szCs w:val="22"/>
          <w:lang w:val="en-GB"/>
        </w:rPr>
      </w:pPr>
      <w:r w:rsidRPr="000D2B36">
        <w:rPr>
          <w:rFonts w:ascii="Times New Roman" w:hAnsi="Times New Roman" w:cs="Times New Roman"/>
          <w:i/>
          <w:color w:val="1A1A1A" w:themeColor="background1" w:themeShade="1A"/>
          <w:sz w:val="22"/>
          <w:szCs w:val="22"/>
          <w:lang w:val="en-GB"/>
        </w:rPr>
        <w:t>[impossible or infeasible to decommission without a permanent physical or environmental impact],</w:t>
      </w:r>
    </w:p>
    <w:p w14:paraId="35991055" w14:textId="77777777" w:rsidR="008E445B" w:rsidRPr="000D2B36" w:rsidRDefault="008E445B" w:rsidP="008E445B">
      <w:pPr>
        <w:pStyle w:val="Sinespaciado"/>
        <w:numPr>
          <w:ilvl w:val="0"/>
          <w:numId w:val="21"/>
        </w:numPr>
        <w:spacing w:line="276" w:lineRule="auto"/>
        <w:ind w:left="1080"/>
        <w:rPr>
          <w:rFonts w:ascii="Times New Roman" w:hAnsi="Times New Roman" w:cs="Times New Roman"/>
          <w:i/>
          <w:color w:val="1A1A1A" w:themeColor="background1" w:themeShade="1A"/>
          <w:sz w:val="22"/>
          <w:szCs w:val="22"/>
          <w:lang w:val="en-GB"/>
        </w:rPr>
      </w:pPr>
      <w:r w:rsidRPr="000D2B36">
        <w:rPr>
          <w:rFonts w:ascii="Times New Roman" w:eastAsia="Times New Roman" w:hAnsi="Times New Roman" w:cs="Times New Roman"/>
          <w:i/>
          <w:color w:val="1A1A1A" w:themeColor="background1" w:themeShade="1A"/>
          <w:sz w:val="22"/>
          <w:szCs w:val="22"/>
          <w:lang w:val="en-GB" w:eastAsia="nl-NL"/>
        </w:rPr>
        <w:t xml:space="preserve">including, for instance, </w:t>
      </w:r>
      <w:r w:rsidRPr="000D2B36">
        <w:rPr>
          <w:rFonts w:ascii="Times New Roman" w:hAnsi="Times New Roman" w:cs="Times New Roman"/>
          <w:i/>
          <w:color w:val="1A1A1A" w:themeColor="background1" w:themeShade="1A"/>
          <w:sz w:val="22"/>
          <w:szCs w:val="22"/>
          <w:lang w:val="en-GB"/>
        </w:rPr>
        <w:t>buildings, storage facilities, wharves and jetties, and runways, and</w:t>
      </w:r>
    </w:p>
    <w:p w14:paraId="4C146538" w14:textId="77777777" w:rsidR="008E445B" w:rsidRPr="000D2B36" w:rsidRDefault="008E445B" w:rsidP="008E445B">
      <w:pPr>
        <w:pStyle w:val="Sinespaciado"/>
        <w:numPr>
          <w:ilvl w:val="0"/>
          <w:numId w:val="21"/>
        </w:numPr>
        <w:spacing w:line="276" w:lineRule="auto"/>
        <w:ind w:left="1080"/>
        <w:rPr>
          <w:rFonts w:ascii="Times New Roman" w:eastAsia="Times New Roman" w:hAnsi="Times New Roman" w:cs="Times New Roman"/>
          <w:i/>
          <w:color w:val="1A1A1A" w:themeColor="background1" w:themeShade="1A"/>
          <w:sz w:val="22"/>
          <w:szCs w:val="22"/>
          <w:lang w:val="en-GB" w:eastAsia="nl-NL"/>
        </w:rPr>
      </w:pPr>
      <w:r w:rsidRPr="000D2B36">
        <w:rPr>
          <w:rFonts w:ascii="Times New Roman" w:hAnsi="Times New Roman" w:cs="Times New Roman"/>
          <w:i/>
          <w:color w:val="1A1A1A" w:themeColor="background1" w:themeShade="1A"/>
          <w:sz w:val="22"/>
          <w:szCs w:val="22"/>
          <w:lang w:val="en-GB"/>
        </w:rPr>
        <w:t>excluding:</w:t>
      </w:r>
    </w:p>
    <w:p w14:paraId="457BF51A" w14:textId="77777777" w:rsidR="008E445B" w:rsidRPr="000D2B36" w:rsidRDefault="008E445B" w:rsidP="008E445B">
      <w:pPr>
        <w:pStyle w:val="Sinespaciado"/>
        <w:numPr>
          <w:ilvl w:val="1"/>
          <w:numId w:val="21"/>
        </w:numPr>
        <w:spacing w:line="276" w:lineRule="auto"/>
        <w:ind w:left="1800"/>
        <w:rPr>
          <w:rFonts w:ascii="Times New Roman" w:eastAsia="Times New Roman" w:hAnsi="Times New Roman" w:cs="Times New Roman"/>
          <w:i/>
          <w:color w:val="1A1A1A" w:themeColor="background1" w:themeShade="1A"/>
          <w:sz w:val="22"/>
          <w:szCs w:val="22"/>
          <w:lang w:val="en-GB" w:eastAsia="nl-NL"/>
        </w:rPr>
      </w:pPr>
      <w:r w:rsidRPr="000D2B36">
        <w:rPr>
          <w:rFonts w:ascii="Times New Roman" w:eastAsia="Times New Roman" w:hAnsi="Times New Roman" w:cs="Times New Roman"/>
          <w:i/>
          <w:color w:val="1A1A1A" w:themeColor="background1" w:themeShade="1A"/>
          <w:sz w:val="22"/>
          <w:szCs w:val="22"/>
          <w:lang w:val="en-GB" w:eastAsia="nl-NL"/>
        </w:rPr>
        <w:t>[existing] small scale infrastructure operated by a National Antarctic Program for education and outreach purposes, which does not imply a change to the currently existing type of tourism (on-board, self-sustained, with disembarkation only for short visits), and</w:t>
      </w:r>
    </w:p>
    <w:p w14:paraId="3F76C588" w14:textId="77777777" w:rsidR="008E445B" w:rsidRPr="000D2B36" w:rsidRDefault="008E445B" w:rsidP="008E445B">
      <w:pPr>
        <w:pStyle w:val="Sinespaciado"/>
        <w:numPr>
          <w:ilvl w:val="1"/>
          <w:numId w:val="21"/>
        </w:numPr>
        <w:spacing w:line="276" w:lineRule="auto"/>
        <w:ind w:left="1800"/>
        <w:rPr>
          <w:rFonts w:ascii="Times New Roman" w:eastAsia="Times New Roman" w:hAnsi="Times New Roman" w:cs="Times New Roman"/>
          <w:i/>
          <w:color w:val="1A1A1A" w:themeColor="background1" w:themeShade="1A"/>
          <w:sz w:val="22"/>
          <w:szCs w:val="22"/>
          <w:lang w:val="en-GB" w:eastAsia="nl-NL"/>
        </w:rPr>
      </w:pPr>
      <w:r w:rsidRPr="000D2B36">
        <w:rPr>
          <w:rFonts w:ascii="Times New Roman" w:eastAsia="Times New Roman" w:hAnsi="Times New Roman" w:cs="Times New Roman"/>
          <w:i/>
          <w:color w:val="1A1A1A" w:themeColor="background1" w:themeShade="1A"/>
          <w:sz w:val="22"/>
          <w:szCs w:val="22"/>
          <w:lang w:val="en-GB" w:eastAsia="nl-NL"/>
        </w:rPr>
        <w:t>Historic Sites and Monuments listed under Annex V to the Protocol.”</w:t>
      </w:r>
    </w:p>
    <w:p w14:paraId="4A84B923" w14:textId="77777777" w:rsidR="008E445B" w:rsidRPr="000D2B36" w:rsidRDefault="008E445B" w:rsidP="008E445B">
      <w:pPr>
        <w:spacing w:line="276" w:lineRule="auto"/>
        <w:rPr>
          <w:color w:val="1A1A1A" w:themeColor="background1" w:themeShade="1A"/>
          <w:szCs w:val="22"/>
          <w:shd w:val="clear" w:color="auto" w:fill="ECF3F7"/>
          <w:lang w:eastAsia="nl-NL"/>
        </w:rPr>
      </w:pPr>
    </w:p>
    <w:p w14:paraId="60BF5F89"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r w:rsidRPr="000D2B36">
        <w:rPr>
          <w:rFonts w:ascii="Times New Roman" w:hAnsi="Times New Roman" w:cs="Times New Roman"/>
          <w:color w:val="1A1A1A" w:themeColor="background1" w:themeShade="1A"/>
          <w:sz w:val="22"/>
          <w:szCs w:val="22"/>
          <w:lang w:val="en-GB" w:eastAsia="nl-NL"/>
        </w:rPr>
        <w:t>In round II of the ICG, several participants considered this working definition as a good starting point</w:t>
      </w:r>
      <w:r>
        <w:rPr>
          <w:rFonts w:ascii="Times New Roman" w:hAnsi="Times New Roman" w:cs="Times New Roman"/>
          <w:color w:val="1A1A1A" w:themeColor="background1" w:themeShade="1A"/>
          <w:sz w:val="22"/>
          <w:szCs w:val="22"/>
          <w:lang w:val="en-GB" w:eastAsia="nl-NL"/>
        </w:rPr>
        <w:t>,</w:t>
      </w:r>
      <w:r w:rsidRPr="000D2B36">
        <w:rPr>
          <w:rFonts w:ascii="Times New Roman" w:hAnsi="Times New Roman" w:cs="Times New Roman"/>
          <w:color w:val="1A1A1A" w:themeColor="background1" w:themeShade="1A"/>
          <w:sz w:val="22"/>
          <w:szCs w:val="22"/>
          <w:lang w:val="en-GB" w:eastAsia="nl-NL"/>
        </w:rPr>
        <w:t xml:space="preserve"> although some components and issues would require more thought (</w:t>
      </w:r>
      <w:proofErr w:type="gramStart"/>
      <w:r w:rsidRPr="000D2B36">
        <w:rPr>
          <w:rFonts w:ascii="Times New Roman" w:hAnsi="Times New Roman" w:cs="Times New Roman"/>
          <w:color w:val="1A1A1A" w:themeColor="background1" w:themeShade="1A"/>
          <w:sz w:val="22"/>
          <w:szCs w:val="22"/>
          <w:lang w:val="en-GB" w:eastAsia="nl-NL"/>
        </w:rPr>
        <w:t>e.g.</w:t>
      </w:r>
      <w:proofErr w:type="gramEnd"/>
      <w:r w:rsidRPr="000D2B36">
        <w:rPr>
          <w:rFonts w:ascii="Times New Roman" w:hAnsi="Times New Roman" w:cs="Times New Roman"/>
          <w:color w:val="1A1A1A" w:themeColor="background1" w:themeShade="1A"/>
          <w:sz w:val="22"/>
          <w:szCs w:val="22"/>
          <w:lang w:val="en-GB" w:eastAsia="nl-NL"/>
        </w:rPr>
        <w:t xml:space="preserve"> the issue of dual use infrastructure. </w:t>
      </w:r>
    </w:p>
    <w:p w14:paraId="28C0F339"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r w:rsidRPr="000D2B36">
        <w:rPr>
          <w:rFonts w:ascii="Times New Roman" w:hAnsi="Times New Roman" w:cs="Times New Roman"/>
          <w:color w:val="1A1A1A" w:themeColor="background1" w:themeShade="1A"/>
          <w:sz w:val="22"/>
          <w:szCs w:val="22"/>
          <w:lang w:val="en-GB" w:eastAsia="nl-NL"/>
        </w:rPr>
        <w:t>Several other participants proposed to delete the component “[impossible or infeasible to decommission without a permanent physical or environmental impact].” Arguments for deleting this restriction of the definition included:</w:t>
      </w:r>
    </w:p>
    <w:p w14:paraId="0D3F8D21"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shd w:val="clear" w:color="auto" w:fill="ECF3F7"/>
          <w:lang w:val="en-GB" w:eastAsia="nl-NL"/>
        </w:rPr>
      </w:pPr>
    </w:p>
    <w:p w14:paraId="5A15E009" w14:textId="77777777" w:rsidR="008E445B" w:rsidRPr="00AF03B8" w:rsidRDefault="008E445B" w:rsidP="008E445B">
      <w:pPr>
        <w:pStyle w:val="Sinespaciado"/>
        <w:numPr>
          <w:ilvl w:val="0"/>
          <w:numId w:val="24"/>
        </w:numPr>
        <w:spacing w:line="276" w:lineRule="auto"/>
        <w:rPr>
          <w:rFonts w:ascii="Times New Roman" w:hAnsi="Times New Roman" w:cs="Times New Roman"/>
          <w:color w:val="1A1A1A" w:themeColor="background1" w:themeShade="1A"/>
          <w:sz w:val="22"/>
          <w:szCs w:val="22"/>
          <w:shd w:val="clear" w:color="auto" w:fill="ECF3F7"/>
          <w:lang w:val="en-GB" w:eastAsia="nl-NL"/>
        </w:rPr>
      </w:pPr>
      <w:proofErr w:type="gramStart"/>
      <w:r w:rsidRPr="000D2B36">
        <w:rPr>
          <w:rFonts w:ascii="Times New Roman" w:hAnsi="Times New Roman" w:cs="Times New Roman"/>
          <w:color w:val="1A1A1A" w:themeColor="background1" w:themeShade="1A"/>
          <w:sz w:val="22"/>
          <w:szCs w:val="22"/>
          <w:lang w:val="en-GB" w:eastAsia="nl-NL"/>
        </w:rPr>
        <w:t>”such</w:t>
      </w:r>
      <w:proofErr w:type="gramEnd"/>
      <w:r w:rsidRPr="000D2B36">
        <w:rPr>
          <w:rFonts w:ascii="Times New Roman" w:hAnsi="Times New Roman" w:cs="Times New Roman"/>
          <w:color w:val="1A1A1A" w:themeColor="background1" w:themeShade="1A"/>
          <w:sz w:val="22"/>
          <w:szCs w:val="22"/>
          <w:lang w:val="en-GB" w:eastAsia="nl-NL"/>
        </w:rPr>
        <w:t xml:space="preserve"> infrastructure would lead to more permanent activities (overnight stays, sustenance services provided on land)”</w:t>
      </w:r>
    </w:p>
    <w:p w14:paraId="1440AA31" w14:textId="77777777" w:rsidR="008E445B" w:rsidRPr="000D2B36" w:rsidRDefault="008E445B" w:rsidP="008E445B">
      <w:pPr>
        <w:pStyle w:val="Sinespaciado"/>
        <w:numPr>
          <w:ilvl w:val="0"/>
          <w:numId w:val="24"/>
        </w:numPr>
        <w:spacing w:line="276" w:lineRule="auto"/>
        <w:rPr>
          <w:rFonts w:ascii="Times New Roman" w:hAnsi="Times New Roman" w:cs="Times New Roman"/>
          <w:color w:val="1A1A1A" w:themeColor="background1" w:themeShade="1A"/>
          <w:sz w:val="22"/>
          <w:szCs w:val="22"/>
          <w:shd w:val="clear" w:color="auto" w:fill="ECF3F7"/>
          <w:lang w:val="en-GB" w:eastAsia="nl-NL"/>
        </w:rPr>
      </w:pPr>
      <w:r w:rsidRPr="000D2B36">
        <w:rPr>
          <w:rFonts w:ascii="Times New Roman" w:hAnsi="Times New Roman" w:cs="Times New Roman"/>
          <w:color w:val="1A1A1A" w:themeColor="background1" w:themeShade="1A"/>
          <w:sz w:val="22"/>
          <w:szCs w:val="22"/>
          <w:lang w:val="en-GB" w:eastAsia="nl-NL"/>
        </w:rPr>
        <w:t>“</w:t>
      </w:r>
      <w:proofErr w:type="gramStart"/>
      <w:r w:rsidRPr="000D2B36">
        <w:rPr>
          <w:rFonts w:ascii="Times New Roman" w:hAnsi="Times New Roman" w:cs="Times New Roman"/>
          <w:color w:val="1A1A1A" w:themeColor="background1" w:themeShade="1A"/>
          <w:sz w:val="22"/>
          <w:szCs w:val="22"/>
          <w:lang w:val="en-GB" w:eastAsia="nl-NL"/>
        </w:rPr>
        <w:t>the</w:t>
      </w:r>
      <w:proofErr w:type="gramEnd"/>
      <w:r w:rsidRPr="000D2B36">
        <w:rPr>
          <w:rFonts w:ascii="Times New Roman" w:hAnsi="Times New Roman" w:cs="Times New Roman"/>
          <w:color w:val="1A1A1A" w:themeColor="background1" w:themeShade="1A"/>
          <w:sz w:val="22"/>
          <w:szCs w:val="22"/>
          <w:lang w:val="en-GB" w:eastAsia="nl-NL"/>
        </w:rPr>
        <w:t xml:space="preserve"> environmental impact of this structure or its decommission are not decisive, since not only the decommission has an impact, but already the constructing and maintaining of the structure are supposed to have an impact”. Relevant to this issue are the comments made during the first round of discussions that attention should not only be </w:t>
      </w:r>
      <w:r w:rsidRPr="000D2B36">
        <w:rPr>
          <w:rFonts w:ascii="Times New Roman" w:hAnsi="Times New Roman" w:cs="Times New Roman"/>
          <w:color w:val="1A1A1A" w:themeColor="background1" w:themeShade="1A"/>
          <w:sz w:val="22"/>
          <w:szCs w:val="22"/>
          <w:lang w:val="en-GB" w:eastAsia="nl-NL"/>
        </w:rPr>
        <w:lastRenderedPageBreak/>
        <w:t>paid to permanent facilities as such, but also to “the traffic and activity they generate, and the implications for environment and safety.”</w:t>
      </w:r>
    </w:p>
    <w:p w14:paraId="0FCDC304" w14:textId="77777777" w:rsidR="008E445B" w:rsidRPr="000D2B36" w:rsidRDefault="008E445B" w:rsidP="008E445B">
      <w:pPr>
        <w:pStyle w:val="Sinespaciado"/>
        <w:numPr>
          <w:ilvl w:val="0"/>
          <w:numId w:val="24"/>
        </w:numPr>
        <w:spacing w:line="276" w:lineRule="auto"/>
        <w:rPr>
          <w:rFonts w:ascii="Times New Roman" w:hAnsi="Times New Roman" w:cs="Times New Roman"/>
          <w:color w:val="1A1A1A" w:themeColor="background1" w:themeShade="1A"/>
          <w:sz w:val="22"/>
          <w:szCs w:val="22"/>
          <w:lang w:val="en-GB" w:eastAsia="nl-NL"/>
        </w:rPr>
      </w:pPr>
      <w:r w:rsidRPr="000D2B36">
        <w:rPr>
          <w:rFonts w:ascii="Times New Roman" w:hAnsi="Times New Roman" w:cs="Times New Roman"/>
          <w:color w:val="1A1A1A" w:themeColor="background1" w:themeShade="1A"/>
          <w:sz w:val="22"/>
          <w:szCs w:val="22"/>
          <w:lang w:val="en-GB" w:eastAsia="nl-NL"/>
        </w:rPr>
        <w:t>“</w:t>
      </w:r>
      <w:proofErr w:type="gramStart"/>
      <w:r w:rsidRPr="000D2B36">
        <w:rPr>
          <w:rFonts w:ascii="Times New Roman" w:hAnsi="Times New Roman" w:cs="Times New Roman"/>
          <w:color w:val="1A1A1A" w:themeColor="background1" w:themeShade="1A"/>
          <w:sz w:val="22"/>
          <w:szCs w:val="22"/>
          <w:lang w:val="en-GB" w:eastAsia="nl-NL"/>
        </w:rPr>
        <w:t>having</w:t>
      </w:r>
      <w:proofErr w:type="gramEnd"/>
      <w:r w:rsidRPr="000D2B36">
        <w:rPr>
          <w:rFonts w:ascii="Times New Roman" w:hAnsi="Times New Roman" w:cs="Times New Roman"/>
          <w:color w:val="1A1A1A" w:themeColor="background1" w:themeShade="1A"/>
          <w:sz w:val="22"/>
          <w:szCs w:val="22"/>
          <w:lang w:val="en-GB" w:eastAsia="nl-NL"/>
        </w:rPr>
        <w:t xml:space="preserve"> a definition of “permanent facilities” that depends on the concept of “permanent…impact” is somewhat tautological. The same difficulties that appear now with the notion of “permanent facility” will also appear later on when trying to identify a “permanent…impact”</w:t>
      </w:r>
    </w:p>
    <w:p w14:paraId="63BF202E" w14:textId="77777777" w:rsidR="008E445B" w:rsidRPr="000D2B36" w:rsidRDefault="008E445B" w:rsidP="008E445B">
      <w:pPr>
        <w:pStyle w:val="Sinespaciado"/>
        <w:spacing w:line="276" w:lineRule="auto"/>
        <w:ind w:left="720"/>
        <w:rPr>
          <w:rFonts w:ascii="Times New Roman" w:hAnsi="Times New Roman" w:cs="Times New Roman"/>
          <w:color w:val="1A1A1A" w:themeColor="background1" w:themeShade="1A"/>
          <w:sz w:val="22"/>
          <w:szCs w:val="22"/>
          <w:lang w:val="en-GB" w:eastAsia="nl-NL"/>
        </w:rPr>
      </w:pPr>
    </w:p>
    <w:p w14:paraId="3642799A"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r w:rsidRPr="000D2B36">
        <w:rPr>
          <w:rFonts w:ascii="Times New Roman" w:hAnsi="Times New Roman" w:cs="Times New Roman"/>
          <w:color w:val="1A1A1A" w:themeColor="background1" w:themeShade="1A"/>
          <w:sz w:val="22"/>
          <w:szCs w:val="22"/>
          <w:lang w:val="en-GB" w:eastAsia="nl-NL"/>
        </w:rPr>
        <w:t xml:space="preserve">Broadening of the definition was also advocated in the form of including “field-camp structures that are erected at the same place every season” in the small list of examples of permanent facilities. In relation to the same bullet point it was further suggested to change “including” into “including but not limited to </w:t>
      </w:r>
      <w:proofErr w:type="gramStart"/>
      <w:r w:rsidRPr="000D2B36">
        <w:rPr>
          <w:rFonts w:ascii="Times New Roman" w:hAnsi="Times New Roman" w:cs="Times New Roman"/>
          <w:color w:val="1A1A1A" w:themeColor="background1" w:themeShade="1A"/>
          <w:sz w:val="22"/>
          <w:szCs w:val="22"/>
          <w:lang w:val="en-GB" w:eastAsia="nl-NL"/>
        </w:rPr>
        <w:t>buildings,…</w:t>
      </w:r>
      <w:proofErr w:type="gramEnd"/>
      <w:r w:rsidRPr="000D2B36">
        <w:rPr>
          <w:rFonts w:ascii="Times New Roman" w:hAnsi="Times New Roman" w:cs="Times New Roman"/>
          <w:color w:val="1A1A1A" w:themeColor="background1" w:themeShade="1A"/>
          <w:sz w:val="22"/>
          <w:szCs w:val="22"/>
          <w:lang w:val="en-GB" w:eastAsia="nl-NL"/>
        </w:rPr>
        <w:t xml:space="preserve">”. </w:t>
      </w:r>
    </w:p>
    <w:p w14:paraId="2F3FCA36" w14:textId="77777777" w:rsidR="008E445B" w:rsidRPr="000D2B36" w:rsidRDefault="008E445B" w:rsidP="008E445B">
      <w:pPr>
        <w:pStyle w:val="Sinespaciado"/>
        <w:spacing w:line="276" w:lineRule="auto"/>
        <w:ind w:firstLine="708"/>
        <w:rPr>
          <w:rFonts w:ascii="Times New Roman" w:hAnsi="Times New Roman" w:cs="Times New Roman"/>
          <w:color w:val="1A1A1A" w:themeColor="background1" w:themeShade="1A"/>
          <w:sz w:val="22"/>
          <w:szCs w:val="22"/>
          <w:shd w:val="clear" w:color="auto" w:fill="E1EBF2"/>
          <w:lang w:val="en-GB" w:eastAsia="nl-NL"/>
        </w:rPr>
      </w:pPr>
      <w:r w:rsidRPr="000D2B36">
        <w:rPr>
          <w:rFonts w:ascii="Times New Roman" w:hAnsi="Times New Roman" w:cs="Times New Roman"/>
          <w:color w:val="1A1A1A" w:themeColor="background1" w:themeShade="1A"/>
          <w:sz w:val="22"/>
          <w:szCs w:val="22"/>
          <w:lang w:val="en-GB" w:eastAsia="nl-NL"/>
        </w:rPr>
        <w:t xml:space="preserve">Other participants advocated for a more limited scope of the definition. Building on the definition proposed by IAATO, </w:t>
      </w:r>
      <w:r>
        <w:rPr>
          <w:rFonts w:ascii="Times New Roman" w:hAnsi="Times New Roman" w:cs="Times New Roman"/>
          <w:color w:val="1A1A1A" w:themeColor="background1" w:themeShade="1A"/>
          <w:sz w:val="22"/>
          <w:szCs w:val="22"/>
          <w:lang w:val="en-GB" w:eastAsia="nl-NL"/>
        </w:rPr>
        <w:t>one participant</w:t>
      </w:r>
      <w:r w:rsidRPr="000D2B36">
        <w:rPr>
          <w:rFonts w:ascii="Times New Roman" w:hAnsi="Times New Roman" w:cs="Times New Roman"/>
          <w:color w:val="1A1A1A" w:themeColor="background1" w:themeShade="1A"/>
          <w:sz w:val="22"/>
          <w:szCs w:val="22"/>
          <w:lang w:val="en-GB" w:eastAsia="nl-NL"/>
        </w:rPr>
        <w:t xml:space="preserve"> suggested the following definition: “Permanent infrastructure” is any structure or facility designed to be operated in Antarctica over multiple seasons where its construction, operation or removal is expected to have more than a minor or transitory impact on the Antarctic environment. Examples include, but are not restricted to, buildings, wharves and jetties, and graded runways on exposed ground.” </w:t>
      </w:r>
      <w:r>
        <w:rPr>
          <w:rFonts w:ascii="Times New Roman" w:hAnsi="Times New Roman" w:cs="Times New Roman"/>
          <w:color w:val="1A1A1A" w:themeColor="background1" w:themeShade="1A"/>
          <w:sz w:val="22"/>
          <w:szCs w:val="22"/>
          <w:lang w:val="en-GB" w:eastAsia="nl-NL"/>
        </w:rPr>
        <w:t>Another participant</w:t>
      </w:r>
      <w:r w:rsidRPr="000D2B36">
        <w:rPr>
          <w:rFonts w:ascii="Times New Roman" w:hAnsi="Times New Roman" w:cs="Times New Roman"/>
          <w:color w:val="1A1A1A" w:themeColor="background1" w:themeShade="1A"/>
          <w:sz w:val="22"/>
          <w:szCs w:val="22"/>
          <w:lang w:val="en-GB" w:eastAsia="nl-NL"/>
        </w:rPr>
        <w:t xml:space="preserve"> stated that it was quite comfortable with the definition proposed by IAATO proposed </w:t>
      </w:r>
      <w:r w:rsidRPr="000D2B36">
        <w:rPr>
          <w:rFonts w:ascii="Times New Roman" w:hAnsi="Times New Roman" w:cs="Times New Roman"/>
          <w:color w:val="1A1A1A" w:themeColor="background1" w:themeShade="1A"/>
          <w:sz w:val="22"/>
          <w:szCs w:val="22"/>
          <w:lang w:val="en-GB"/>
        </w:rPr>
        <w:t>in IP101 (2009)</w:t>
      </w:r>
      <w:r w:rsidRPr="000D2B36">
        <w:rPr>
          <w:rFonts w:ascii="Times New Roman" w:hAnsi="Times New Roman" w:cs="Times New Roman"/>
          <w:color w:val="1A1A1A" w:themeColor="background1" w:themeShade="1A"/>
          <w:sz w:val="22"/>
          <w:szCs w:val="22"/>
          <w:lang w:val="en-GB" w:eastAsia="nl-NL"/>
        </w:rPr>
        <w:t xml:space="preserve">. </w:t>
      </w:r>
    </w:p>
    <w:p w14:paraId="3D3D351C" w14:textId="77777777" w:rsidR="008E445B" w:rsidRPr="000D2B36" w:rsidRDefault="008E445B" w:rsidP="008E445B">
      <w:pPr>
        <w:spacing w:line="276" w:lineRule="auto"/>
        <w:ind w:firstLine="708"/>
        <w:contextualSpacing/>
        <w:rPr>
          <w:color w:val="1A1A1A" w:themeColor="background1" w:themeShade="1A"/>
          <w:szCs w:val="22"/>
          <w:lang w:eastAsia="nl-NL"/>
        </w:rPr>
      </w:pPr>
      <w:r w:rsidRPr="000D2B36">
        <w:rPr>
          <w:color w:val="1A1A1A" w:themeColor="background1" w:themeShade="1A"/>
          <w:szCs w:val="22"/>
          <w:lang w:eastAsia="nl-NL"/>
        </w:rPr>
        <w:t>While the exceptions were considered important by some, one participant wondered whether the explicit exclusion of HSMs is indeed necessary because of their explicit regulation in the Protocol and what exactly the term 'small scale' in the other exclusion means. One participant suggested that it might be useful to use criteria such as “a maximum limit on the size of the facility and/or maximum quantity of beds allowed.” Another participant proposed to place the words ‘small scale’ between brackets.</w:t>
      </w:r>
    </w:p>
    <w:p w14:paraId="702B558D" w14:textId="77777777" w:rsidR="008E445B" w:rsidRPr="000D2B36" w:rsidRDefault="008E445B" w:rsidP="008E445B">
      <w:pPr>
        <w:pStyle w:val="Sinespaciado"/>
        <w:spacing w:line="276" w:lineRule="auto"/>
        <w:ind w:firstLine="708"/>
        <w:rPr>
          <w:rFonts w:ascii="Times New Roman" w:hAnsi="Times New Roman" w:cs="Times New Roman"/>
          <w:color w:val="1A1A1A" w:themeColor="background1" w:themeShade="1A"/>
          <w:sz w:val="22"/>
          <w:szCs w:val="22"/>
          <w:lang w:val="en-GB" w:eastAsia="nl-NL"/>
        </w:rPr>
      </w:pPr>
      <w:r w:rsidRPr="000D2B36">
        <w:rPr>
          <w:rFonts w:ascii="Times New Roman" w:hAnsi="Times New Roman" w:cs="Times New Roman"/>
          <w:color w:val="1A1A1A" w:themeColor="background1" w:themeShade="1A"/>
          <w:sz w:val="22"/>
          <w:szCs w:val="22"/>
          <w:lang w:val="en-GB" w:eastAsia="nl-NL"/>
        </w:rPr>
        <w:t xml:space="preserve">Discussing the scope of the definition and the above raised issues appears complex as the scope of the definition and envisaged ATCM action are strongly intertwined: as </w:t>
      </w:r>
      <w:r>
        <w:rPr>
          <w:rFonts w:ascii="Times New Roman" w:hAnsi="Times New Roman" w:cs="Times New Roman"/>
          <w:color w:val="1A1A1A" w:themeColor="background1" w:themeShade="1A"/>
          <w:sz w:val="22"/>
          <w:szCs w:val="22"/>
          <w:lang w:val="en-GB" w:eastAsia="nl-NL"/>
        </w:rPr>
        <w:t xml:space="preserve">one participant </w:t>
      </w:r>
      <w:r w:rsidRPr="000D2B36">
        <w:rPr>
          <w:rFonts w:ascii="Times New Roman" w:hAnsi="Times New Roman" w:cs="Times New Roman"/>
          <w:color w:val="1A1A1A" w:themeColor="background1" w:themeShade="1A"/>
          <w:sz w:val="22"/>
          <w:szCs w:val="22"/>
          <w:lang w:val="en-GB" w:eastAsia="nl-NL"/>
        </w:rPr>
        <w:t>noted</w:t>
      </w:r>
      <w:r>
        <w:rPr>
          <w:rFonts w:ascii="Times New Roman" w:hAnsi="Times New Roman" w:cs="Times New Roman"/>
          <w:color w:val="1A1A1A" w:themeColor="background1" w:themeShade="1A"/>
          <w:sz w:val="22"/>
          <w:szCs w:val="22"/>
          <w:lang w:val="en-GB" w:eastAsia="nl-NL"/>
        </w:rPr>
        <w:t xml:space="preserve">, </w:t>
      </w:r>
      <w:r w:rsidRPr="000D2B36">
        <w:rPr>
          <w:rFonts w:ascii="Times New Roman" w:hAnsi="Times New Roman" w:cs="Times New Roman"/>
          <w:color w:val="1A1A1A" w:themeColor="background1" w:themeShade="1A"/>
          <w:sz w:val="22"/>
          <w:szCs w:val="22"/>
          <w:lang w:val="en-GB"/>
        </w:rPr>
        <w:t>“</w:t>
      </w:r>
      <w:r w:rsidRPr="000D2B36">
        <w:rPr>
          <w:rFonts w:ascii="Times New Roman" w:hAnsi="Times New Roman" w:cs="Times New Roman"/>
          <w:color w:val="1A1A1A" w:themeColor="background1" w:themeShade="1A"/>
          <w:sz w:val="22"/>
          <w:szCs w:val="22"/>
          <w:lang w:val="en-GB" w:eastAsia="nl-NL"/>
        </w:rPr>
        <w:t xml:space="preserve">it is difficult to separate a working definition on permanent facilities for tourism and other non-governmental activities, from the more in-depth discussion that must be held with regards to which type of infrastructure we would seek to prohibit”. Some participants states that it might be useful to make an inventory of already existing infrastructure for tourism in the Antarctic and to further discuss main concerns. One participant acknowledged the importance of a definition but was “reluctant to spend too much time discussing definitions rather than working on achieving a common understanding of where the actual problems and challenges </w:t>
      </w:r>
      <w:proofErr w:type="gramStart"/>
      <w:r w:rsidRPr="000D2B36">
        <w:rPr>
          <w:rFonts w:ascii="Times New Roman" w:hAnsi="Times New Roman" w:cs="Times New Roman"/>
          <w:color w:val="1A1A1A" w:themeColor="background1" w:themeShade="1A"/>
          <w:sz w:val="22"/>
          <w:szCs w:val="22"/>
          <w:lang w:val="en-GB" w:eastAsia="nl-NL"/>
        </w:rPr>
        <w:t>lie, and</w:t>
      </w:r>
      <w:proofErr w:type="gramEnd"/>
      <w:r w:rsidRPr="000D2B36">
        <w:rPr>
          <w:rFonts w:ascii="Times New Roman" w:hAnsi="Times New Roman" w:cs="Times New Roman"/>
          <w:color w:val="1A1A1A" w:themeColor="background1" w:themeShade="1A"/>
          <w:sz w:val="22"/>
          <w:szCs w:val="22"/>
          <w:lang w:val="en-GB" w:eastAsia="nl-NL"/>
        </w:rPr>
        <w:t xml:space="preserve"> preparing for discussions on concrete needs for action and additional measures within our system”. This participant therefore suggested to “try to move beyond discussions on definition when preparing for addressing this issue in the ATCM”. Furthermore, having an agreed definition might not solve all interpretation issues. As noted by one participant, there may be “possible new initiatives in “grey areas” which could be difficult to frame within the established definition”.</w:t>
      </w:r>
    </w:p>
    <w:p w14:paraId="497DEF05" w14:textId="77777777" w:rsidR="008E445B" w:rsidRPr="000D2B36" w:rsidRDefault="008E445B" w:rsidP="008E445B">
      <w:pPr>
        <w:pStyle w:val="Sinespaciado"/>
        <w:spacing w:line="276" w:lineRule="auto"/>
        <w:ind w:firstLine="708"/>
        <w:rPr>
          <w:rFonts w:ascii="Times New Roman" w:hAnsi="Times New Roman" w:cs="Times New Roman"/>
          <w:color w:val="1A1A1A" w:themeColor="background1" w:themeShade="1A"/>
          <w:sz w:val="22"/>
          <w:szCs w:val="22"/>
          <w:lang w:val="en-GB" w:eastAsia="nl-NL"/>
        </w:rPr>
      </w:pPr>
      <w:r w:rsidRPr="000D2B36">
        <w:rPr>
          <w:rFonts w:ascii="Times New Roman" w:hAnsi="Times New Roman" w:cs="Times New Roman"/>
          <w:color w:val="1A1A1A" w:themeColor="background1" w:themeShade="1A"/>
          <w:sz w:val="22"/>
          <w:szCs w:val="22"/>
          <w:lang w:val="en-GB" w:eastAsia="nl-NL"/>
        </w:rPr>
        <w:t>Another participant stated that “[w]</w:t>
      </w:r>
      <w:proofErr w:type="spellStart"/>
      <w:r w:rsidRPr="000D2B36">
        <w:rPr>
          <w:rFonts w:ascii="Times New Roman" w:hAnsi="Times New Roman" w:cs="Times New Roman"/>
          <w:color w:val="1A1A1A" w:themeColor="background1" w:themeShade="1A"/>
          <w:sz w:val="22"/>
          <w:szCs w:val="22"/>
          <w:lang w:val="en-GB" w:eastAsia="nl-NL"/>
        </w:rPr>
        <w:t>hile</w:t>
      </w:r>
      <w:proofErr w:type="spellEnd"/>
      <w:r w:rsidRPr="000D2B36">
        <w:rPr>
          <w:rFonts w:ascii="Times New Roman" w:hAnsi="Times New Roman" w:cs="Times New Roman"/>
          <w:color w:val="1A1A1A" w:themeColor="background1" w:themeShade="1A"/>
          <w:sz w:val="22"/>
          <w:szCs w:val="22"/>
          <w:lang w:val="en-GB" w:eastAsia="nl-NL"/>
        </w:rPr>
        <w:t xml:space="preserve"> recognising, and to an extent sharing, the concerns expressed by others about the possible issues with shorter term and/or readily removable or reversible installations […] it would be helpful to focus on the issues that might arise from long term infrastructure which would have ongoing impacts – the ‘permanent’ aspect highlighted in the terms of reference for this ICG”. For this focused approach this participant considered the definition suggested by the United Kingdom very suitable, and a practical way forward. </w:t>
      </w:r>
      <w:r>
        <w:rPr>
          <w:rFonts w:ascii="Times New Roman" w:hAnsi="Times New Roman" w:cs="Times New Roman"/>
          <w:color w:val="1A1A1A" w:themeColor="background1" w:themeShade="1A"/>
          <w:sz w:val="22"/>
          <w:szCs w:val="22"/>
          <w:lang w:val="en-GB" w:eastAsia="nl-NL"/>
        </w:rPr>
        <w:t>One participant</w:t>
      </w:r>
      <w:r w:rsidRPr="000D2B36">
        <w:rPr>
          <w:rFonts w:ascii="Times New Roman" w:hAnsi="Times New Roman" w:cs="Times New Roman"/>
          <w:color w:val="1A1A1A" w:themeColor="background1" w:themeShade="1A"/>
          <w:sz w:val="22"/>
          <w:szCs w:val="22"/>
          <w:lang w:val="en-GB" w:eastAsia="nl-NL"/>
        </w:rPr>
        <w:t xml:space="preserve"> “acknowledge that there seems to be a general sense that permanent buildings for the accommodation of tourists (hotels) have an undoubted environmental impact and hold no particular benefit”, while “[o]</w:t>
      </w:r>
      <w:proofErr w:type="spellStart"/>
      <w:r w:rsidRPr="000D2B36">
        <w:rPr>
          <w:rFonts w:ascii="Times New Roman" w:hAnsi="Times New Roman" w:cs="Times New Roman"/>
          <w:color w:val="1A1A1A" w:themeColor="background1" w:themeShade="1A"/>
          <w:sz w:val="22"/>
          <w:szCs w:val="22"/>
          <w:lang w:val="en-GB" w:eastAsia="nl-NL"/>
        </w:rPr>
        <w:t>ther</w:t>
      </w:r>
      <w:proofErr w:type="spellEnd"/>
      <w:r w:rsidRPr="000D2B36">
        <w:rPr>
          <w:rFonts w:ascii="Times New Roman" w:hAnsi="Times New Roman" w:cs="Times New Roman"/>
          <w:color w:val="1A1A1A" w:themeColor="background1" w:themeShade="1A"/>
          <w:sz w:val="22"/>
          <w:szCs w:val="22"/>
          <w:lang w:val="en-GB" w:eastAsia="nl-NL"/>
        </w:rPr>
        <w:t xml:space="preserve"> structures may require more analysis”.</w:t>
      </w:r>
    </w:p>
    <w:p w14:paraId="7F4762C3"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p>
    <w:p w14:paraId="70A4CBC5"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r w:rsidRPr="000D2B36">
        <w:rPr>
          <w:rFonts w:ascii="Times New Roman" w:hAnsi="Times New Roman" w:cs="Times New Roman"/>
          <w:color w:val="1A1A1A" w:themeColor="background1" w:themeShade="1A"/>
          <w:sz w:val="22"/>
          <w:szCs w:val="22"/>
          <w:lang w:val="en-GB" w:eastAsia="nl-NL"/>
        </w:rPr>
        <w:t>The above summarized rich discussion on a working definition constituted one of the components for developing a proposal for ATCM action for Round III of the ICG. In the context of discussing this proposal further comments were made on a possible definition (see Section 5).</w:t>
      </w:r>
    </w:p>
    <w:p w14:paraId="7D2A4B5C"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p>
    <w:p w14:paraId="5A99FFEE" w14:textId="77777777" w:rsidR="008E445B" w:rsidRPr="000D2B36" w:rsidRDefault="008E445B" w:rsidP="008E445B">
      <w:pPr>
        <w:pStyle w:val="Sinespaciado"/>
        <w:numPr>
          <w:ilvl w:val="0"/>
          <w:numId w:val="22"/>
        </w:numPr>
        <w:spacing w:line="276" w:lineRule="auto"/>
        <w:rPr>
          <w:rFonts w:ascii="Times New Roman" w:hAnsi="Times New Roman" w:cs="Times New Roman"/>
          <w:b/>
          <w:color w:val="1A1A1A" w:themeColor="background1" w:themeShade="1A"/>
          <w:sz w:val="22"/>
          <w:szCs w:val="22"/>
          <w:lang w:val="en-GB" w:eastAsia="nl-NL"/>
        </w:rPr>
      </w:pPr>
      <w:r w:rsidRPr="000D2B36">
        <w:rPr>
          <w:rFonts w:ascii="Times New Roman" w:hAnsi="Times New Roman" w:cs="Times New Roman"/>
          <w:b/>
          <w:color w:val="1A1A1A" w:themeColor="background1" w:themeShade="1A"/>
          <w:sz w:val="22"/>
          <w:szCs w:val="22"/>
          <w:lang w:val="en-GB" w:eastAsia="nl-NL"/>
        </w:rPr>
        <w:t>Concerns</w:t>
      </w:r>
    </w:p>
    <w:p w14:paraId="60FC42DF"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p>
    <w:p w14:paraId="489E570D" w14:textId="77777777" w:rsidR="008E445B" w:rsidRDefault="008E445B" w:rsidP="008E445B">
      <w:pPr>
        <w:spacing w:line="276" w:lineRule="auto"/>
        <w:rPr>
          <w:color w:val="1A1A1A" w:themeColor="background1" w:themeShade="1A"/>
          <w:szCs w:val="22"/>
        </w:rPr>
      </w:pPr>
      <w:r w:rsidRPr="000D2B36">
        <w:rPr>
          <w:color w:val="1A1A1A" w:themeColor="background1" w:themeShade="1A"/>
          <w:szCs w:val="22"/>
        </w:rPr>
        <w:t xml:space="preserve">During previous ATCM discussions (summarised in the Final Report of the </w:t>
      </w:r>
      <w:proofErr w:type="spellStart"/>
      <w:r w:rsidRPr="000D2B36">
        <w:rPr>
          <w:color w:val="1A1A1A" w:themeColor="background1" w:themeShade="1A"/>
          <w:szCs w:val="22"/>
        </w:rPr>
        <w:t>XXVII</w:t>
      </w:r>
      <w:r w:rsidRPr="000D2B36">
        <w:rPr>
          <w:color w:val="1A1A1A" w:themeColor="background1" w:themeShade="1A"/>
          <w:szCs w:val="22"/>
          <w:vertAlign w:val="superscript"/>
        </w:rPr>
        <w:t>th</w:t>
      </w:r>
      <w:proofErr w:type="spellEnd"/>
      <w:r w:rsidRPr="000D2B36">
        <w:rPr>
          <w:color w:val="1A1A1A" w:themeColor="background1" w:themeShade="1A"/>
          <w:szCs w:val="22"/>
        </w:rPr>
        <w:t xml:space="preserve"> ATCM, §195 and ATCM42/IP 26, p.35)) Consultative Parties and experts have expressed various concerns in relation to permanent facilities for tourism and other non-governmental activities in Antarctica:</w:t>
      </w:r>
    </w:p>
    <w:p w14:paraId="7D7E7917" w14:textId="77777777" w:rsidR="008E445B" w:rsidRPr="000D2B36" w:rsidRDefault="008E445B" w:rsidP="008E445B">
      <w:pPr>
        <w:spacing w:line="276" w:lineRule="auto"/>
        <w:rPr>
          <w:color w:val="1A1A1A" w:themeColor="background1" w:themeShade="1A"/>
          <w:szCs w:val="22"/>
        </w:rPr>
      </w:pPr>
    </w:p>
    <w:p w14:paraId="77F872B8" w14:textId="77777777" w:rsidR="008E445B" w:rsidRPr="000D2B36" w:rsidRDefault="008E445B" w:rsidP="008E445B">
      <w:pPr>
        <w:pStyle w:val="Prrafodelista"/>
        <w:numPr>
          <w:ilvl w:val="0"/>
          <w:numId w:val="25"/>
        </w:numPr>
        <w:spacing w:line="276" w:lineRule="auto"/>
        <w:rPr>
          <w:color w:val="1A1A1A" w:themeColor="background1" w:themeShade="1A"/>
          <w:szCs w:val="22"/>
        </w:rPr>
      </w:pPr>
      <w:r w:rsidRPr="000D2B36">
        <w:rPr>
          <w:color w:val="1A1A1A" w:themeColor="background1" w:themeShade="1A"/>
          <w:szCs w:val="22"/>
        </w:rPr>
        <w:t xml:space="preserve">increasing pressure on the Antarctic environment, impacting biodiversity (entering of habitats, disruption, introduction of invasive species), as a result of the building and use of the </w:t>
      </w:r>
      <w:proofErr w:type="gramStart"/>
      <w:r w:rsidRPr="000D2B36">
        <w:rPr>
          <w:color w:val="1A1A1A" w:themeColor="background1" w:themeShade="1A"/>
          <w:szCs w:val="22"/>
        </w:rPr>
        <w:t>facilities;</w:t>
      </w:r>
      <w:proofErr w:type="gramEnd"/>
      <w:r w:rsidRPr="000D2B36">
        <w:rPr>
          <w:color w:val="1A1A1A" w:themeColor="background1" w:themeShade="1A"/>
          <w:szCs w:val="22"/>
        </w:rPr>
        <w:t xml:space="preserve"> </w:t>
      </w:r>
    </w:p>
    <w:p w14:paraId="1155F75B" w14:textId="77777777" w:rsidR="008E445B" w:rsidRPr="000D2B36" w:rsidRDefault="008E445B" w:rsidP="008E445B">
      <w:pPr>
        <w:pStyle w:val="Prrafodelista"/>
        <w:numPr>
          <w:ilvl w:val="0"/>
          <w:numId w:val="25"/>
        </w:numPr>
        <w:spacing w:line="276" w:lineRule="auto"/>
        <w:rPr>
          <w:color w:val="1A1A1A" w:themeColor="background1" w:themeShade="1A"/>
          <w:szCs w:val="22"/>
        </w:rPr>
      </w:pPr>
      <w:r w:rsidRPr="000D2B36">
        <w:rPr>
          <w:color w:val="1A1A1A" w:themeColor="background1" w:themeShade="1A"/>
          <w:szCs w:val="22"/>
        </w:rPr>
        <w:t>(cumulative) impacts on Antarctica’s ecosystems and wilderness values;</w:t>
      </w:r>
      <w:r w:rsidRPr="000D2B36">
        <w:rPr>
          <w:rStyle w:val="Refdenotaalpie"/>
          <w:color w:val="1A1A1A" w:themeColor="background1" w:themeShade="1A"/>
          <w:szCs w:val="22"/>
        </w:rPr>
        <w:footnoteReference w:id="3"/>
      </w:r>
    </w:p>
    <w:p w14:paraId="29FF10F0" w14:textId="77777777" w:rsidR="008E445B" w:rsidRPr="000D2B36" w:rsidRDefault="008E445B" w:rsidP="008E445B">
      <w:pPr>
        <w:pStyle w:val="Prrafodelista"/>
        <w:numPr>
          <w:ilvl w:val="0"/>
          <w:numId w:val="25"/>
        </w:numPr>
        <w:spacing w:line="276" w:lineRule="auto"/>
        <w:rPr>
          <w:color w:val="1A1A1A" w:themeColor="background1" w:themeShade="1A"/>
          <w:szCs w:val="22"/>
        </w:rPr>
      </w:pPr>
      <w:r w:rsidRPr="000D2B36">
        <w:rPr>
          <w:color w:val="1A1A1A" w:themeColor="background1" w:themeShade="1A"/>
          <w:szCs w:val="22"/>
        </w:rPr>
        <w:t>inconsistency with Antarctica's designation as a “natural reserve devoted to peace and science</w:t>
      </w:r>
      <w:proofErr w:type="gramStart"/>
      <w:r w:rsidRPr="000D2B36">
        <w:rPr>
          <w:color w:val="1A1A1A" w:themeColor="background1" w:themeShade="1A"/>
          <w:szCs w:val="22"/>
        </w:rPr>
        <w:t>”;</w:t>
      </w:r>
      <w:proofErr w:type="gramEnd"/>
      <w:r w:rsidRPr="000D2B36">
        <w:rPr>
          <w:color w:val="1A1A1A" w:themeColor="background1" w:themeShade="1A"/>
          <w:szCs w:val="22"/>
        </w:rPr>
        <w:t xml:space="preserve"> </w:t>
      </w:r>
    </w:p>
    <w:p w14:paraId="3939877A" w14:textId="77777777" w:rsidR="008E445B" w:rsidRPr="000D2B36" w:rsidRDefault="008E445B" w:rsidP="008E445B">
      <w:pPr>
        <w:pStyle w:val="Prrafodelista"/>
        <w:numPr>
          <w:ilvl w:val="0"/>
          <w:numId w:val="25"/>
        </w:numPr>
        <w:spacing w:line="276" w:lineRule="auto"/>
        <w:rPr>
          <w:color w:val="1A1A1A" w:themeColor="background1" w:themeShade="1A"/>
          <w:szCs w:val="22"/>
        </w:rPr>
      </w:pPr>
      <w:r w:rsidRPr="000D2B36">
        <w:rPr>
          <w:color w:val="1A1A1A" w:themeColor="background1" w:themeShade="1A"/>
          <w:szCs w:val="22"/>
        </w:rPr>
        <w:t>increasing air traffic to and from Antarctica, raising questions on air safety and impacts on Search &amp; Rescue capacity, as well as impacting the climate (emissions</w:t>
      </w:r>
      <w:proofErr w:type="gramStart"/>
      <w:r w:rsidRPr="000D2B36">
        <w:rPr>
          <w:color w:val="1A1A1A" w:themeColor="background1" w:themeShade="1A"/>
          <w:szCs w:val="22"/>
        </w:rPr>
        <w:t>);</w:t>
      </w:r>
      <w:proofErr w:type="gramEnd"/>
    </w:p>
    <w:p w14:paraId="6F0F2750" w14:textId="77777777" w:rsidR="008E445B" w:rsidRPr="000D2B36" w:rsidRDefault="008E445B" w:rsidP="008E445B">
      <w:pPr>
        <w:pStyle w:val="Prrafodelista"/>
        <w:numPr>
          <w:ilvl w:val="0"/>
          <w:numId w:val="25"/>
        </w:numPr>
        <w:spacing w:line="276" w:lineRule="auto"/>
        <w:rPr>
          <w:color w:val="1A1A1A" w:themeColor="background1" w:themeShade="1A"/>
          <w:szCs w:val="22"/>
        </w:rPr>
      </w:pPr>
      <w:r w:rsidRPr="000D2B36">
        <w:rPr>
          <w:color w:val="1A1A1A" w:themeColor="background1" w:themeShade="1A"/>
          <w:szCs w:val="22"/>
        </w:rPr>
        <w:t xml:space="preserve">risks of negative effects for or disturbance of scientific research and/or scientific values of </w:t>
      </w:r>
      <w:proofErr w:type="gramStart"/>
      <w:r w:rsidRPr="000D2B36">
        <w:rPr>
          <w:color w:val="1A1A1A" w:themeColor="background1" w:themeShade="1A"/>
          <w:szCs w:val="22"/>
        </w:rPr>
        <w:t>Antarctica;</w:t>
      </w:r>
      <w:proofErr w:type="gramEnd"/>
    </w:p>
    <w:p w14:paraId="336419A8" w14:textId="77777777" w:rsidR="008E445B" w:rsidRPr="000D2B36" w:rsidRDefault="008E445B" w:rsidP="008E445B">
      <w:pPr>
        <w:pStyle w:val="Prrafodelista"/>
        <w:numPr>
          <w:ilvl w:val="0"/>
          <w:numId w:val="25"/>
        </w:numPr>
        <w:spacing w:line="276" w:lineRule="auto"/>
        <w:contextualSpacing/>
        <w:jc w:val="both"/>
        <w:rPr>
          <w:b/>
          <w:color w:val="1A1A1A" w:themeColor="background1" w:themeShade="1A"/>
          <w:szCs w:val="22"/>
        </w:rPr>
      </w:pPr>
      <w:r w:rsidRPr="000D2B36">
        <w:rPr>
          <w:color w:val="1A1A1A" w:themeColor="background1" w:themeShade="1A"/>
          <w:szCs w:val="22"/>
        </w:rPr>
        <w:t>the potential assertion of private property rights, and the possible assertion of ‘rights to use’ through regular permitting, as well as related concepts such as mortgaged, leased, sold, and inherited non-governmental property, possibly also involving private parties from non-contracting parties.</w:t>
      </w:r>
    </w:p>
    <w:p w14:paraId="22390398"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p>
    <w:p w14:paraId="004BB597" w14:textId="77777777" w:rsidR="008E445B" w:rsidRPr="000D2B36" w:rsidRDefault="008E445B" w:rsidP="008E445B">
      <w:pPr>
        <w:spacing w:line="276" w:lineRule="auto"/>
        <w:rPr>
          <w:color w:val="1A1A1A" w:themeColor="background1" w:themeShade="1A"/>
          <w:szCs w:val="22"/>
        </w:rPr>
      </w:pPr>
      <w:r w:rsidRPr="000D2B36">
        <w:rPr>
          <w:color w:val="1A1A1A" w:themeColor="background1" w:themeShade="1A"/>
          <w:szCs w:val="22"/>
        </w:rPr>
        <w:t xml:space="preserve">Many participants shared the concerns described in the discussion paper. Several participants also provided concrete examples of mentioned concerns, some based on references to past Antarctic inspections. One participant noted that “some of the issues listed are not directly associated with permanent infrastructure, and (as needed) might require management or regulation via different mechanisms (that is, the concern could arise regardless of whether permanent infrastructure is permitted or not).” In relation to “the risk of adverse effects on scientific activities or values”, one participant pointed out that such effects “must be considered in the light of the specific location that would host the facility.” Some participants expressed the view that tourism, is a peaceful activity. Another participant acknowledged this but stated that tourism “seems to be on its way to become the dominant form of human activities within Antarctica with the potential to even disturb scientific activities.” </w:t>
      </w:r>
      <w:r>
        <w:rPr>
          <w:color w:val="1A1A1A" w:themeColor="background1" w:themeShade="1A"/>
          <w:szCs w:val="22"/>
        </w:rPr>
        <w:t>Another participant</w:t>
      </w:r>
      <w:r w:rsidRPr="000D2B36">
        <w:rPr>
          <w:color w:val="1A1A1A" w:themeColor="background1" w:themeShade="1A"/>
          <w:szCs w:val="22"/>
        </w:rPr>
        <w:t xml:space="preserve"> expressed the view “that all human activity should be looked at holistically and “the </w:t>
      </w:r>
      <w:proofErr w:type="gramStart"/>
      <w:r w:rsidRPr="000D2B36">
        <w:rPr>
          <w:color w:val="1A1A1A" w:themeColor="background1" w:themeShade="1A"/>
          <w:szCs w:val="22"/>
        </w:rPr>
        <w:t>general public</w:t>
      </w:r>
      <w:proofErr w:type="gramEnd"/>
      <w:r w:rsidRPr="000D2B36">
        <w:rPr>
          <w:color w:val="1A1A1A" w:themeColor="background1" w:themeShade="1A"/>
          <w:szCs w:val="22"/>
        </w:rPr>
        <w:t xml:space="preserve"> does not necessarily make the distinction between Government activities or Tourism activities.”</w:t>
      </w:r>
    </w:p>
    <w:p w14:paraId="73820D63" w14:textId="77777777" w:rsidR="008E445B" w:rsidRDefault="008E445B" w:rsidP="008E445B">
      <w:pPr>
        <w:spacing w:line="276" w:lineRule="auto"/>
        <w:contextualSpacing/>
        <w:rPr>
          <w:color w:val="1A1A1A" w:themeColor="background1" w:themeShade="1A"/>
          <w:szCs w:val="22"/>
        </w:rPr>
      </w:pPr>
    </w:p>
    <w:p w14:paraId="5F487D42" w14:textId="77777777" w:rsidR="008E445B" w:rsidRDefault="008E445B" w:rsidP="008E445B">
      <w:pPr>
        <w:spacing w:line="276" w:lineRule="auto"/>
        <w:contextualSpacing/>
        <w:rPr>
          <w:color w:val="1A1A1A" w:themeColor="background1" w:themeShade="1A"/>
          <w:szCs w:val="22"/>
        </w:rPr>
      </w:pPr>
    </w:p>
    <w:p w14:paraId="6DFFBFEF" w14:textId="77777777" w:rsidR="008E445B" w:rsidRPr="000D2B36" w:rsidRDefault="008E445B" w:rsidP="008E445B">
      <w:pPr>
        <w:spacing w:line="276" w:lineRule="auto"/>
        <w:contextualSpacing/>
        <w:rPr>
          <w:color w:val="1A1A1A" w:themeColor="background1" w:themeShade="1A"/>
          <w:szCs w:val="22"/>
        </w:rPr>
      </w:pPr>
    </w:p>
    <w:p w14:paraId="07732A24" w14:textId="77777777" w:rsidR="008E445B" w:rsidRDefault="008E445B" w:rsidP="008E445B">
      <w:pPr>
        <w:spacing w:line="276" w:lineRule="auto"/>
        <w:contextualSpacing/>
        <w:rPr>
          <w:color w:val="1A1A1A" w:themeColor="background1" w:themeShade="1A"/>
          <w:szCs w:val="22"/>
        </w:rPr>
      </w:pPr>
      <w:r w:rsidRPr="000D2B36">
        <w:rPr>
          <w:color w:val="1A1A1A" w:themeColor="background1" w:themeShade="1A"/>
          <w:szCs w:val="22"/>
        </w:rPr>
        <w:lastRenderedPageBreak/>
        <w:t>As concerns that could be added to the inventory, participants mentioned:</w:t>
      </w:r>
    </w:p>
    <w:p w14:paraId="6824535C" w14:textId="77777777" w:rsidR="008E445B" w:rsidRPr="000D2B36" w:rsidRDefault="008E445B" w:rsidP="008E445B">
      <w:pPr>
        <w:spacing w:line="276" w:lineRule="auto"/>
        <w:contextualSpacing/>
        <w:rPr>
          <w:color w:val="1A1A1A" w:themeColor="background1" w:themeShade="1A"/>
          <w:szCs w:val="22"/>
        </w:rPr>
      </w:pPr>
    </w:p>
    <w:p w14:paraId="549ED7AC" w14:textId="77777777" w:rsidR="008E445B" w:rsidRPr="000D2B36" w:rsidRDefault="008E445B" w:rsidP="008E445B">
      <w:pPr>
        <w:pStyle w:val="Prrafodelista"/>
        <w:numPr>
          <w:ilvl w:val="0"/>
          <w:numId w:val="27"/>
        </w:numPr>
        <w:spacing w:line="276" w:lineRule="auto"/>
        <w:rPr>
          <w:color w:val="1A1A1A" w:themeColor="background1" w:themeShade="1A"/>
          <w:szCs w:val="22"/>
          <w:lang w:eastAsia="nl-NL"/>
        </w:rPr>
      </w:pPr>
      <w:r w:rsidRPr="000D2B36">
        <w:rPr>
          <w:color w:val="1A1A1A" w:themeColor="background1" w:themeShade="1A"/>
          <w:szCs w:val="22"/>
          <w:lang w:eastAsia="nl-NL"/>
        </w:rPr>
        <w:t xml:space="preserve">concerns regarding “the traffic and activities they produce, and their implications on the environment and safety” (in addition to </w:t>
      </w:r>
      <w:r w:rsidRPr="000D2B36">
        <w:rPr>
          <w:color w:val="1A1A1A" w:themeColor="background1" w:themeShade="1A"/>
          <w:szCs w:val="22"/>
        </w:rPr>
        <w:t xml:space="preserve">concerns directly related to permanent facilities). One participant pointed at established deep-field tourism and the recent development of a regular flight route with a comfortable </w:t>
      </w:r>
      <w:proofErr w:type="gramStart"/>
      <w:r w:rsidRPr="000D2B36">
        <w:rPr>
          <w:color w:val="1A1A1A" w:themeColor="background1" w:themeShade="1A"/>
          <w:szCs w:val="22"/>
        </w:rPr>
        <w:t>Airbus;</w:t>
      </w:r>
      <w:proofErr w:type="gramEnd"/>
    </w:p>
    <w:p w14:paraId="6CC4C6DC" w14:textId="77777777" w:rsidR="008E445B" w:rsidRPr="000D2B36" w:rsidRDefault="008E445B" w:rsidP="008E445B">
      <w:pPr>
        <w:pStyle w:val="Prrafodelista"/>
        <w:numPr>
          <w:ilvl w:val="0"/>
          <w:numId w:val="27"/>
        </w:numPr>
        <w:spacing w:line="276" w:lineRule="auto"/>
        <w:rPr>
          <w:color w:val="1A1A1A" w:themeColor="background1" w:themeShade="1A"/>
          <w:szCs w:val="22"/>
          <w:lang w:eastAsia="nl-NL"/>
        </w:rPr>
      </w:pPr>
      <w:r w:rsidRPr="000D2B36">
        <w:rPr>
          <w:color w:val="1A1A1A" w:themeColor="background1" w:themeShade="1A"/>
          <w:szCs w:val="22"/>
          <w:lang w:eastAsia="nl-NL"/>
        </w:rPr>
        <w:t xml:space="preserve">safety issues related to flight operations and increasing air traffic, as well as SAR burdens on national program personnel due to increased activity and associated risk [relating] “to both permanent and semi-permanent facilities;” And similarly, </w:t>
      </w:r>
      <w:r w:rsidRPr="000D2B36">
        <w:rPr>
          <w:color w:val="1A1A1A" w:themeColor="background1" w:themeShade="1A"/>
          <w:szCs w:val="22"/>
        </w:rPr>
        <w:t>“additional strain on National Antarctic Programs to respond to medical emergencies that cannot be handled by the tourist operator;”</w:t>
      </w:r>
    </w:p>
    <w:p w14:paraId="540DDCE8" w14:textId="77777777" w:rsidR="008E445B" w:rsidRPr="000D2B36" w:rsidRDefault="008E445B" w:rsidP="008E445B">
      <w:pPr>
        <w:pStyle w:val="Prrafodelista"/>
        <w:numPr>
          <w:ilvl w:val="0"/>
          <w:numId w:val="26"/>
        </w:numPr>
        <w:spacing w:line="276" w:lineRule="auto"/>
        <w:rPr>
          <w:color w:val="1A1A1A" w:themeColor="background1" w:themeShade="1A"/>
          <w:szCs w:val="22"/>
        </w:rPr>
      </w:pPr>
      <w:r w:rsidRPr="000D2B36">
        <w:rPr>
          <w:color w:val="1A1A1A" w:themeColor="background1" w:themeShade="1A"/>
          <w:szCs w:val="22"/>
        </w:rPr>
        <w:t>“</w:t>
      </w:r>
      <w:proofErr w:type="gramStart"/>
      <w:r w:rsidRPr="000D2B36">
        <w:rPr>
          <w:color w:val="1A1A1A" w:themeColor="background1" w:themeShade="1A"/>
          <w:szCs w:val="22"/>
        </w:rPr>
        <w:t>direct</w:t>
      </w:r>
      <w:proofErr w:type="gramEnd"/>
      <w:r w:rsidRPr="000D2B36">
        <w:rPr>
          <w:color w:val="1A1A1A" w:themeColor="background1" w:themeShade="1A"/>
          <w:szCs w:val="22"/>
        </w:rPr>
        <w:t xml:space="preserve"> impacts on environmental, scientific and wilderness values that would in many cases arise from the installation of such facilities” (in addition to cumulative impacts) and more generally, “concern to limit the human footprint in Antarctica;”</w:t>
      </w:r>
    </w:p>
    <w:p w14:paraId="32E09B34" w14:textId="77777777" w:rsidR="008E445B" w:rsidRPr="000D2B36" w:rsidRDefault="008E445B" w:rsidP="008E445B">
      <w:pPr>
        <w:pStyle w:val="Prrafodelista"/>
        <w:numPr>
          <w:ilvl w:val="0"/>
          <w:numId w:val="26"/>
        </w:numPr>
        <w:spacing w:line="276" w:lineRule="auto"/>
        <w:rPr>
          <w:color w:val="1A1A1A" w:themeColor="background1" w:themeShade="1A"/>
          <w:szCs w:val="22"/>
        </w:rPr>
      </w:pPr>
      <w:r w:rsidRPr="000D2B36">
        <w:rPr>
          <w:color w:val="1A1A1A" w:themeColor="background1" w:themeShade="1A"/>
          <w:szCs w:val="22"/>
        </w:rPr>
        <w:t xml:space="preserve">more specifically, impacts on inviolate areas, including virgin </w:t>
      </w:r>
      <w:proofErr w:type="gramStart"/>
      <w:r w:rsidRPr="000D2B36">
        <w:rPr>
          <w:color w:val="1A1A1A" w:themeColor="background1" w:themeShade="1A"/>
          <w:szCs w:val="22"/>
        </w:rPr>
        <w:t>summits;</w:t>
      </w:r>
      <w:proofErr w:type="gramEnd"/>
    </w:p>
    <w:p w14:paraId="6DAEFB72" w14:textId="77777777" w:rsidR="008E445B" w:rsidRPr="000D2B36" w:rsidRDefault="008E445B" w:rsidP="008E445B">
      <w:pPr>
        <w:pStyle w:val="Prrafodelista"/>
        <w:numPr>
          <w:ilvl w:val="0"/>
          <w:numId w:val="26"/>
        </w:numPr>
        <w:spacing w:line="276" w:lineRule="auto"/>
        <w:rPr>
          <w:color w:val="1A1A1A" w:themeColor="background1" w:themeShade="1A"/>
          <w:szCs w:val="22"/>
        </w:rPr>
      </w:pPr>
      <w:r w:rsidRPr="000D2B36">
        <w:rPr>
          <w:color w:val="1A1A1A" w:themeColor="background1" w:themeShade="1A"/>
          <w:szCs w:val="22"/>
        </w:rPr>
        <w:t xml:space="preserve">concerns relating to “ongoing responsibility”, “liability” and “its upkeep or removal” (presuming non-government ownership), for instance in case of </w:t>
      </w:r>
      <w:proofErr w:type="gramStart"/>
      <w:r w:rsidRPr="000D2B36">
        <w:rPr>
          <w:color w:val="1A1A1A" w:themeColor="background1" w:themeShade="1A"/>
          <w:szCs w:val="22"/>
        </w:rPr>
        <w:t>bankruptcy;</w:t>
      </w:r>
      <w:proofErr w:type="gramEnd"/>
    </w:p>
    <w:p w14:paraId="6CF13148" w14:textId="77777777" w:rsidR="008E445B" w:rsidRPr="000D2B36" w:rsidRDefault="008E445B" w:rsidP="008E445B">
      <w:pPr>
        <w:pStyle w:val="Prrafodelista"/>
        <w:numPr>
          <w:ilvl w:val="0"/>
          <w:numId w:val="26"/>
        </w:numPr>
        <w:spacing w:line="276" w:lineRule="auto"/>
        <w:contextualSpacing/>
        <w:rPr>
          <w:b/>
          <w:color w:val="1A1A1A" w:themeColor="background1" w:themeShade="1A"/>
          <w:szCs w:val="22"/>
        </w:rPr>
      </w:pPr>
      <w:r w:rsidRPr="000D2B36">
        <w:rPr>
          <w:iCs/>
          <w:color w:val="1A1A1A" w:themeColor="background1" w:themeShade="1A"/>
          <w:szCs w:val="22"/>
        </w:rPr>
        <w:t>“</w:t>
      </w:r>
      <w:proofErr w:type="gramStart"/>
      <w:r w:rsidRPr="000D2B36">
        <w:rPr>
          <w:iCs/>
          <w:color w:val="1A1A1A" w:themeColor="background1" w:themeShade="1A"/>
          <w:szCs w:val="22"/>
        </w:rPr>
        <w:t>permanent</w:t>
      </w:r>
      <w:proofErr w:type="gramEnd"/>
      <w:r w:rsidRPr="000D2B36">
        <w:rPr>
          <w:iCs/>
          <w:color w:val="1A1A1A" w:themeColor="background1" w:themeShade="1A"/>
          <w:szCs w:val="22"/>
        </w:rPr>
        <w:t xml:space="preserve"> facilities may act as attractants for more/different forms tourism;”</w:t>
      </w:r>
    </w:p>
    <w:p w14:paraId="7BFC9482" w14:textId="77777777" w:rsidR="008E445B" w:rsidRPr="000D2B36" w:rsidRDefault="008E445B" w:rsidP="008E445B">
      <w:pPr>
        <w:pStyle w:val="Sinespaciado"/>
        <w:numPr>
          <w:ilvl w:val="0"/>
          <w:numId w:val="26"/>
        </w:numPr>
        <w:spacing w:line="276" w:lineRule="auto"/>
        <w:rPr>
          <w:rFonts w:ascii="Times New Roman" w:hAnsi="Times New Roman" w:cs="Times New Roman"/>
          <w:color w:val="1A1A1A" w:themeColor="background1" w:themeShade="1A"/>
          <w:sz w:val="22"/>
          <w:szCs w:val="22"/>
          <w:lang w:val="en-GB"/>
        </w:rPr>
      </w:pPr>
      <w:r w:rsidRPr="000D2B36">
        <w:rPr>
          <w:rFonts w:ascii="Times New Roman" w:hAnsi="Times New Roman" w:cs="Times New Roman"/>
          <w:color w:val="1A1A1A" w:themeColor="background1" w:themeShade="1A"/>
          <w:sz w:val="22"/>
          <w:szCs w:val="22"/>
          <w:lang w:val="en-GB"/>
        </w:rPr>
        <w:t>“</w:t>
      </w:r>
      <w:proofErr w:type="gramStart"/>
      <w:r w:rsidRPr="000D2B36">
        <w:rPr>
          <w:rFonts w:ascii="Times New Roman" w:hAnsi="Times New Roman" w:cs="Times New Roman"/>
          <w:color w:val="1A1A1A" w:themeColor="background1" w:themeShade="1A"/>
          <w:sz w:val="22"/>
          <w:szCs w:val="22"/>
          <w:lang w:val="en-GB"/>
        </w:rPr>
        <w:t>disused</w:t>
      </w:r>
      <w:proofErr w:type="gramEnd"/>
      <w:r w:rsidRPr="000D2B36">
        <w:rPr>
          <w:rFonts w:ascii="Times New Roman" w:hAnsi="Times New Roman" w:cs="Times New Roman"/>
          <w:color w:val="1A1A1A" w:themeColor="background1" w:themeShade="1A"/>
          <w:sz w:val="22"/>
          <w:szCs w:val="22"/>
          <w:lang w:val="en-GB"/>
        </w:rPr>
        <w:t xml:space="preserve"> scientific stations […] being repurposed for tourist purposes - either as accommodation or, through the detour of an HSM, as a visiting opportunity”;</w:t>
      </w:r>
    </w:p>
    <w:p w14:paraId="23DA3B16" w14:textId="77777777" w:rsidR="008E445B" w:rsidRPr="000D2B36" w:rsidRDefault="008E445B" w:rsidP="008E445B">
      <w:pPr>
        <w:pStyle w:val="Prrafodelista"/>
        <w:numPr>
          <w:ilvl w:val="0"/>
          <w:numId w:val="26"/>
        </w:numPr>
        <w:spacing w:line="276" w:lineRule="auto"/>
        <w:rPr>
          <w:color w:val="1A1A1A" w:themeColor="background1" w:themeShade="1A"/>
          <w:szCs w:val="22"/>
          <w:lang w:eastAsia="nl-NL"/>
        </w:rPr>
      </w:pPr>
      <w:r w:rsidRPr="000D2B36">
        <w:rPr>
          <w:color w:val="1A1A1A" w:themeColor="background1" w:themeShade="1A"/>
          <w:szCs w:val="22"/>
        </w:rPr>
        <w:t>“</w:t>
      </w:r>
      <w:proofErr w:type="gramStart"/>
      <w:r w:rsidRPr="000D2B36">
        <w:rPr>
          <w:color w:val="1A1A1A" w:themeColor="background1" w:themeShade="1A"/>
          <w:szCs w:val="22"/>
          <w:lang w:eastAsia="nl-NL"/>
        </w:rPr>
        <w:t>the</w:t>
      </w:r>
      <w:proofErr w:type="gramEnd"/>
      <w:r w:rsidRPr="000D2B36">
        <w:rPr>
          <w:color w:val="1A1A1A" w:themeColor="background1" w:themeShade="1A"/>
          <w:szCs w:val="22"/>
          <w:lang w:eastAsia="nl-NL"/>
        </w:rPr>
        <w:t xml:space="preserve"> lack of larger scale area-based management plans for facilities. There are no mechanisms for designating areas for development, or for deciding whether development should be restricted to specific areas or spread out over the continent. There is also no mechanism for deciding who should be allowed to build if there are multiple Parties/actors interested in the same area.”</w:t>
      </w:r>
    </w:p>
    <w:p w14:paraId="06197836" w14:textId="77777777" w:rsidR="008E445B" w:rsidRPr="000D2B36" w:rsidRDefault="008E445B" w:rsidP="008E445B">
      <w:pPr>
        <w:pStyle w:val="Prrafodelista"/>
        <w:numPr>
          <w:ilvl w:val="0"/>
          <w:numId w:val="26"/>
        </w:numPr>
        <w:spacing w:line="276" w:lineRule="auto"/>
        <w:rPr>
          <w:color w:val="1A1A1A" w:themeColor="background1" w:themeShade="1A"/>
          <w:szCs w:val="22"/>
        </w:rPr>
      </w:pPr>
      <w:r w:rsidRPr="000D2B36">
        <w:rPr>
          <w:color w:val="1A1A1A" w:themeColor="background1" w:themeShade="1A"/>
          <w:szCs w:val="22"/>
          <w:lang w:eastAsia="nl-NL"/>
        </w:rPr>
        <w:t xml:space="preserve">Concerns regarding “core functions/established mechanisms and </w:t>
      </w:r>
      <w:proofErr w:type="spellStart"/>
      <w:r w:rsidRPr="000D2B36">
        <w:rPr>
          <w:color w:val="1A1A1A" w:themeColor="background1" w:themeShade="1A"/>
          <w:szCs w:val="22"/>
          <w:lang w:eastAsia="nl-NL"/>
        </w:rPr>
        <w:t>foras</w:t>
      </w:r>
      <w:proofErr w:type="spellEnd"/>
      <w:r w:rsidRPr="000D2B36">
        <w:rPr>
          <w:color w:val="1A1A1A" w:themeColor="background1" w:themeShade="1A"/>
          <w:szCs w:val="22"/>
          <w:lang w:eastAsia="nl-NL"/>
        </w:rPr>
        <w:t xml:space="preserve"> for cooperation” due to “a continued shift toward more complex ownership structures and more independent operations;”</w:t>
      </w:r>
    </w:p>
    <w:p w14:paraId="1A257275" w14:textId="77777777" w:rsidR="008E445B" w:rsidRPr="000D2B36" w:rsidRDefault="008E445B" w:rsidP="008E445B">
      <w:pPr>
        <w:pStyle w:val="Prrafodelista"/>
        <w:numPr>
          <w:ilvl w:val="0"/>
          <w:numId w:val="26"/>
        </w:numPr>
        <w:spacing w:line="276" w:lineRule="auto"/>
        <w:rPr>
          <w:color w:val="1A1A1A" w:themeColor="background1" w:themeShade="1A"/>
          <w:szCs w:val="22"/>
        </w:rPr>
      </w:pPr>
      <w:r w:rsidRPr="000D2B36">
        <w:rPr>
          <w:color w:val="1A1A1A" w:themeColor="background1" w:themeShade="1A"/>
          <w:szCs w:val="22"/>
        </w:rPr>
        <w:t>Concerns regarding “compliance with Art. IV of the Antarctic Treaty” in view of “the possibility of a party claiming sovereignty over the territory surrounding the facility or being considered as such by other Parties.”</w:t>
      </w:r>
    </w:p>
    <w:p w14:paraId="29A4A6E1"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p>
    <w:p w14:paraId="2CA2DE4E"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rPr>
      </w:pPr>
      <w:r w:rsidRPr="000D2B36">
        <w:rPr>
          <w:rFonts w:ascii="Times New Roman" w:hAnsi="Times New Roman" w:cs="Times New Roman"/>
          <w:color w:val="1A1A1A" w:themeColor="background1" w:themeShade="1A"/>
          <w:sz w:val="22"/>
          <w:szCs w:val="22"/>
          <w:lang w:val="en-GB"/>
        </w:rPr>
        <w:t xml:space="preserve">Most participants did not mention or see any benefits from permanent facilities for tourism or other NGO -activities. </w:t>
      </w:r>
      <w:r w:rsidRPr="000D2B36">
        <w:rPr>
          <w:rFonts w:ascii="Times New Roman" w:eastAsia="Times New Roman" w:hAnsi="Times New Roman" w:cs="Times New Roman"/>
          <w:color w:val="1A1A1A" w:themeColor="background1" w:themeShade="1A"/>
          <w:sz w:val="22"/>
          <w:szCs w:val="22"/>
          <w:lang w:val="en-GB" w:eastAsia="nl-NL"/>
        </w:rPr>
        <w:t xml:space="preserve">Some participants mentioned that benefits from highly regulated and well managed land-based tourism more generally may include “the support such operators were able to give to national Antarctic programmes, including in bolstering search and rescue capabilities.” It was also noted that “non-governmental operators had […] introduced innovation and best practice that had also proved useful for national operators.” Nevertheless, </w:t>
      </w:r>
      <w:r w:rsidRPr="000D2B36">
        <w:rPr>
          <w:rFonts w:ascii="Times New Roman" w:hAnsi="Times New Roman" w:cs="Times New Roman"/>
          <w:color w:val="1A1A1A" w:themeColor="background1" w:themeShade="1A"/>
          <w:sz w:val="22"/>
          <w:szCs w:val="22"/>
          <w:lang w:val="en-GB"/>
        </w:rPr>
        <w:t xml:space="preserve">the general impression from the discussion is that the concerns outweigh such possible positive benefits </w:t>
      </w:r>
      <w:r w:rsidRPr="000D2B36">
        <w:rPr>
          <w:rFonts w:ascii="Times New Roman" w:eastAsia="Times New Roman" w:hAnsi="Times New Roman" w:cs="Times New Roman"/>
          <w:color w:val="1A1A1A" w:themeColor="background1" w:themeShade="1A"/>
          <w:sz w:val="22"/>
          <w:szCs w:val="22"/>
          <w:lang w:val="en-GB" w:eastAsia="nl-NL"/>
        </w:rPr>
        <w:t>and - as summarised by one participant - “there were no obvious benefits identified from permanent tourism accommodation buildings, like hotels.”</w:t>
      </w:r>
    </w:p>
    <w:p w14:paraId="7F3724A2"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rPr>
      </w:pPr>
    </w:p>
    <w:p w14:paraId="018553F1" w14:textId="77777777" w:rsidR="008E445B" w:rsidRPr="000D2B36" w:rsidRDefault="008E445B" w:rsidP="008E445B">
      <w:pPr>
        <w:pStyle w:val="Sinespaciado"/>
        <w:numPr>
          <w:ilvl w:val="0"/>
          <w:numId w:val="22"/>
        </w:numPr>
        <w:spacing w:line="276" w:lineRule="auto"/>
        <w:rPr>
          <w:rFonts w:ascii="Times New Roman" w:hAnsi="Times New Roman" w:cs="Times New Roman"/>
          <w:b/>
          <w:color w:val="1A1A1A" w:themeColor="background1" w:themeShade="1A"/>
          <w:sz w:val="22"/>
          <w:szCs w:val="22"/>
          <w:lang w:val="en-GB"/>
        </w:rPr>
      </w:pPr>
      <w:r w:rsidRPr="000D2B36">
        <w:rPr>
          <w:rFonts w:ascii="Times New Roman" w:hAnsi="Times New Roman" w:cs="Times New Roman"/>
          <w:b/>
          <w:color w:val="1A1A1A" w:themeColor="background1" w:themeShade="1A"/>
          <w:sz w:val="22"/>
          <w:szCs w:val="22"/>
          <w:lang w:val="en-GB"/>
        </w:rPr>
        <w:t>Views expressed regarding possible ATCM action</w:t>
      </w:r>
    </w:p>
    <w:p w14:paraId="72F1E60A"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rPr>
      </w:pPr>
    </w:p>
    <w:p w14:paraId="45131541"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rPr>
      </w:pPr>
      <w:r w:rsidRPr="000D2B36">
        <w:rPr>
          <w:rFonts w:ascii="Times New Roman" w:eastAsia="Times New Roman" w:hAnsi="Times New Roman" w:cs="Times New Roman"/>
          <w:color w:val="1A1A1A" w:themeColor="background1" w:themeShade="1A"/>
          <w:sz w:val="22"/>
          <w:szCs w:val="22"/>
          <w:lang w:val="en-GB" w:eastAsia="nl-NL"/>
        </w:rPr>
        <w:t xml:space="preserve">The first two rounds of the ICG were used to generally explore the views on possible ATCM action on the issue of permanent facilities for tourism or other NGO-activities in Antarctica. With references to the discussed concerns, action in some form was considered desirable or necessary. </w:t>
      </w:r>
      <w:r w:rsidRPr="000D2B36">
        <w:rPr>
          <w:rFonts w:ascii="Times New Roman" w:hAnsi="Times New Roman" w:cs="Times New Roman"/>
          <w:color w:val="1A1A1A" w:themeColor="background1" w:themeShade="1A"/>
          <w:sz w:val="22"/>
          <w:szCs w:val="22"/>
          <w:lang w:val="en-GB"/>
        </w:rPr>
        <w:t>One participant stressed that “[</w:t>
      </w:r>
      <w:proofErr w:type="spellStart"/>
      <w:r w:rsidRPr="000D2B36">
        <w:rPr>
          <w:rFonts w:ascii="Times New Roman" w:hAnsi="Times New Roman" w:cs="Times New Roman"/>
          <w:color w:val="1A1A1A" w:themeColor="background1" w:themeShade="1A"/>
          <w:sz w:val="22"/>
          <w:szCs w:val="22"/>
          <w:lang w:val="en-GB"/>
        </w:rPr>
        <w:t>i</w:t>
      </w:r>
      <w:proofErr w:type="spellEnd"/>
      <w:r w:rsidRPr="000D2B36">
        <w:rPr>
          <w:rFonts w:ascii="Times New Roman" w:hAnsi="Times New Roman" w:cs="Times New Roman"/>
          <w:color w:val="1A1A1A" w:themeColor="background1" w:themeShade="1A"/>
          <w:sz w:val="22"/>
          <w:szCs w:val="22"/>
          <w:lang w:val="en-GB"/>
        </w:rPr>
        <w:t xml:space="preserve">]t seems appropriate to take action now, ahead of the development of such facilities.” </w:t>
      </w:r>
      <w:r w:rsidRPr="000D2B36">
        <w:rPr>
          <w:rFonts w:ascii="Times New Roman" w:eastAsia="Times New Roman" w:hAnsi="Times New Roman" w:cs="Times New Roman"/>
          <w:color w:val="1A1A1A" w:themeColor="background1" w:themeShade="1A"/>
          <w:sz w:val="22"/>
          <w:szCs w:val="22"/>
          <w:lang w:val="en-GB" w:eastAsia="nl-NL"/>
        </w:rPr>
        <w:t xml:space="preserve">Some explicitly stated that in their view legally binding </w:t>
      </w:r>
      <w:r w:rsidRPr="000D2B36">
        <w:rPr>
          <w:rFonts w:ascii="Times New Roman" w:eastAsia="Times New Roman" w:hAnsi="Times New Roman" w:cs="Times New Roman"/>
          <w:color w:val="1A1A1A" w:themeColor="background1" w:themeShade="1A"/>
          <w:sz w:val="22"/>
          <w:szCs w:val="22"/>
          <w:lang w:val="en-GB" w:eastAsia="nl-NL"/>
        </w:rPr>
        <w:lastRenderedPageBreak/>
        <w:t>measures should be taken promptly. One participant stated that “a moratorium on the establishment of permanent facilities for tourism and other non-governmental activities, as proposed by Germany and France at ATCM XXXI, could be a possible option for (re-)consideration.” Another participant supported this idea with reference to the concerns raised in the context of the recent development explained by Belgium. In this context, it was noted that “IAATO’s efforts cannot cover all activities of concern, inter alia because not all private actors are members of IAATO.” However, another participant stated that it would not prefer a moratorium.</w:t>
      </w:r>
    </w:p>
    <w:p w14:paraId="08233B27" w14:textId="77777777" w:rsidR="008E445B" w:rsidRPr="000D2B36" w:rsidRDefault="008E445B" w:rsidP="008E445B">
      <w:pPr>
        <w:pStyle w:val="Sinespaciado"/>
        <w:spacing w:line="276" w:lineRule="auto"/>
        <w:ind w:firstLine="708"/>
        <w:rPr>
          <w:rFonts w:ascii="Times New Roman" w:eastAsia="Times New Roman" w:hAnsi="Times New Roman" w:cs="Times New Roman"/>
          <w:color w:val="1A1A1A" w:themeColor="background1" w:themeShade="1A"/>
          <w:sz w:val="22"/>
          <w:szCs w:val="22"/>
          <w:lang w:val="en-GB" w:eastAsia="nl-NL"/>
        </w:rPr>
      </w:pPr>
      <w:r w:rsidRPr="000D2B36">
        <w:rPr>
          <w:rFonts w:ascii="Times New Roman" w:eastAsia="Times New Roman" w:hAnsi="Times New Roman" w:cs="Times New Roman"/>
          <w:color w:val="1A1A1A" w:themeColor="background1" w:themeShade="1A"/>
          <w:sz w:val="22"/>
          <w:szCs w:val="22"/>
          <w:lang w:val="en-GB" w:eastAsia="nl-NL"/>
        </w:rPr>
        <w:t>Several other participants stated that “</w:t>
      </w:r>
      <w:r w:rsidRPr="000D2B36">
        <w:rPr>
          <w:rFonts w:ascii="Times New Roman" w:hAnsi="Times New Roman" w:cs="Times New Roman"/>
          <w:color w:val="1A1A1A" w:themeColor="background1" w:themeShade="1A"/>
          <w:sz w:val="22"/>
          <w:szCs w:val="22"/>
          <w:lang w:val="en-GB" w:eastAsia="nl-NL"/>
        </w:rPr>
        <w:t>the further elaboration of a definition will be important in informing our subsequent discussion about potential ATCM actions” and that “an inventory of existing infrastructure used for tourism purposes […] would provide us with further clarity for a discussion on management options.”</w:t>
      </w:r>
    </w:p>
    <w:p w14:paraId="4AA10728" w14:textId="77777777" w:rsidR="008E445B" w:rsidRPr="000D2B36" w:rsidRDefault="008E445B" w:rsidP="008E445B">
      <w:pPr>
        <w:pStyle w:val="Sinespaciado"/>
        <w:spacing w:line="276" w:lineRule="auto"/>
        <w:ind w:firstLine="708"/>
        <w:rPr>
          <w:rFonts w:ascii="Times New Roman" w:eastAsia="Times New Roman" w:hAnsi="Times New Roman" w:cs="Times New Roman"/>
          <w:color w:val="1A1A1A" w:themeColor="background1" w:themeShade="1A"/>
          <w:sz w:val="22"/>
          <w:szCs w:val="22"/>
          <w:lang w:val="en-GB" w:eastAsia="nl-NL"/>
        </w:rPr>
      </w:pPr>
      <w:r w:rsidRPr="000D2B36">
        <w:rPr>
          <w:rFonts w:ascii="Times New Roman" w:eastAsia="Times New Roman" w:hAnsi="Times New Roman" w:cs="Times New Roman"/>
          <w:color w:val="1A1A1A" w:themeColor="background1" w:themeShade="1A"/>
          <w:sz w:val="22"/>
          <w:szCs w:val="22"/>
          <w:lang w:val="en-GB" w:eastAsia="nl-NL"/>
        </w:rPr>
        <w:t xml:space="preserve">Participants in the ICG also mentioned more specific issues for possible ATCM action. According to a participant, “Treaty Parties should also be encouraged to consider the possibility of establishing routines/mechanisms to ensure the availability of relevant information about ownership and management structures for all operations in Antarctica, incl. also contact points, permit information etc. to all Treaty Parties and national programs.” Another issue that was mentioned as a point of action was “the importance of Parties ensuring that non-governmental operators under their jurisdiction have sufficient and appropriate search and rescue capabilities at hand to cover all aspects of their activities, and that they do not rely on national operator resources for this purpose, as </w:t>
      </w:r>
      <w:proofErr w:type="spellStart"/>
      <w:r w:rsidRPr="000D2B36">
        <w:rPr>
          <w:rFonts w:ascii="Times New Roman" w:eastAsia="Times New Roman" w:hAnsi="Times New Roman" w:cs="Times New Roman"/>
          <w:color w:val="1A1A1A" w:themeColor="background1" w:themeShade="1A"/>
          <w:sz w:val="22"/>
          <w:szCs w:val="22"/>
          <w:lang w:val="en-GB" w:eastAsia="nl-NL"/>
        </w:rPr>
        <w:t>eg.</w:t>
      </w:r>
      <w:proofErr w:type="spellEnd"/>
      <w:r w:rsidRPr="000D2B36">
        <w:rPr>
          <w:rFonts w:ascii="Times New Roman" w:eastAsia="Times New Roman" w:hAnsi="Times New Roman" w:cs="Times New Roman"/>
          <w:color w:val="1A1A1A" w:themeColor="background1" w:themeShade="1A"/>
          <w:sz w:val="22"/>
          <w:szCs w:val="22"/>
          <w:lang w:val="en-GB" w:eastAsia="nl-NL"/>
        </w:rPr>
        <w:t xml:space="preserve"> specified in Measure 4 (2004).”</w:t>
      </w:r>
    </w:p>
    <w:p w14:paraId="1E9C6805" w14:textId="77777777" w:rsidR="008E445B" w:rsidRPr="000D2B36" w:rsidRDefault="008E445B" w:rsidP="008E445B">
      <w:pPr>
        <w:pStyle w:val="Sinespaciado"/>
        <w:spacing w:line="276" w:lineRule="auto"/>
        <w:ind w:firstLine="708"/>
        <w:rPr>
          <w:rFonts w:ascii="Times New Roman" w:hAnsi="Times New Roman" w:cs="Times New Roman"/>
          <w:color w:val="1A1A1A" w:themeColor="background1" w:themeShade="1A"/>
          <w:sz w:val="22"/>
          <w:szCs w:val="22"/>
          <w:lang w:val="en-GB"/>
        </w:rPr>
      </w:pPr>
      <w:r>
        <w:rPr>
          <w:rFonts w:ascii="Times New Roman" w:eastAsia="Times New Roman" w:hAnsi="Times New Roman" w:cs="Times New Roman"/>
          <w:color w:val="1A1A1A" w:themeColor="background1" w:themeShade="1A"/>
          <w:sz w:val="22"/>
          <w:szCs w:val="22"/>
          <w:lang w:val="en-GB" w:eastAsia="nl-NL"/>
        </w:rPr>
        <w:t>One participant</w:t>
      </w:r>
      <w:r w:rsidRPr="000D2B36">
        <w:rPr>
          <w:rFonts w:ascii="Times New Roman" w:eastAsia="Times New Roman" w:hAnsi="Times New Roman" w:cs="Times New Roman"/>
          <w:color w:val="1A1A1A" w:themeColor="background1" w:themeShade="1A"/>
          <w:sz w:val="22"/>
          <w:szCs w:val="22"/>
          <w:lang w:val="en-GB" w:eastAsia="nl-NL"/>
        </w:rPr>
        <w:t xml:space="preserve"> stated that “</w:t>
      </w:r>
      <w:r w:rsidRPr="000D2B36">
        <w:rPr>
          <w:rFonts w:ascii="Times New Roman" w:hAnsi="Times New Roman" w:cs="Times New Roman"/>
          <w:color w:val="1A1A1A" w:themeColor="background1" w:themeShade="1A"/>
          <w:sz w:val="22"/>
          <w:szCs w:val="22"/>
          <w:lang w:val="en-GB"/>
        </w:rPr>
        <w:t xml:space="preserve">[t]here may be different paths within the AT system to achieve the goal of no permanent facilities, such as altering language to say that NGO activities should have no more than a minor or transitory impact on the Antarctic environment, including natural wilderness and historical values.” According to </w:t>
      </w:r>
      <w:r>
        <w:rPr>
          <w:rFonts w:ascii="Times New Roman" w:hAnsi="Times New Roman" w:cs="Times New Roman"/>
          <w:color w:val="1A1A1A" w:themeColor="background1" w:themeShade="1A"/>
          <w:sz w:val="22"/>
          <w:szCs w:val="22"/>
          <w:lang w:val="en-GB"/>
        </w:rPr>
        <w:t>this participant</w:t>
      </w:r>
      <w:r w:rsidRPr="000D2B36">
        <w:rPr>
          <w:rFonts w:ascii="Times New Roman" w:hAnsi="Times New Roman" w:cs="Times New Roman"/>
          <w:color w:val="1A1A1A" w:themeColor="background1" w:themeShade="1A"/>
          <w:sz w:val="22"/>
          <w:szCs w:val="22"/>
          <w:lang w:val="en-GB"/>
        </w:rPr>
        <w:t>, “[c]</w:t>
      </w:r>
      <w:proofErr w:type="spellStart"/>
      <w:r w:rsidRPr="000D2B36">
        <w:rPr>
          <w:rFonts w:ascii="Times New Roman" w:hAnsi="Times New Roman" w:cs="Times New Roman"/>
          <w:color w:val="1A1A1A" w:themeColor="background1" w:themeShade="1A"/>
          <w:sz w:val="22"/>
          <w:szCs w:val="22"/>
          <w:lang w:val="en-GB"/>
        </w:rPr>
        <w:t>oupled</w:t>
      </w:r>
      <w:proofErr w:type="spellEnd"/>
      <w:r w:rsidRPr="000D2B36">
        <w:rPr>
          <w:rFonts w:ascii="Times New Roman" w:hAnsi="Times New Roman" w:cs="Times New Roman"/>
          <w:color w:val="1A1A1A" w:themeColor="background1" w:themeShade="1A"/>
          <w:sz w:val="22"/>
          <w:szCs w:val="22"/>
          <w:lang w:val="en-GB"/>
        </w:rPr>
        <w:t xml:space="preserve"> with a strengthened and consistent permitting/authorisation process, this may be helpful in counteracting the development of permanent infrastructure.”</w:t>
      </w:r>
    </w:p>
    <w:p w14:paraId="714F3D2A" w14:textId="77777777" w:rsidR="008E445B" w:rsidRPr="000D2B36" w:rsidRDefault="008E445B" w:rsidP="008E445B">
      <w:pPr>
        <w:pStyle w:val="Sinespaciado"/>
        <w:spacing w:line="276" w:lineRule="auto"/>
        <w:ind w:firstLine="708"/>
        <w:rPr>
          <w:rFonts w:ascii="Times New Roman" w:eastAsia="Times New Roman" w:hAnsi="Times New Roman" w:cs="Times New Roman"/>
          <w:color w:val="1A1A1A" w:themeColor="background1" w:themeShade="1A"/>
          <w:sz w:val="22"/>
          <w:szCs w:val="22"/>
          <w:lang w:val="en-GB" w:eastAsia="nl-NL"/>
        </w:rPr>
      </w:pPr>
      <w:r w:rsidRPr="000D2B36">
        <w:rPr>
          <w:rFonts w:ascii="Times New Roman" w:eastAsia="Times New Roman" w:hAnsi="Times New Roman" w:cs="Times New Roman"/>
          <w:color w:val="1A1A1A" w:themeColor="background1" w:themeShade="1A"/>
          <w:sz w:val="22"/>
          <w:szCs w:val="22"/>
          <w:lang w:val="en-GB" w:eastAsia="nl-NL"/>
        </w:rPr>
        <w:t xml:space="preserve">Several participants explicitly referred to existing instruments, </w:t>
      </w:r>
      <w:r w:rsidRPr="000D2B36">
        <w:rPr>
          <w:rFonts w:ascii="Times New Roman" w:hAnsi="Times New Roman" w:cs="Times New Roman"/>
          <w:color w:val="1A1A1A" w:themeColor="background1" w:themeShade="1A"/>
          <w:sz w:val="22"/>
          <w:szCs w:val="22"/>
          <w:lang w:val="en-GB"/>
        </w:rPr>
        <w:t xml:space="preserve">such as </w:t>
      </w:r>
      <w:r w:rsidRPr="000D2B36">
        <w:rPr>
          <w:rFonts w:ascii="Times New Roman" w:eastAsia="Times New Roman" w:hAnsi="Times New Roman" w:cs="Times New Roman"/>
          <w:color w:val="1A1A1A" w:themeColor="background1" w:themeShade="1A"/>
          <w:sz w:val="22"/>
          <w:szCs w:val="22"/>
          <w:lang w:val="en-GB" w:eastAsia="nl-NL"/>
        </w:rPr>
        <w:t>Resolution 5 (2007), Resolution 7 (2009). It was noted, however, that these Resolutions are not legally binding and in some Contracting Parties these tools “in principle, do not allow the NCA to prohibit such activities”. Some participants proposed the transformation of these resolutions into legally binding measures.</w:t>
      </w:r>
    </w:p>
    <w:p w14:paraId="07EA5AB0" w14:textId="77777777" w:rsidR="008E445B" w:rsidRPr="000D2B36" w:rsidRDefault="008E445B" w:rsidP="008E445B">
      <w:pPr>
        <w:pStyle w:val="Sinespaciado"/>
        <w:spacing w:line="276" w:lineRule="auto"/>
        <w:ind w:firstLine="708"/>
        <w:rPr>
          <w:rFonts w:ascii="Times New Roman" w:eastAsia="Times New Roman" w:hAnsi="Times New Roman" w:cs="Times New Roman"/>
          <w:color w:val="1A1A1A" w:themeColor="background1" w:themeShade="1A"/>
          <w:sz w:val="22"/>
          <w:szCs w:val="22"/>
          <w:lang w:val="en-GB" w:eastAsia="nl-NL"/>
        </w:rPr>
      </w:pPr>
      <w:r w:rsidRPr="000D2B36">
        <w:rPr>
          <w:rFonts w:ascii="Times New Roman" w:eastAsia="Times New Roman" w:hAnsi="Times New Roman" w:cs="Times New Roman"/>
          <w:color w:val="1A1A1A" w:themeColor="background1" w:themeShade="1A"/>
          <w:sz w:val="22"/>
          <w:szCs w:val="22"/>
          <w:lang w:val="en-GB" w:eastAsia="nl-NL"/>
        </w:rPr>
        <w:t xml:space="preserve">“Another issue that may be addressed as a point of action is the importance of Parties ensuring that non-governmental operators under their jurisdiction have sufficient and appropriate search and rescue capabilities at hand to cover all aspects of their activities, and that they do not rely on national operator resources for this purpose, as </w:t>
      </w:r>
      <w:proofErr w:type="spellStart"/>
      <w:r w:rsidRPr="000D2B36">
        <w:rPr>
          <w:rFonts w:ascii="Times New Roman" w:eastAsia="Times New Roman" w:hAnsi="Times New Roman" w:cs="Times New Roman"/>
          <w:color w:val="1A1A1A" w:themeColor="background1" w:themeShade="1A"/>
          <w:sz w:val="22"/>
          <w:szCs w:val="22"/>
          <w:lang w:val="en-GB" w:eastAsia="nl-NL"/>
        </w:rPr>
        <w:t>eg.</w:t>
      </w:r>
      <w:proofErr w:type="spellEnd"/>
      <w:r w:rsidRPr="000D2B36">
        <w:rPr>
          <w:rFonts w:ascii="Times New Roman" w:eastAsia="Times New Roman" w:hAnsi="Times New Roman" w:cs="Times New Roman"/>
          <w:color w:val="1A1A1A" w:themeColor="background1" w:themeShade="1A"/>
          <w:sz w:val="22"/>
          <w:szCs w:val="22"/>
          <w:lang w:val="en-GB" w:eastAsia="nl-NL"/>
        </w:rPr>
        <w:t xml:space="preserve"> specified in Measure 4 (2004)</w:t>
      </w:r>
      <w:r>
        <w:rPr>
          <w:rFonts w:ascii="Times New Roman" w:eastAsia="Times New Roman" w:hAnsi="Times New Roman" w:cs="Times New Roman"/>
          <w:color w:val="1A1A1A" w:themeColor="background1" w:themeShade="1A"/>
          <w:sz w:val="22"/>
          <w:szCs w:val="22"/>
          <w:lang w:val="en-GB" w:eastAsia="nl-NL"/>
        </w:rPr>
        <w:t>.</w:t>
      </w:r>
      <w:r w:rsidRPr="000D2B36">
        <w:rPr>
          <w:rFonts w:ascii="Times New Roman" w:eastAsia="Times New Roman" w:hAnsi="Times New Roman" w:cs="Times New Roman"/>
          <w:color w:val="1A1A1A" w:themeColor="background1" w:themeShade="1A"/>
          <w:sz w:val="22"/>
          <w:szCs w:val="22"/>
          <w:lang w:val="en-GB" w:eastAsia="nl-NL"/>
        </w:rPr>
        <w:t>"</w:t>
      </w:r>
      <w:r w:rsidRPr="000D2B36">
        <w:rPr>
          <w:rFonts w:ascii="Times New Roman" w:eastAsia="Times New Roman" w:hAnsi="Times New Roman" w:cs="Times New Roman"/>
          <w:color w:val="1A1A1A" w:themeColor="background1" w:themeShade="1A"/>
          <w:sz w:val="22"/>
          <w:szCs w:val="22"/>
          <w:lang w:val="en-GB" w:eastAsia="nl-NL"/>
        </w:rPr>
        <w:br/>
      </w:r>
    </w:p>
    <w:p w14:paraId="44A5D11A"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rPr>
      </w:pPr>
      <w:r w:rsidRPr="000D2B36">
        <w:rPr>
          <w:rFonts w:ascii="Times New Roman" w:eastAsia="Times New Roman" w:hAnsi="Times New Roman" w:cs="Times New Roman"/>
          <w:color w:val="1A1A1A" w:themeColor="background1" w:themeShade="1A"/>
          <w:sz w:val="22"/>
          <w:szCs w:val="22"/>
          <w:lang w:val="en-GB" w:eastAsia="nl-NL"/>
        </w:rPr>
        <w:t>Based on these discussions in the first two rounds of the ICG, a two-step approach was proposed as input for the third round of discussions:</w:t>
      </w:r>
    </w:p>
    <w:p w14:paraId="2853B102"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rPr>
      </w:pPr>
    </w:p>
    <w:p w14:paraId="2DBA560C" w14:textId="77777777" w:rsidR="008E445B" w:rsidRPr="000D2B36" w:rsidRDefault="008E445B" w:rsidP="008E445B">
      <w:pPr>
        <w:pStyle w:val="Sinespaciado"/>
        <w:numPr>
          <w:ilvl w:val="0"/>
          <w:numId w:val="29"/>
        </w:numPr>
        <w:spacing w:line="276" w:lineRule="auto"/>
        <w:rPr>
          <w:rFonts w:ascii="Times New Roman" w:eastAsia="Times New Roman" w:hAnsi="Times New Roman" w:cs="Times New Roman"/>
          <w:color w:val="1A1A1A" w:themeColor="background1" w:themeShade="1A"/>
          <w:sz w:val="22"/>
          <w:szCs w:val="22"/>
          <w:lang w:val="en-GB" w:eastAsia="nl-NL"/>
        </w:rPr>
      </w:pPr>
      <w:r w:rsidRPr="000D2B36">
        <w:rPr>
          <w:rFonts w:ascii="Times New Roman" w:hAnsi="Times New Roman" w:cs="Times New Roman"/>
          <w:b/>
          <w:i/>
          <w:color w:val="1A1A1A" w:themeColor="background1" w:themeShade="1A"/>
          <w:sz w:val="22"/>
          <w:szCs w:val="22"/>
          <w:lang w:val="en-GB"/>
        </w:rPr>
        <w:t>Immediate action:</w:t>
      </w:r>
      <w:r w:rsidRPr="000D2B36">
        <w:rPr>
          <w:rFonts w:ascii="Times New Roman" w:hAnsi="Times New Roman" w:cs="Times New Roman"/>
          <w:color w:val="1A1A1A" w:themeColor="background1" w:themeShade="1A"/>
          <w:sz w:val="22"/>
          <w:szCs w:val="22"/>
          <w:lang w:val="en-GB"/>
        </w:rPr>
        <w:t xml:space="preserve"> </w:t>
      </w:r>
      <w:proofErr w:type="gramStart"/>
      <w:r w:rsidRPr="000D2B36">
        <w:rPr>
          <w:rFonts w:ascii="Times New Roman" w:eastAsia="Times New Roman" w:hAnsi="Times New Roman" w:cs="Times New Roman"/>
          <w:color w:val="1A1A1A" w:themeColor="background1" w:themeShade="1A"/>
          <w:sz w:val="22"/>
          <w:szCs w:val="22"/>
          <w:lang w:val="en-GB" w:eastAsia="nl-NL"/>
        </w:rPr>
        <w:t>In light of</w:t>
      </w:r>
      <w:proofErr w:type="gramEnd"/>
      <w:r w:rsidRPr="000D2B36">
        <w:rPr>
          <w:rFonts w:ascii="Times New Roman" w:eastAsia="Times New Roman" w:hAnsi="Times New Roman" w:cs="Times New Roman"/>
          <w:color w:val="1A1A1A" w:themeColor="background1" w:themeShade="1A"/>
          <w:sz w:val="22"/>
          <w:szCs w:val="22"/>
          <w:lang w:val="en-GB" w:eastAsia="nl-NL"/>
        </w:rPr>
        <w:t xml:space="preserve"> recent plans and to ensure action </w:t>
      </w:r>
      <w:r w:rsidRPr="000D2B36">
        <w:rPr>
          <w:rFonts w:ascii="Times New Roman" w:hAnsi="Times New Roman" w:cs="Times New Roman"/>
          <w:color w:val="1A1A1A" w:themeColor="background1" w:themeShade="1A"/>
          <w:sz w:val="22"/>
          <w:szCs w:val="22"/>
          <w:lang w:val="en-GB"/>
        </w:rPr>
        <w:t xml:space="preserve">prior to additional proposals and actual implementation of such plans, </w:t>
      </w:r>
      <w:r w:rsidRPr="000D2B36">
        <w:rPr>
          <w:rFonts w:ascii="Times New Roman" w:eastAsia="Times New Roman" w:hAnsi="Times New Roman" w:cs="Times New Roman"/>
          <w:color w:val="1A1A1A" w:themeColor="background1" w:themeShade="1A"/>
          <w:sz w:val="22"/>
          <w:szCs w:val="22"/>
          <w:lang w:val="en-GB" w:eastAsia="nl-NL"/>
        </w:rPr>
        <w:t xml:space="preserve">the transposition of Resolution 5(2007) into a Measure was proposed, including </w:t>
      </w:r>
      <w:r w:rsidRPr="000D2B36">
        <w:rPr>
          <w:rFonts w:ascii="Times New Roman" w:hAnsi="Times New Roman" w:cs="Times New Roman"/>
          <w:color w:val="1A1A1A" w:themeColor="background1" w:themeShade="1A"/>
          <w:sz w:val="22"/>
          <w:szCs w:val="22"/>
          <w:lang w:val="en-GB" w:eastAsia="nl-NL"/>
        </w:rPr>
        <w:t xml:space="preserve">permanent facilities as defined by </w:t>
      </w:r>
      <w:r>
        <w:rPr>
          <w:rFonts w:ascii="Times New Roman" w:hAnsi="Times New Roman" w:cs="Times New Roman"/>
          <w:color w:val="1A1A1A" w:themeColor="background1" w:themeShade="1A"/>
          <w:sz w:val="22"/>
          <w:szCs w:val="22"/>
          <w:lang w:val="en-GB" w:eastAsia="nl-NL"/>
        </w:rPr>
        <w:t>two participants of the ICG</w:t>
      </w:r>
      <w:r w:rsidRPr="000D2B36">
        <w:rPr>
          <w:rFonts w:ascii="Times New Roman" w:hAnsi="Times New Roman" w:cs="Times New Roman"/>
          <w:color w:val="1A1A1A" w:themeColor="background1" w:themeShade="1A"/>
          <w:sz w:val="22"/>
          <w:szCs w:val="22"/>
          <w:lang w:val="en-GB" w:eastAsia="nl-NL"/>
        </w:rPr>
        <w:t xml:space="preserve"> as an example of developments that would fall within the scope of such a Measure.</w:t>
      </w:r>
      <w:r w:rsidRPr="000D2B36">
        <w:rPr>
          <w:rFonts w:ascii="Times New Roman" w:eastAsia="Times New Roman" w:hAnsi="Times New Roman" w:cs="Times New Roman"/>
          <w:color w:val="1A1A1A" w:themeColor="background1" w:themeShade="1A"/>
          <w:sz w:val="22"/>
          <w:szCs w:val="22"/>
          <w:lang w:val="en-GB" w:eastAsia="nl-NL"/>
        </w:rPr>
        <w:t xml:space="preserve"> </w:t>
      </w:r>
      <w:r w:rsidRPr="000D2B36">
        <w:rPr>
          <w:rFonts w:ascii="Times New Roman" w:hAnsi="Times New Roman" w:cs="Times New Roman"/>
          <w:color w:val="1A1A1A" w:themeColor="background1" w:themeShade="1A"/>
          <w:sz w:val="22"/>
          <w:szCs w:val="22"/>
          <w:lang w:val="en-GB" w:eastAsia="nl-NL"/>
        </w:rPr>
        <w:t>Building on text proposals made by participants of the ICG, the following draft text for a Measure was proposed:</w:t>
      </w:r>
    </w:p>
    <w:p w14:paraId="6083C64D" w14:textId="77777777" w:rsidR="008E445B" w:rsidRPr="000D2B36" w:rsidRDefault="008E445B" w:rsidP="008E445B">
      <w:pPr>
        <w:pStyle w:val="Sinespaciado"/>
        <w:spacing w:line="276" w:lineRule="auto"/>
        <w:rPr>
          <w:rFonts w:ascii="Times New Roman" w:eastAsia="Times New Roman" w:hAnsi="Times New Roman" w:cs="Times New Roman"/>
          <w:color w:val="1A1A1A" w:themeColor="background1" w:themeShade="1A"/>
          <w:sz w:val="22"/>
          <w:szCs w:val="22"/>
          <w:lang w:val="en-GB" w:eastAsia="nl-NL"/>
        </w:rPr>
      </w:pPr>
    </w:p>
    <w:p w14:paraId="3A5B5DCD" w14:textId="77777777" w:rsidR="008E445B" w:rsidRPr="000D2B36" w:rsidRDefault="008E445B" w:rsidP="008E445B">
      <w:pPr>
        <w:pStyle w:val="Sinespaciado"/>
        <w:spacing w:line="276" w:lineRule="auto"/>
        <w:ind w:left="708"/>
        <w:rPr>
          <w:rFonts w:ascii="Times New Roman" w:eastAsia="Times New Roman" w:hAnsi="Times New Roman" w:cs="Times New Roman"/>
          <w:i/>
          <w:color w:val="1A1A1A" w:themeColor="background1" w:themeShade="1A"/>
          <w:sz w:val="22"/>
          <w:szCs w:val="22"/>
          <w:lang w:val="en-GB" w:eastAsia="nl-NL"/>
        </w:rPr>
      </w:pPr>
      <w:r w:rsidRPr="000D2B36">
        <w:rPr>
          <w:rFonts w:ascii="Times New Roman" w:eastAsia="Times New Roman" w:hAnsi="Times New Roman" w:cs="Times New Roman"/>
          <w:i/>
          <w:color w:val="1A1A1A" w:themeColor="background1" w:themeShade="1A"/>
          <w:sz w:val="22"/>
          <w:szCs w:val="22"/>
          <w:lang w:val="en-GB" w:eastAsia="nl-NL"/>
        </w:rPr>
        <w:lastRenderedPageBreak/>
        <w:t xml:space="preserve">“Parties prohibit any tourism and other non-governmental activities which may substantially contribute to the long-term degradation of the Antarctic environment and its dependent and associated ecosystems. </w:t>
      </w:r>
    </w:p>
    <w:p w14:paraId="5E2A558A" w14:textId="77777777" w:rsidR="008E445B" w:rsidRPr="000D2B36" w:rsidRDefault="008E445B" w:rsidP="008E445B">
      <w:pPr>
        <w:pStyle w:val="Sinespaciado"/>
        <w:spacing w:line="276" w:lineRule="auto"/>
        <w:ind w:left="708"/>
        <w:rPr>
          <w:rFonts w:ascii="Times New Roman" w:eastAsia="Times New Roman" w:hAnsi="Times New Roman" w:cs="Times New Roman"/>
          <w:i/>
          <w:color w:val="1A1A1A" w:themeColor="background1" w:themeShade="1A"/>
          <w:sz w:val="22"/>
          <w:szCs w:val="22"/>
          <w:lang w:val="en-GB" w:eastAsia="nl-NL"/>
        </w:rPr>
      </w:pPr>
    </w:p>
    <w:p w14:paraId="192087B2" w14:textId="77777777" w:rsidR="008E445B" w:rsidRPr="000D2B36" w:rsidRDefault="008E445B" w:rsidP="008E445B">
      <w:pPr>
        <w:pStyle w:val="Sinespaciado"/>
        <w:spacing w:line="276" w:lineRule="auto"/>
        <w:ind w:left="708"/>
        <w:rPr>
          <w:rFonts w:ascii="Times New Roman" w:eastAsia="Times New Roman" w:hAnsi="Times New Roman" w:cs="Times New Roman"/>
          <w:i/>
          <w:color w:val="1A1A1A" w:themeColor="background1" w:themeShade="1A"/>
          <w:sz w:val="22"/>
          <w:szCs w:val="22"/>
          <w:lang w:val="en-GB" w:eastAsia="nl-NL"/>
        </w:rPr>
      </w:pPr>
      <w:r w:rsidRPr="000D2B36">
        <w:rPr>
          <w:rFonts w:ascii="Times New Roman" w:eastAsia="Times New Roman" w:hAnsi="Times New Roman" w:cs="Times New Roman"/>
          <w:i/>
          <w:color w:val="1A1A1A" w:themeColor="background1" w:themeShade="1A"/>
          <w:sz w:val="22"/>
          <w:szCs w:val="22"/>
          <w:lang w:val="en-GB" w:eastAsia="nl-NL"/>
        </w:rPr>
        <w:t xml:space="preserve">Such activities include, </w:t>
      </w:r>
      <w:r w:rsidRPr="000D2B36">
        <w:rPr>
          <w:rFonts w:ascii="Times New Roman" w:hAnsi="Times New Roman" w:cs="Times New Roman"/>
          <w:i/>
          <w:color w:val="1A1A1A" w:themeColor="background1" w:themeShade="1A"/>
          <w:sz w:val="22"/>
          <w:szCs w:val="22"/>
          <w:lang w:val="en-GB" w:eastAsia="nl-NL"/>
        </w:rPr>
        <w:t>but are not restricted to</w:t>
      </w:r>
      <w:r w:rsidRPr="000D2B36">
        <w:rPr>
          <w:rFonts w:ascii="Times New Roman" w:eastAsia="Times New Roman" w:hAnsi="Times New Roman" w:cs="Times New Roman"/>
          <w:i/>
          <w:color w:val="1A1A1A" w:themeColor="background1" w:themeShade="1A"/>
          <w:sz w:val="22"/>
          <w:szCs w:val="22"/>
          <w:lang w:val="en-GB" w:eastAsia="nl-NL"/>
        </w:rPr>
        <w:t>:</w:t>
      </w:r>
    </w:p>
    <w:p w14:paraId="1002751C" w14:textId="77777777" w:rsidR="008E445B" w:rsidRPr="000D2B36" w:rsidRDefault="008E445B" w:rsidP="008E445B">
      <w:pPr>
        <w:pStyle w:val="Sinespaciado"/>
        <w:numPr>
          <w:ilvl w:val="0"/>
          <w:numId w:val="28"/>
        </w:numPr>
        <w:spacing w:line="276" w:lineRule="auto"/>
        <w:rPr>
          <w:rFonts w:ascii="Times New Roman" w:hAnsi="Times New Roman" w:cs="Times New Roman"/>
          <w:i/>
          <w:color w:val="1A1A1A" w:themeColor="background1" w:themeShade="1A"/>
          <w:sz w:val="22"/>
          <w:szCs w:val="22"/>
          <w:lang w:val="en-GB" w:eastAsia="nl-NL"/>
        </w:rPr>
      </w:pPr>
      <w:r w:rsidRPr="000D2B36">
        <w:rPr>
          <w:rFonts w:ascii="Times New Roman" w:hAnsi="Times New Roman" w:cs="Times New Roman"/>
          <w:i/>
          <w:color w:val="1A1A1A" w:themeColor="background1" w:themeShade="1A"/>
          <w:sz w:val="22"/>
          <w:szCs w:val="22"/>
          <w:lang w:val="en-GB" w:eastAsia="nl-NL"/>
        </w:rPr>
        <w:t xml:space="preserve">the construction and/or exploitation of permanent buildings for the accommodation of tourism and other non-governmental activities in Antarctica, other than [existing] </w:t>
      </w:r>
      <w:r w:rsidRPr="000D2B36">
        <w:rPr>
          <w:rFonts w:ascii="Times New Roman" w:eastAsia="Times New Roman" w:hAnsi="Times New Roman" w:cs="Times New Roman"/>
          <w:i/>
          <w:color w:val="1A1A1A" w:themeColor="background1" w:themeShade="1A"/>
          <w:sz w:val="22"/>
          <w:szCs w:val="22"/>
          <w:lang w:val="en-GB" w:eastAsia="nl-NL"/>
        </w:rPr>
        <w:t xml:space="preserve">small scale infrastructure operated by a National Antarctic Program for education and outreach </w:t>
      </w:r>
      <w:proofErr w:type="gramStart"/>
      <w:r w:rsidRPr="000D2B36">
        <w:rPr>
          <w:rFonts w:ascii="Times New Roman" w:eastAsia="Times New Roman" w:hAnsi="Times New Roman" w:cs="Times New Roman"/>
          <w:i/>
          <w:color w:val="1A1A1A" w:themeColor="background1" w:themeShade="1A"/>
          <w:sz w:val="22"/>
          <w:szCs w:val="22"/>
          <w:lang w:val="en-GB" w:eastAsia="nl-NL"/>
        </w:rPr>
        <w:t>purposes;</w:t>
      </w:r>
      <w:proofErr w:type="gramEnd"/>
    </w:p>
    <w:p w14:paraId="4953648D" w14:textId="77777777" w:rsidR="008E445B" w:rsidRPr="000D2B36" w:rsidRDefault="008E445B" w:rsidP="008E445B">
      <w:pPr>
        <w:pStyle w:val="Sinespaciado"/>
        <w:numPr>
          <w:ilvl w:val="0"/>
          <w:numId w:val="28"/>
        </w:numPr>
        <w:spacing w:line="276" w:lineRule="auto"/>
        <w:rPr>
          <w:rFonts w:ascii="Times New Roman" w:eastAsia="Times New Roman" w:hAnsi="Times New Roman" w:cs="Times New Roman"/>
          <w:i/>
          <w:color w:val="1A1A1A" w:themeColor="background1" w:themeShade="1A"/>
          <w:sz w:val="22"/>
          <w:szCs w:val="22"/>
          <w:lang w:val="en-GB" w:eastAsia="nl-NL"/>
        </w:rPr>
      </w:pPr>
      <w:r w:rsidRPr="000D2B36">
        <w:rPr>
          <w:rFonts w:ascii="Times New Roman" w:hAnsi="Times New Roman" w:cs="Times New Roman"/>
          <w:i/>
          <w:color w:val="1A1A1A" w:themeColor="background1" w:themeShade="1A"/>
          <w:sz w:val="22"/>
          <w:szCs w:val="22"/>
          <w:lang w:val="en-GB" w:eastAsia="nl-NL"/>
        </w:rPr>
        <w:t xml:space="preserve">the construction and/or exploitation of any other structure or facility designed to be operated in Antarctica over multiple seasons where its construction, operation or removal is expected to have more than a minor or transitory impact on the Antarctic environment </w:t>
      </w:r>
      <w:r w:rsidRPr="000D2B36">
        <w:rPr>
          <w:rFonts w:ascii="Times New Roman" w:eastAsia="Times New Roman" w:hAnsi="Times New Roman" w:cs="Times New Roman"/>
          <w:i/>
          <w:color w:val="1A1A1A" w:themeColor="background1" w:themeShade="1A"/>
          <w:sz w:val="22"/>
          <w:szCs w:val="22"/>
          <w:lang w:val="en-GB" w:eastAsia="nl-NL"/>
        </w:rPr>
        <w:t xml:space="preserve">or the intrinsic natural wilderness and historical values of Antarctica. </w:t>
      </w:r>
      <w:r w:rsidRPr="000D2B36">
        <w:rPr>
          <w:rFonts w:ascii="Times New Roman" w:hAnsi="Times New Roman" w:cs="Times New Roman"/>
          <w:i/>
          <w:color w:val="1A1A1A" w:themeColor="background1" w:themeShade="1A"/>
          <w:sz w:val="22"/>
          <w:szCs w:val="22"/>
          <w:lang w:val="en-GB" w:eastAsia="nl-NL"/>
        </w:rPr>
        <w:t>Examples include, but are not restricted to, buildings, wharves and jetties, and graded runways on exposed ground.”</w:t>
      </w:r>
    </w:p>
    <w:p w14:paraId="1F45439A" w14:textId="77777777" w:rsidR="008E445B" w:rsidRPr="000D2B36" w:rsidRDefault="008E445B" w:rsidP="008E445B">
      <w:pPr>
        <w:pStyle w:val="Sinespaciado"/>
        <w:spacing w:line="276" w:lineRule="auto"/>
        <w:ind w:left="720"/>
        <w:rPr>
          <w:rFonts w:ascii="Times New Roman" w:eastAsia="Times New Roman" w:hAnsi="Times New Roman" w:cs="Times New Roman"/>
          <w:color w:val="1A1A1A" w:themeColor="background1" w:themeShade="1A"/>
          <w:sz w:val="22"/>
          <w:szCs w:val="22"/>
          <w:lang w:val="en-GB" w:eastAsia="nl-NL"/>
        </w:rPr>
      </w:pPr>
      <w:r w:rsidRPr="000D2B36">
        <w:rPr>
          <w:rFonts w:ascii="Times New Roman" w:hAnsi="Times New Roman" w:cs="Times New Roman"/>
          <w:color w:val="1A1A1A" w:themeColor="background1" w:themeShade="1A"/>
          <w:sz w:val="22"/>
          <w:szCs w:val="22"/>
          <w:lang w:val="en-GB" w:eastAsia="nl-NL"/>
        </w:rPr>
        <w:br/>
        <w:t>As another immediate action it was also proposed to renewed</w:t>
      </w:r>
      <w:r w:rsidRPr="000D2B36">
        <w:rPr>
          <w:rFonts w:ascii="Times New Roman" w:eastAsia="Times New Roman" w:hAnsi="Times New Roman" w:cs="Times New Roman"/>
          <w:color w:val="1A1A1A" w:themeColor="background1" w:themeShade="1A"/>
          <w:sz w:val="22"/>
          <w:szCs w:val="22"/>
          <w:lang w:val="en-GB" w:eastAsia="nl-NL"/>
        </w:rPr>
        <w:t xml:space="preserve"> encouragement of Consultative Parties to approve Measure 4 (2004) and Measure 15 (2009) to ensure that these Measures enter into force as soon as possible.</w:t>
      </w:r>
    </w:p>
    <w:p w14:paraId="3F3F1E46" w14:textId="77777777" w:rsidR="008E445B" w:rsidRPr="000D2B36" w:rsidRDefault="008E445B" w:rsidP="008E445B">
      <w:pPr>
        <w:pStyle w:val="Sinespaciado"/>
        <w:spacing w:line="276" w:lineRule="auto"/>
        <w:ind w:left="720"/>
        <w:rPr>
          <w:rFonts w:ascii="Times New Roman" w:hAnsi="Times New Roman" w:cs="Times New Roman"/>
          <w:color w:val="1A1A1A" w:themeColor="background1" w:themeShade="1A"/>
          <w:sz w:val="22"/>
          <w:szCs w:val="22"/>
          <w:lang w:val="en-GB" w:eastAsia="nl-NL"/>
        </w:rPr>
      </w:pPr>
    </w:p>
    <w:p w14:paraId="73792729" w14:textId="77777777" w:rsidR="008E445B" w:rsidRPr="000D2B36" w:rsidRDefault="008E445B" w:rsidP="008E445B">
      <w:pPr>
        <w:pStyle w:val="Sinespaciado"/>
        <w:numPr>
          <w:ilvl w:val="0"/>
          <w:numId w:val="29"/>
        </w:numPr>
        <w:spacing w:line="276" w:lineRule="auto"/>
        <w:rPr>
          <w:rFonts w:ascii="Times New Roman" w:eastAsia="Times New Roman" w:hAnsi="Times New Roman" w:cs="Times New Roman"/>
          <w:color w:val="1A1A1A" w:themeColor="background1" w:themeShade="1A"/>
          <w:sz w:val="22"/>
          <w:szCs w:val="22"/>
          <w:lang w:val="en-GB" w:eastAsia="nl-NL"/>
        </w:rPr>
      </w:pPr>
      <w:r w:rsidRPr="000D2B36">
        <w:rPr>
          <w:rFonts w:ascii="Times New Roman" w:hAnsi="Times New Roman" w:cs="Times New Roman"/>
          <w:b/>
          <w:color w:val="1A1A1A" w:themeColor="background1" w:themeShade="1A"/>
          <w:sz w:val="22"/>
          <w:szCs w:val="22"/>
          <w:lang w:val="en-GB"/>
        </w:rPr>
        <w:t xml:space="preserve">Continuation of discussions: </w:t>
      </w:r>
      <w:r w:rsidRPr="000D2B36">
        <w:rPr>
          <w:rFonts w:ascii="Times New Roman" w:hAnsi="Times New Roman" w:cs="Times New Roman"/>
          <w:color w:val="1A1A1A" w:themeColor="background1" w:themeShade="1A"/>
          <w:sz w:val="22"/>
          <w:szCs w:val="22"/>
          <w:lang w:val="en-GB"/>
        </w:rPr>
        <w:t>It was proposed to</w:t>
      </w:r>
      <w:r w:rsidRPr="000D2B36">
        <w:rPr>
          <w:rFonts w:ascii="Times New Roman" w:hAnsi="Times New Roman" w:cs="Times New Roman"/>
          <w:b/>
          <w:color w:val="1A1A1A" w:themeColor="background1" w:themeShade="1A"/>
          <w:sz w:val="22"/>
          <w:szCs w:val="22"/>
          <w:lang w:val="en-GB"/>
        </w:rPr>
        <w:t xml:space="preserve"> </w:t>
      </w:r>
      <w:r w:rsidRPr="000D2B36">
        <w:rPr>
          <w:rFonts w:ascii="Times New Roman" w:hAnsi="Times New Roman" w:cs="Times New Roman"/>
          <w:color w:val="1A1A1A" w:themeColor="background1" w:themeShade="1A"/>
          <w:sz w:val="22"/>
          <w:szCs w:val="22"/>
          <w:lang w:val="en-GB" w:eastAsia="nl-NL"/>
        </w:rPr>
        <w:t xml:space="preserve">continue discussions in relation to other issues, such as seasonal camping and related developments (e.g., air traffic), </w:t>
      </w:r>
      <w:r w:rsidRPr="000D2B36">
        <w:rPr>
          <w:rFonts w:ascii="Times New Roman" w:eastAsia="Times New Roman" w:hAnsi="Times New Roman" w:cs="Times New Roman"/>
          <w:color w:val="1A1A1A" w:themeColor="background1" w:themeShade="1A"/>
          <w:sz w:val="22"/>
          <w:szCs w:val="22"/>
          <w:lang w:val="en-GB" w:eastAsia="nl-NL"/>
        </w:rPr>
        <w:t>small scale infrastructure operated by a National Antarctic Program and</w:t>
      </w:r>
      <w:r w:rsidRPr="000D2B36">
        <w:rPr>
          <w:rFonts w:ascii="Times New Roman" w:hAnsi="Times New Roman" w:cs="Times New Roman"/>
          <w:color w:val="1A1A1A" w:themeColor="background1" w:themeShade="1A"/>
          <w:sz w:val="22"/>
          <w:szCs w:val="22"/>
          <w:lang w:val="en-GB"/>
        </w:rPr>
        <w:t xml:space="preserve"> the</w:t>
      </w:r>
      <w:r w:rsidRPr="000D2B36">
        <w:rPr>
          <w:rFonts w:ascii="Times New Roman" w:eastAsia="Times New Roman" w:hAnsi="Times New Roman" w:cs="Times New Roman"/>
          <w:color w:val="1A1A1A" w:themeColor="background1" w:themeShade="1A"/>
          <w:sz w:val="22"/>
          <w:szCs w:val="22"/>
          <w:lang w:val="en-GB" w:eastAsia="nl-NL"/>
        </w:rPr>
        <w:t xml:space="preserve"> transposition of Resolution 7(2009) into a Measure (suggested in the ICG). Furthermore, the development of an inventory or possibly repository of existing permanent infrastructure used for tourism and other </w:t>
      </w:r>
      <w:proofErr w:type="spellStart"/>
      <w:proofErr w:type="gramStart"/>
      <w:r w:rsidRPr="000D2B36">
        <w:rPr>
          <w:rFonts w:ascii="Times New Roman" w:eastAsia="Times New Roman" w:hAnsi="Times New Roman" w:cs="Times New Roman"/>
          <w:color w:val="1A1A1A" w:themeColor="background1" w:themeShade="1A"/>
          <w:sz w:val="22"/>
          <w:szCs w:val="22"/>
          <w:lang w:val="en-GB" w:eastAsia="nl-NL"/>
        </w:rPr>
        <w:t>non governmental</w:t>
      </w:r>
      <w:proofErr w:type="spellEnd"/>
      <w:proofErr w:type="gramEnd"/>
      <w:r w:rsidRPr="000D2B36">
        <w:rPr>
          <w:rFonts w:ascii="Times New Roman" w:eastAsia="Times New Roman" w:hAnsi="Times New Roman" w:cs="Times New Roman"/>
          <w:color w:val="1A1A1A" w:themeColor="background1" w:themeShade="1A"/>
          <w:sz w:val="22"/>
          <w:szCs w:val="22"/>
          <w:lang w:val="en-GB" w:eastAsia="nl-NL"/>
        </w:rPr>
        <w:t xml:space="preserve"> activities could also be considered. In such an exercise, due attention could be paid to issues of ownership as well as of adequacy of search and rescue facilities, as suggested by one participant.</w:t>
      </w:r>
    </w:p>
    <w:p w14:paraId="09E057E5" w14:textId="77777777" w:rsidR="008E445B" w:rsidRPr="000D2B36" w:rsidRDefault="008E445B" w:rsidP="008E445B">
      <w:pPr>
        <w:pStyle w:val="Sinespaciado"/>
        <w:spacing w:line="276" w:lineRule="auto"/>
        <w:rPr>
          <w:rFonts w:ascii="Times New Roman" w:hAnsi="Times New Roman" w:cs="Times New Roman"/>
          <w:color w:val="1A1A1A" w:themeColor="background1" w:themeShade="1A"/>
          <w:sz w:val="22"/>
          <w:szCs w:val="22"/>
          <w:lang w:val="en-GB" w:eastAsia="nl-NL"/>
        </w:rPr>
      </w:pPr>
    </w:p>
    <w:p w14:paraId="7E989360" w14:textId="77777777" w:rsidR="008E445B" w:rsidRPr="000D2B36" w:rsidRDefault="008E445B" w:rsidP="008E445B">
      <w:pPr>
        <w:spacing w:line="276" w:lineRule="auto"/>
        <w:rPr>
          <w:color w:val="1A1A1A" w:themeColor="background1" w:themeShade="1A"/>
          <w:szCs w:val="22"/>
          <w:lang w:val="en-US" w:eastAsia="nl-NL"/>
        </w:rPr>
      </w:pPr>
      <w:r w:rsidRPr="000D2B36">
        <w:rPr>
          <w:color w:val="1A1A1A" w:themeColor="background1" w:themeShade="1A"/>
          <w:szCs w:val="22"/>
          <w:lang w:eastAsia="nl-NL"/>
        </w:rPr>
        <w:t xml:space="preserve">In the third round of the ICG, </w:t>
      </w:r>
      <w:r w:rsidRPr="000D2B36">
        <w:rPr>
          <w:color w:val="1A1A1A" w:themeColor="background1" w:themeShade="1A"/>
          <w:szCs w:val="22"/>
          <w:lang w:val="en-US" w:eastAsia="nl-NL"/>
        </w:rPr>
        <w:t xml:space="preserve">several participants stressed again the urgency of action, not only </w:t>
      </w:r>
      <w:proofErr w:type="gramStart"/>
      <w:r w:rsidRPr="000D2B36">
        <w:rPr>
          <w:color w:val="1A1A1A" w:themeColor="background1" w:themeShade="1A"/>
          <w:szCs w:val="22"/>
          <w:lang w:val="en-US" w:eastAsia="nl-NL"/>
        </w:rPr>
        <w:t>in light of</w:t>
      </w:r>
      <w:proofErr w:type="gramEnd"/>
      <w:r w:rsidRPr="000D2B36">
        <w:rPr>
          <w:color w:val="1A1A1A" w:themeColor="background1" w:themeShade="1A"/>
          <w:szCs w:val="22"/>
          <w:lang w:val="en-US" w:eastAsia="nl-NL"/>
        </w:rPr>
        <w:t xml:space="preserve"> the recent concrete plans for permanent facilities but also in light of existing provisions of the Protocol, particularly Article 3. In this context, one participant highlighted the contrast between cruise-based tourism in the Peninsula with various kind of limitations (e.g., the number that can participate in landings at one time, the site guidelines that apply, etc.) and “the lack of such measures for regions where land-based tourism” takes place, particularly </w:t>
      </w:r>
      <w:proofErr w:type="gramStart"/>
      <w:r w:rsidRPr="000D2B36">
        <w:rPr>
          <w:color w:val="1A1A1A" w:themeColor="background1" w:themeShade="1A"/>
          <w:szCs w:val="22"/>
          <w:lang w:val="en-US" w:eastAsia="nl-NL"/>
        </w:rPr>
        <w:t>in light of</w:t>
      </w:r>
      <w:proofErr w:type="gramEnd"/>
      <w:r w:rsidRPr="000D2B36">
        <w:rPr>
          <w:color w:val="1A1A1A" w:themeColor="background1" w:themeShade="1A"/>
          <w:szCs w:val="22"/>
          <w:lang w:val="en-US" w:eastAsia="nl-NL"/>
        </w:rPr>
        <w:t xml:space="preserve"> the improved access by air. </w:t>
      </w:r>
    </w:p>
    <w:p w14:paraId="3E5ACA01" w14:textId="77777777" w:rsidR="008E445B" w:rsidRPr="000D2B36" w:rsidRDefault="008E445B" w:rsidP="008E445B">
      <w:pPr>
        <w:spacing w:line="276" w:lineRule="auto"/>
        <w:rPr>
          <w:color w:val="1A1A1A" w:themeColor="background1" w:themeShade="1A"/>
          <w:szCs w:val="22"/>
          <w:lang w:val="en-US" w:eastAsia="nl-NL"/>
        </w:rPr>
      </w:pPr>
    </w:p>
    <w:p w14:paraId="3C045338" w14:textId="77777777" w:rsidR="008E445B" w:rsidRPr="000D2B36" w:rsidRDefault="008E445B" w:rsidP="008E445B">
      <w:pPr>
        <w:spacing w:line="276" w:lineRule="auto"/>
        <w:rPr>
          <w:b/>
          <w:i/>
          <w:color w:val="1A1A1A" w:themeColor="background1" w:themeShade="1A"/>
          <w:szCs w:val="22"/>
          <w:lang w:eastAsia="nl-NL"/>
        </w:rPr>
      </w:pPr>
      <w:r w:rsidRPr="000D2B36">
        <w:rPr>
          <w:b/>
          <w:i/>
          <w:color w:val="1A1A1A" w:themeColor="background1" w:themeShade="1A"/>
          <w:szCs w:val="22"/>
          <w:lang w:eastAsia="nl-NL"/>
        </w:rPr>
        <w:t>Immediate action</w:t>
      </w:r>
    </w:p>
    <w:p w14:paraId="0CF9506E" w14:textId="77777777" w:rsidR="008E445B" w:rsidRPr="000D2B36" w:rsidRDefault="008E445B" w:rsidP="008E445B">
      <w:pPr>
        <w:spacing w:line="276" w:lineRule="auto"/>
        <w:rPr>
          <w:color w:val="1A1A1A" w:themeColor="background1" w:themeShade="1A"/>
          <w:szCs w:val="22"/>
          <w:lang w:val="en-US" w:eastAsia="nl-NL"/>
        </w:rPr>
      </w:pPr>
      <w:r w:rsidRPr="000D2B36">
        <w:rPr>
          <w:color w:val="1A1A1A" w:themeColor="background1" w:themeShade="1A"/>
          <w:szCs w:val="22"/>
          <w:lang w:eastAsia="nl-NL"/>
        </w:rPr>
        <w:t>In respect of possible immediate action, several participants stated that in essence they could agree with the proposed Measure</w:t>
      </w:r>
      <w:r>
        <w:rPr>
          <w:color w:val="1A1A1A" w:themeColor="background1" w:themeShade="1A"/>
          <w:szCs w:val="22"/>
          <w:lang w:eastAsia="nl-NL"/>
        </w:rPr>
        <w:t xml:space="preserve">. </w:t>
      </w:r>
      <w:r w:rsidRPr="000D2B36">
        <w:rPr>
          <w:color w:val="1A1A1A" w:themeColor="background1" w:themeShade="1A"/>
          <w:szCs w:val="22"/>
          <w:lang w:val="en-US" w:eastAsia="nl-NL"/>
        </w:rPr>
        <w:t xml:space="preserve">One participant characterized the proposal as an “ambitious, straightforward and effective approach, which allows for quick action and avoids the pitfalls of the sensitive side issues raised in the discussion”. Two of the participants that in essence supported the proposal for immediate action suggested some changes in the wording of the draft measure </w:t>
      </w:r>
      <w:proofErr w:type="gramStart"/>
      <w:r w:rsidRPr="000D2B36">
        <w:rPr>
          <w:color w:val="1A1A1A" w:themeColor="background1" w:themeShade="1A"/>
          <w:szCs w:val="22"/>
          <w:lang w:val="en-US" w:eastAsia="nl-NL"/>
        </w:rPr>
        <w:t>in order to</w:t>
      </w:r>
      <w:proofErr w:type="gramEnd"/>
      <w:r w:rsidRPr="000D2B36">
        <w:rPr>
          <w:color w:val="1A1A1A" w:themeColor="background1" w:themeShade="1A"/>
          <w:szCs w:val="22"/>
          <w:lang w:val="en-US" w:eastAsia="nl-NL"/>
        </w:rPr>
        <w:t xml:space="preserve"> ensure conformity with the Protocol and the ICG </w:t>
      </w:r>
      <w:proofErr w:type="spellStart"/>
      <w:r w:rsidRPr="000D2B36">
        <w:rPr>
          <w:color w:val="1A1A1A" w:themeColor="background1" w:themeShade="1A"/>
          <w:szCs w:val="22"/>
          <w:lang w:val="en-US" w:eastAsia="nl-NL"/>
        </w:rPr>
        <w:t>ToR</w:t>
      </w:r>
      <w:proofErr w:type="spellEnd"/>
      <w:r w:rsidRPr="000D2B36">
        <w:rPr>
          <w:color w:val="1A1A1A" w:themeColor="background1" w:themeShade="1A"/>
          <w:szCs w:val="22"/>
          <w:lang w:val="en-US" w:eastAsia="nl-NL"/>
        </w:rPr>
        <w:t xml:space="preserve">, for instance, by replacing the word 'buildings' (in the first bullet point) by 'facilities' and suppressing the wording in brackets “[existing]”. One of these participants expressed the view that, </w:t>
      </w:r>
      <w:proofErr w:type="gramStart"/>
      <w:r w:rsidRPr="000D2B36">
        <w:rPr>
          <w:color w:val="1A1A1A" w:themeColor="background1" w:themeShade="1A"/>
          <w:szCs w:val="22"/>
          <w:lang w:val="en-US" w:eastAsia="nl-NL"/>
        </w:rPr>
        <w:t>in light of</w:t>
      </w:r>
      <w:proofErr w:type="gramEnd"/>
      <w:r w:rsidRPr="000D2B36">
        <w:rPr>
          <w:color w:val="1A1A1A" w:themeColor="background1" w:themeShade="1A"/>
          <w:szCs w:val="22"/>
          <w:lang w:val="en-US" w:eastAsia="nl-NL"/>
        </w:rPr>
        <w:t xml:space="preserve"> the discussions and the text of Resolution 5 (2007), “small scale infrastructure operated by a National Antarctic Program for education and outreach purposes” would not fall under the scope of (an inventory of) prohibited activities. One participant also noted that field camps on </w:t>
      </w:r>
      <w:r w:rsidRPr="000D2B36">
        <w:rPr>
          <w:color w:val="1A1A1A" w:themeColor="background1" w:themeShade="1A"/>
          <w:szCs w:val="22"/>
          <w:lang w:val="en-US" w:eastAsia="nl-NL"/>
        </w:rPr>
        <w:lastRenderedPageBreak/>
        <w:t>closer inspection function like lodges and that equipment remain in Antarctica after the end of the season.</w:t>
      </w:r>
    </w:p>
    <w:p w14:paraId="538F5192" w14:textId="77777777" w:rsidR="008E445B" w:rsidRPr="000D2B36" w:rsidRDefault="008E445B" w:rsidP="008E445B">
      <w:pPr>
        <w:spacing w:line="276" w:lineRule="auto"/>
        <w:ind w:firstLine="708"/>
        <w:rPr>
          <w:color w:val="1A1A1A" w:themeColor="background1" w:themeShade="1A"/>
          <w:szCs w:val="22"/>
          <w:lang w:val="en-US" w:eastAsia="nl-NL"/>
        </w:rPr>
      </w:pPr>
      <w:r w:rsidRPr="000D2B36">
        <w:rPr>
          <w:color w:val="1A1A1A" w:themeColor="background1" w:themeShade="1A"/>
          <w:szCs w:val="22"/>
          <w:lang w:val="en-US" w:eastAsia="nl-NL"/>
        </w:rPr>
        <w:t xml:space="preserve">Another participant also underlined the importance of considering binding measures to address concerns discussed in the ICG, but that more clarity on which type of infrastructure the ATCM would wish to ban is important. In this regard, it reiterated its support for an inventory of existing infrastructure that would help give a sense of where major issues exist. This participant stated also that it would be comfortable with the proposal of transposing Resolution 5(2007) into a Measure, although it agreed with </w:t>
      </w:r>
      <w:r>
        <w:rPr>
          <w:color w:val="1A1A1A" w:themeColor="background1" w:themeShade="1A"/>
          <w:szCs w:val="22"/>
          <w:lang w:val="en-US" w:eastAsia="nl-NL"/>
        </w:rPr>
        <w:t>the</w:t>
      </w:r>
      <w:r w:rsidRPr="000D2B36">
        <w:rPr>
          <w:color w:val="1A1A1A" w:themeColor="background1" w:themeShade="1A"/>
          <w:szCs w:val="22"/>
          <w:lang w:val="en-US" w:eastAsia="nl-NL"/>
        </w:rPr>
        <w:t xml:space="preserve"> concern </w:t>
      </w:r>
      <w:r>
        <w:rPr>
          <w:color w:val="1A1A1A" w:themeColor="background1" w:themeShade="1A"/>
          <w:szCs w:val="22"/>
          <w:lang w:val="en-US" w:eastAsia="nl-NL"/>
        </w:rPr>
        <w:t xml:space="preserve">expressed by another participant </w:t>
      </w:r>
      <w:r w:rsidRPr="000D2B36">
        <w:rPr>
          <w:color w:val="1A1A1A" w:themeColor="background1" w:themeShade="1A"/>
          <w:szCs w:val="22"/>
          <w:lang w:val="en-US" w:eastAsia="nl-NL"/>
        </w:rPr>
        <w:t>that the phase “substantially leading to long term degradation” could lead to assessment difficulties. </w:t>
      </w:r>
    </w:p>
    <w:p w14:paraId="3C391E10" w14:textId="77777777" w:rsidR="008E445B" w:rsidRPr="000D2B36" w:rsidRDefault="008E445B" w:rsidP="008E445B">
      <w:pPr>
        <w:spacing w:line="276" w:lineRule="auto"/>
        <w:ind w:firstLine="708"/>
        <w:rPr>
          <w:color w:val="1A1A1A" w:themeColor="background1" w:themeShade="1A"/>
          <w:szCs w:val="22"/>
          <w:lang w:val="en-US" w:eastAsia="nl-NL"/>
        </w:rPr>
      </w:pPr>
      <w:proofErr w:type="gramStart"/>
      <w:r w:rsidRPr="000D2B36">
        <w:rPr>
          <w:color w:val="1A1A1A" w:themeColor="background1" w:themeShade="1A"/>
          <w:szCs w:val="22"/>
          <w:lang w:val="en-US" w:eastAsia="nl-NL"/>
        </w:rPr>
        <w:t>Also</w:t>
      </w:r>
      <w:proofErr w:type="gramEnd"/>
      <w:r w:rsidRPr="000D2B36">
        <w:rPr>
          <w:color w:val="1A1A1A" w:themeColor="background1" w:themeShade="1A"/>
          <w:szCs w:val="22"/>
          <w:lang w:val="en-US" w:eastAsia="nl-NL"/>
        </w:rPr>
        <w:t xml:space="preserve"> other participants expressed the view that, before a legally binding measure could be adopted, it is important to ensure that the intent and operative wording is clear and unambiguous. These participants also stressed the importance of getting a better understanding of the current state of play, for instance through the proposed inventory of existing infrastructure supporting tourism. One of these participants expressed the view that wording should preferably be based on the ‘no more than a minor or transitory impact’ language of the Protocol” as this “would assist in consistent and clear application by Parties, and aid domestic approval processes”. </w:t>
      </w:r>
      <w:proofErr w:type="gramStart"/>
      <w:r w:rsidRPr="000D2B36">
        <w:rPr>
          <w:color w:val="1A1A1A" w:themeColor="background1" w:themeShade="1A"/>
          <w:szCs w:val="22"/>
          <w:lang w:val="en-US" w:eastAsia="nl-NL"/>
        </w:rPr>
        <w:t>In light of</w:t>
      </w:r>
      <w:proofErr w:type="gramEnd"/>
      <w:r w:rsidRPr="000D2B36">
        <w:rPr>
          <w:color w:val="1A1A1A" w:themeColor="background1" w:themeShade="1A"/>
          <w:szCs w:val="22"/>
          <w:lang w:val="en-US" w:eastAsia="nl-NL"/>
        </w:rPr>
        <w:t xml:space="preserve"> the significance of a Measure, requiring legislative implementation, this participant also stated that it would need to conduct a range of domestic consultations before coming to a firm position. </w:t>
      </w:r>
    </w:p>
    <w:p w14:paraId="76432559" w14:textId="77777777" w:rsidR="008E445B" w:rsidRPr="000D2B36" w:rsidRDefault="008E445B" w:rsidP="008E445B">
      <w:pPr>
        <w:spacing w:line="276" w:lineRule="auto"/>
        <w:ind w:firstLine="708"/>
        <w:rPr>
          <w:color w:val="1A1A1A" w:themeColor="background1" w:themeShade="1A"/>
          <w:szCs w:val="22"/>
          <w:lang w:val="en-US" w:eastAsia="nl-NL"/>
        </w:rPr>
      </w:pPr>
      <w:proofErr w:type="gramStart"/>
      <w:r w:rsidRPr="000D2B36">
        <w:rPr>
          <w:color w:val="1A1A1A" w:themeColor="background1" w:themeShade="1A"/>
          <w:szCs w:val="22"/>
          <w:lang w:val="en-US" w:eastAsia="nl-NL"/>
        </w:rPr>
        <w:t>Also</w:t>
      </w:r>
      <w:proofErr w:type="gramEnd"/>
      <w:r w:rsidRPr="000D2B36">
        <w:rPr>
          <w:color w:val="1A1A1A" w:themeColor="background1" w:themeShade="1A"/>
          <w:szCs w:val="22"/>
          <w:lang w:val="en-US" w:eastAsia="nl-NL"/>
        </w:rPr>
        <w:t xml:space="preserve"> other participants supported the development as an inventory, although some would consider this an action additionally to the adoption of immediate action.</w:t>
      </w:r>
    </w:p>
    <w:p w14:paraId="08FCC9DC" w14:textId="77777777" w:rsidR="008E445B" w:rsidRPr="000D2B36" w:rsidRDefault="008E445B" w:rsidP="008E445B">
      <w:pPr>
        <w:pStyle w:val="Sinespaciado"/>
        <w:spacing w:line="276" w:lineRule="auto"/>
        <w:ind w:firstLine="708"/>
        <w:rPr>
          <w:rFonts w:ascii="Times New Roman" w:eastAsia="Times New Roman" w:hAnsi="Times New Roman" w:cs="Times New Roman"/>
          <w:color w:val="1A1A1A" w:themeColor="background1" w:themeShade="1A"/>
          <w:sz w:val="22"/>
          <w:szCs w:val="22"/>
          <w:lang w:val="en-US" w:eastAsia="nl-NL"/>
        </w:rPr>
      </w:pPr>
      <w:r>
        <w:rPr>
          <w:rFonts w:ascii="Times New Roman" w:eastAsia="Times New Roman" w:hAnsi="Times New Roman" w:cs="Times New Roman"/>
          <w:color w:val="1A1A1A" w:themeColor="background1" w:themeShade="1A"/>
          <w:sz w:val="22"/>
          <w:szCs w:val="22"/>
          <w:lang w:val="en-US" w:eastAsia="nl-NL"/>
        </w:rPr>
        <w:t>One participant</w:t>
      </w:r>
      <w:r w:rsidRPr="000D2B36">
        <w:rPr>
          <w:rFonts w:ascii="Times New Roman" w:eastAsia="Times New Roman" w:hAnsi="Times New Roman" w:cs="Times New Roman"/>
          <w:color w:val="1A1A1A" w:themeColor="background1" w:themeShade="1A"/>
          <w:sz w:val="22"/>
          <w:szCs w:val="22"/>
          <w:lang w:val="en-US" w:eastAsia="nl-NL"/>
        </w:rPr>
        <w:t xml:space="preserve"> reiterated its position that, before proceeding further, agreement should be reached on a definition of a permanent facility, for which purpose it would favor as a stand-alone definition: </w:t>
      </w:r>
    </w:p>
    <w:p w14:paraId="64D8C095" w14:textId="77777777" w:rsidR="008E445B" w:rsidRPr="000D2B36" w:rsidRDefault="008E445B" w:rsidP="008E445B">
      <w:pPr>
        <w:pStyle w:val="Sinespaciado"/>
        <w:spacing w:line="276" w:lineRule="auto"/>
        <w:rPr>
          <w:rFonts w:ascii="Times New Roman" w:eastAsia="Times New Roman" w:hAnsi="Times New Roman" w:cs="Times New Roman"/>
          <w:color w:val="1A1A1A" w:themeColor="background1" w:themeShade="1A"/>
          <w:sz w:val="22"/>
          <w:szCs w:val="22"/>
          <w:lang w:val="en-US" w:eastAsia="nl-NL"/>
        </w:rPr>
      </w:pPr>
    </w:p>
    <w:p w14:paraId="6A60EECA" w14:textId="77777777" w:rsidR="008E445B" w:rsidRPr="000D2B36" w:rsidRDefault="008E445B" w:rsidP="008E445B">
      <w:pPr>
        <w:pStyle w:val="Sinespaciado"/>
        <w:spacing w:line="276" w:lineRule="auto"/>
        <w:ind w:left="708"/>
        <w:rPr>
          <w:rFonts w:ascii="Times New Roman" w:eastAsia="Times New Roman" w:hAnsi="Times New Roman" w:cs="Times New Roman"/>
          <w:color w:val="1A1A1A" w:themeColor="background1" w:themeShade="1A"/>
          <w:sz w:val="22"/>
          <w:szCs w:val="22"/>
          <w:lang w:val="en-US" w:eastAsia="nl-NL"/>
        </w:rPr>
      </w:pPr>
      <w:r w:rsidRPr="000D2B36">
        <w:rPr>
          <w:rFonts w:ascii="Times New Roman" w:eastAsia="Times New Roman" w:hAnsi="Times New Roman" w:cs="Times New Roman"/>
          <w:color w:val="1A1A1A" w:themeColor="background1" w:themeShade="1A"/>
          <w:sz w:val="22"/>
          <w:szCs w:val="22"/>
          <w:lang w:val="en-US" w:eastAsia="nl-NL"/>
        </w:rPr>
        <w:t xml:space="preserve">“The construction and/or exploitation of any other structure or facility designed to be operated in Antarctica over multiple seasons where its construction, operation or removal is expected to have more than a minor or transitory impact on the Antarctic environment or the intrinsic natural wilderness and historical values of Antarctica. Examples include, but are not restricted to, buildings, wharves and jetties, and graded runways on exposed ground.” </w:t>
      </w:r>
    </w:p>
    <w:p w14:paraId="23B5B358" w14:textId="77777777" w:rsidR="008E445B" w:rsidRPr="000D2B36" w:rsidRDefault="008E445B" w:rsidP="008E445B">
      <w:pPr>
        <w:pStyle w:val="Sinespaciado"/>
        <w:spacing w:line="276" w:lineRule="auto"/>
        <w:rPr>
          <w:rFonts w:ascii="Times New Roman" w:eastAsia="Times New Roman" w:hAnsi="Times New Roman" w:cs="Times New Roman"/>
          <w:color w:val="1A1A1A" w:themeColor="background1" w:themeShade="1A"/>
          <w:sz w:val="22"/>
          <w:szCs w:val="22"/>
          <w:lang w:val="en-US" w:eastAsia="nl-NL"/>
        </w:rPr>
      </w:pPr>
    </w:p>
    <w:p w14:paraId="0CAE0965" w14:textId="77777777" w:rsidR="008E445B" w:rsidRPr="000D2B36" w:rsidRDefault="008E445B" w:rsidP="008E445B">
      <w:pPr>
        <w:spacing w:line="276" w:lineRule="auto"/>
        <w:rPr>
          <w:color w:val="1A1A1A" w:themeColor="background1" w:themeShade="1A"/>
          <w:szCs w:val="22"/>
          <w:lang w:val="en-US" w:eastAsia="nl-NL"/>
        </w:rPr>
      </w:pPr>
      <w:r w:rsidRPr="000D2B36">
        <w:rPr>
          <w:color w:val="1A1A1A" w:themeColor="background1" w:themeShade="1A"/>
          <w:szCs w:val="22"/>
          <w:lang w:val="en-US" w:eastAsia="nl-NL"/>
        </w:rPr>
        <w:t>It further explained that this definition also reflects IAATO’s mission and vision, as well as the current Bylaws of IAATO.</w:t>
      </w:r>
    </w:p>
    <w:p w14:paraId="0BAB13AE" w14:textId="77777777" w:rsidR="008E445B" w:rsidRPr="000D2B36" w:rsidRDefault="008E445B" w:rsidP="008E445B">
      <w:pPr>
        <w:spacing w:line="276" w:lineRule="auto"/>
        <w:rPr>
          <w:color w:val="1A1A1A" w:themeColor="background1" w:themeShade="1A"/>
          <w:szCs w:val="22"/>
          <w:lang w:val="en-US" w:eastAsia="nl-NL"/>
        </w:rPr>
      </w:pPr>
    </w:p>
    <w:p w14:paraId="3D1E9F3A" w14:textId="77777777" w:rsidR="008E445B" w:rsidRPr="000D2B36" w:rsidRDefault="008E445B" w:rsidP="008E445B">
      <w:pPr>
        <w:spacing w:line="276" w:lineRule="auto"/>
        <w:rPr>
          <w:b/>
          <w:i/>
          <w:color w:val="1A1A1A" w:themeColor="background1" w:themeShade="1A"/>
          <w:szCs w:val="22"/>
          <w:lang w:val="en-US" w:eastAsia="nl-NL"/>
        </w:rPr>
      </w:pPr>
      <w:r w:rsidRPr="000D2B36">
        <w:rPr>
          <w:b/>
          <w:i/>
          <w:color w:val="1A1A1A" w:themeColor="background1" w:themeShade="1A"/>
          <w:szCs w:val="22"/>
          <w:lang w:eastAsia="nl-NL"/>
        </w:rPr>
        <w:t>Renewed encouragement of Consultative Parties to approve Measure 4 (2004) and Measure 15 (2009)</w:t>
      </w:r>
    </w:p>
    <w:p w14:paraId="5ACF4391" w14:textId="77777777" w:rsidR="008E445B" w:rsidRPr="000D2B36" w:rsidRDefault="008E445B" w:rsidP="008E445B">
      <w:pPr>
        <w:spacing w:line="276" w:lineRule="auto"/>
        <w:rPr>
          <w:color w:val="1A1A1A" w:themeColor="background1" w:themeShade="1A"/>
          <w:szCs w:val="22"/>
          <w:lang w:eastAsia="nl-NL"/>
        </w:rPr>
      </w:pPr>
      <w:r w:rsidRPr="000D2B36">
        <w:rPr>
          <w:color w:val="1A1A1A" w:themeColor="background1" w:themeShade="1A"/>
          <w:szCs w:val="22"/>
          <w:lang w:val="en-US" w:eastAsia="nl-NL"/>
        </w:rPr>
        <w:t xml:space="preserve">In relation to Measures 4 (2004) and 15 (2009), several participants stated that they had already approved these measures and that they support a </w:t>
      </w:r>
      <w:r w:rsidRPr="000D2B36">
        <w:rPr>
          <w:color w:val="1A1A1A" w:themeColor="background1" w:themeShade="1A"/>
          <w:szCs w:val="22"/>
          <w:lang w:eastAsia="nl-NL"/>
        </w:rPr>
        <w:t xml:space="preserve">renewed encouragement of other Consultative Parties to approve Measure 4 (2004) and Measure 15 (2009) to ensure that these Measures enter into force as soon as possible. One participant observed that this renewed encouragement </w:t>
      </w:r>
      <w:r w:rsidRPr="000D2B36">
        <w:rPr>
          <w:color w:val="1A1A1A" w:themeColor="background1" w:themeShade="1A"/>
          <w:szCs w:val="22"/>
          <w:lang w:val="en-US" w:eastAsia="nl-NL"/>
        </w:rPr>
        <w:t xml:space="preserve">is a somewhat separate discussion to the focus of this </w:t>
      </w:r>
      <w:proofErr w:type="gramStart"/>
      <w:r w:rsidRPr="000D2B36">
        <w:rPr>
          <w:color w:val="1A1A1A" w:themeColor="background1" w:themeShade="1A"/>
          <w:szCs w:val="22"/>
          <w:lang w:val="en-US" w:eastAsia="nl-NL"/>
        </w:rPr>
        <w:t>ICG, but</w:t>
      </w:r>
      <w:proofErr w:type="gramEnd"/>
      <w:r w:rsidRPr="000D2B36">
        <w:rPr>
          <w:color w:val="1A1A1A" w:themeColor="background1" w:themeShade="1A"/>
          <w:szCs w:val="22"/>
          <w:lang w:val="en-US" w:eastAsia="nl-NL"/>
        </w:rPr>
        <w:t xml:space="preserve"> noted “that it may be useful to consider whether there are any ways that the Parties who have completed the approval process could assist those who remain to do so, by sharing their approaches, information or experiences”. </w:t>
      </w:r>
      <w:r>
        <w:rPr>
          <w:color w:val="1A1A1A" w:themeColor="background1" w:themeShade="1A"/>
          <w:szCs w:val="22"/>
          <w:lang w:val="en-US" w:eastAsia="nl-NL"/>
        </w:rPr>
        <w:t>Another participant</w:t>
      </w:r>
      <w:r w:rsidRPr="000D2B36">
        <w:rPr>
          <w:color w:val="1A1A1A" w:themeColor="background1" w:themeShade="1A"/>
          <w:szCs w:val="22"/>
          <w:lang w:val="en-US" w:eastAsia="nl-NL"/>
        </w:rPr>
        <w:t xml:space="preserve"> supported this proposal and added that IAATO Operators are bound to Measures </w:t>
      </w:r>
      <w:proofErr w:type="gramStart"/>
      <w:r w:rsidRPr="000D2B36">
        <w:rPr>
          <w:color w:val="1A1A1A" w:themeColor="background1" w:themeShade="1A"/>
          <w:szCs w:val="22"/>
          <w:lang w:val="en-US" w:eastAsia="nl-NL"/>
        </w:rPr>
        <w:t>whether or not</w:t>
      </w:r>
      <w:proofErr w:type="gramEnd"/>
      <w:r w:rsidRPr="000D2B36">
        <w:rPr>
          <w:color w:val="1A1A1A" w:themeColor="background1" w:themeShade="1A"/>
          <w:szCs w:val="22"/>
          <w:lang w:val="en-US" w:eastAsia="nl-NL"/>
        </w:rPr>
        <w:t xml:space="preserve"> they have entered into force. </w:t>
      </w:r>
    </w:p>
    <w:p w14:paraId="5C600729" w14:textId="77777777" w:rsidR="008E445B" w:rsidRPr="000D2B36" w:rsidRDefault="008E445B" w:rsidP="008E445B">
      <w:pPr>
        <w:spacing w:line="276" w:lineRule="auto"/>
        <w:rPr>
          <w:color w:val="1A1A1A" w:themeColor="background1" w:themeShade="1A"/>
          <w:szCs w:val="22"/>
          <w:lang w:eastAsia="nl-NL"/>
        </w:rPr>
      </w:pPr>
    </w:p>
    <w:p w14:paraId="6AFFA8E7" w14:textId="77777777" w:rsidR="008E445B" w:rsidRPr="000D2B36" w:rsidRDefault="008E445B" w:rsidP="008E445B">
      <w:pPr>
        <w:spacing w:line="276" w:lineRule="auto"/>
        <w:rPr>
          <w:b/>
          <w:i/>
          <w:color w:val="1A1A1A" w:themeColor="background1" w:themeShade="1A"/>
          <w:szCs w:val="22"/>
          <w:lang w:eastAsia="nl-NL"/>
        </w:rPr>
      </w:pPr>
      <w:r w:rsidRPr="000D2B36">
        <w:rPr>
          <w:b/>
          <w:i/>
          <w:color w:val="1A1A1A" w:themeColor="background1" w:themeShade="1A"/>
          <w:szCs w:val="22"/>
          <w:lang w:val="en-US" w:eastAsia="nl-NL"/>
        </w:rPr>
        <w:t>Continuing discussion</w:t>
      </w:r>
    </w:p>
    <w:p w14:paraId="6CFF8D2B" w14:textId="77777777" w:rsidR="008E445B" w:rsidRPr="000D2B36" w:rsidRDefault="008E445B" w:rsidP="008E445B">
      <w:pPr>
        <w:spacing w:line="276" w:lineRule="auto"/>
        <w:rPr>
          <w:color w:val="1A1A1A" w:themeColor="background1" w:themeShade="1A"/>
          <w:szCs w:val="22"/>
          <w:lang w:val="en-US" w:eastAsia="nl-NL"/>
        </w:rPr>
      </w:pPr>
      <w:r w:rsidRPr="000D2B36">
        <w:rPr>
          <w:color w:val="1A1A1A" w:themeColor="background1" w:themeShade="1A"/>
          <w:szCs w:val="22"/>
          <w:lang w:val="en-US" w:eastAsia="nl-NL"/>
        </w:rPr>
        <w:lastRenderedPageBreak/>
        <w:t xml:space="preserve">There was broad support for continuing the discussion </w:t>
      </w:r>
      <w:proofErr w:type="gramStart"/>
      <w:r w:rsidRPr="000D2B36">
        <w:rPr>
          <w:color w:val="1A1A1A" w:themeColor="background1" w:themeShade="1A"/>
          <w:szCs w:val="22"/>
          <w:lang w:val="en-US" w:eastAsia="nl-NL"/>
        </w:rPr>
        <w:t>in order to</w:t>
      </w:r>
      <w:proofErr w:type="gramEnd"/>
      <w:r w:rsidRPr="000D2B36">
        <w:rPr>
          <w:color w:val="1A1A1A" w:themeColor="background1" w:themeShade="1A"/>
          <w:szCs w:val="22"/>
          <w:lang w:val="en-US" w:eastAsia="nl-NL"/>
        </w:rPr>
        <w:t xml:space="preserve"> deal in depth with issues related to the question of permanent infrastructure and to enable such discussion the continuation of the ICG until ATCM 45 was proposed. Attention was also requested for other issues, such as coastal camping. One participant expressed the view that for the continuation of discussions, it remained of the view that it will be most productive to focus on permanent facilities themselves, and core issues directly arising from permanent facilities. In this light, this participant also stated that it acknowledged the relevance of Resolution 7 (2009) to many aspects of this discussion, but that the questions around permanent facilities seem to align most closely with Resolution 5 (2007). Another participant suggested to propose to the ATCM, as discussed in the Rotterdam workshop, contemplating an analysis of all existing tourism norms </w:t>
      </w:r>
      <w:proofErr w:type="gramStart"/>
      <w:r w:rsidRPr="000D2B36">
        <w:rPr>
          <w:color w:val="1A1A1A" w:themeColor="background1" w:themeShade="1A"/>
          <w:szCs w:val="22"/>
          <w:lang w:val="en-US" w:eastAsia="nl-NL"/>
        </w:rPr>
        <w:t>in order to</w:t>
      </w:r>
      <w:proofErr w:type="gramEnd"/>
      <w:r w:rsidRPr="000D2B36">
        <w:rPr>
          <w:color w:val="1A1A1A" w:themeColor="background1" w:themeShade="1A"/>
          <w:szCs w:val="22"/>
          <w:lang w:val="en-US" w:eastAsia="nl-NL"/>
        </w:rPr>
        <w:t xml:space="preserve"> increase their binding character.</w:t>
      </w:r>
    </w:p>
    <w:p w14:paraId="22D79027" w14:textId="77777777" w:rsidR="008E445B" w:rsidRPr="00D12979" w:rsidRDefault="008E445B" w:rsidP="008E445B">
      <w:pPr>
        <w:pStyle w:val="Sinespaciado"/>
        <w:spacing w:line="276" w:lineRule="auto"/>
        <w:rPr>
          <w:rFonts w:ascii="Times New Roman" w:eastAsia="Times New Roman" w:hAnsi="Times New Roman" w:cs="Times New Roman"/>
          <w:color w:val="000000" w:themeColor="text1"/>
          <w:sz w:val="22"/>
          <w:szCs w:val="22"/>
          <w:lang w:val="en-GB" w:eastAsia="nl-NL"/>
        </w:rPr>
      </w:pPr>
    </w:p>
    <w:p w14:paraId="42C1E070" w14:textId="77777777" w:rsidR="008E445B" w:rsidRPr="00D12979" w:rsidRDefault="008E445B" w:rsidP="008E445B">
      <w:pPr>
        <w:pStyle w:val="Sinespaciado"/>
        <w:numPr>
          <w:ilvl w:val="0"/>
          <w:numId w:val="22"/>
        </w:numPr>
        <w:spacing w:line="276" w:lineRule="auto"/>
        <w:rPr>
          <w:rFonts w:ascii="Times New Roman" w:eastAsia="Times New Roman" w:hAnsi="Times New Roman" w:cs="Times New Roman"/>
          <w:b/>
          <w:color w:val="000000" w:themeColor="text1"/>
          <w:sz w:val="22"/>
          <w:szCs w:val="22"/>
          <w:lang w:val="en-GB" w:eastAsia="nl-NL"/>
        </w:rPr>
      </w:pPr>
      <w:r w:rsidRPr="00D12979">
        <w:rPr>
          <w:rFonts w:ascii="Times New Roman" w:eastAsia="Times New Roman" w:hAnsi="Times New Roman" w:cs="Times New Roman"/>
          <w:b/>
          <w:color w:val="000000" w:themeColor="text1"/>
          <w:sz w:val="22"/>
          <w:szCs w:val="22"/>
          <w:lang w:val="en-GB" w:eastAsia="nl-NL"/>
        </w:rPr>
        <w:t>Conclusions and proposals to the ATCM</w:t>
      </w:r>
    </w:p>
    <w:p w14:paraId="22CC1257" w14:textId="77777777" w:rsidR="008E445B" w:rsidRPr="00D12979" w:rsidRDefault="008E445B" w:rsidP="008E445B">
      <w:pPr>
        <w:pStyle w:val="Sinespaciado"/>
        <w:spacing w:line="276" w:lineRule="auto"/>
        <w:rPr>
          <w:rFonts w:ascii="Times New Roman" w:eastAsia="Times New Roman" w:hAnsi="Times New Roman" w:cs="Times New Roman"/>
          <w:b/>
          <w:color w:val="000000" w:themeColor="text1"/>
          <w:sz w:val="22"/>
          <w:szCs w:val="22"/>
          <w:lang w:val="en-GB" w:eastAsia="nl-NL"/>
        </w:rPr>
      </w:pPr>
    </w:p>
    <w:p w14:paraId="09E84B6E" w14:textId="77777777" w:rsidR="008E445B" w:rsidRPr="000D2B36" w:rsidRDefault="008E445B" w:rsidP="008E445B">
      <w:pPr>
        <w:spacing w:line="276" w:lineRule="auto"/>
        <w:rPr>
          <w:color w:val="1A1A1A" w:themeColor="background1" w:themeShade="1A"/>
          <w:szCs w:val="22"/>
        </w:rPr>
      </w:pPr>
      <w:r w:rsidRPr="000D2B36">
        <w:rPr>
          <w:color w:val="1A1A1A" w:themeColor="background1" w:themeShade="1A"/>
          <w:szCs w:val="22"/>
          <w:lang w:eastAsia="nl-NL"/>
        </w:rPr>
        <w:t>Permanent facilities for tourism or other non-governmental activities in Antarctica</w:t>
      </w:r>
      <w:r w:rsidRPr="000D2B36">
        <w:rPr>
          <w:color w:val="1A1A1A" w:themeColor="background1" w:themeShade="1A"/>
          <w:szCs w:val="22"/>
          <w:lang w:val="en-US"/>
        </w:rPr>
        <w:t xml:space="preserve"> may raise several concerns. Such concerns relate, for instance, to increasing (cumulative) impacts on Antarctica’s ecosystems and wilderness values, increasing air traffic to and from Antarctica, risks of negative effects for or disturbance of scientific research, potential property right discussions and additional strain on SAR support and National Antarctic Programs to respond to safety emergencies. </w:t>
      </w:r>
      <w:r w:rsidRPr="000D2B36">
        <w:rPr>
          <w:color w:val="1A1A1A" w:themeColor="background1" w:themeShade="1A"/>
          <w:szCs w:val="22"/>
        </w:rPr>
        <w:t>Although in theory benefits from highly regulated and well managed land-based tourism may include the support such operators would be able to give to national research programs, the ICG observed that concerns by far outweigh such potential positive benefits.</w:t>
      </w:r>
    </w:p>
    <w:p w14:paraId="2FA27ACD" w14:textId="77777777" w:rsidR="008E445B" w:rsidRPr="000D2B36" w:rsidRDefault="008E445B" w:rsidP="008E445B">
      <w:pPr>
        <w:spacing w:line="276" w:lineRule="auto"/>
        <w:ind w:firstLine="708"/>
        <w:rPr>
          <w:color w:val="1A1A1A" w:themeColor="background1" w:themeShade="1A"/>
          <w:szCs w:val="22"/>
        </w:rPr>
      </w:pPr>
      <w:proofErr w:type="gramStart"/>
      <w:r w:rsidRPr="000D2B36">
        <w:rPr>
          <w:color w:val="1A1A1A" w:themeColor="background1" w:themeShade="1A"/>
          <w:szCs w:val="22"/>
        </w:rPr>
        <w:t>In light of</w:t>
      </w:r>
      <w:proofErr w:type="gramEnd"/>
      <w:r w:rsidRPr="000D2B36">
        <w:rPr>
          <w:color w:val="1A1A1A" w:themeColor="background1" w:themeShade="1A"/>
          <w:szCs w:val="22"/>
        </w:rPr>
        <w:t xml:space="preserve"> the concerns, as well as the development of some recent plans for permanent facilities for tourism or other non-governmental activities in Antarctica, and with a view to ensure precautionary action prior to additional proposals and actual implementation of such plans, there is a clear</w:t>
      </w:r>
      <w:r w:rsidRPr="000D2B36" w:rsidDel="00C9104A">
        <w:rPr>
          <w:color w:val="1A1A1A" w:themeColor="background1" w:themeShade="1A"/>
          <w:szCs w:val="22"/>
        </w:rPr>
        <w:t xml:space="preserve"> </w:t>
      </w:r>
      <w:r w:rsidRPr="000D2B36">
        <w:rPr>
          <w:color w:val="1A1A1A" w:themeColor="background1" w:themeShade="1A"/>
          <w:szCs w:val="22"/>
        </w:rPr>
        <w:t>urgency to act. Several Consultative Parties have urged for the adoption of a legally binding Measure on the issue. An option discussed is the transformation of Resolution 5(2007) into a Measure, while making explicit that permanent facilities for tourism and non-governmental activities fall under the scope of such a Measure. However, some Consultative Parties stated that, before a legally binding measure could be adopted, it would be important to ensure that the intent and operative wording is clear and unambiguous. For this purpose, a clear definition for the terminology ‘permanent facilities for tourism or other non-governmental activities’ would be important. Meanwhile, a working definition developed by the ICG gained much support. To get more clarity on the current state of play and the scope of further action, several ICG participants advocated for the development of an inventory of existing infrastructure supporting tourism.</w:t>
      </w:r>
    </w:p>
    <w:p w14:paraId="074DDB06" w14:textId="77777777" w:rsidR="008E445B" w:rsidRPr="000D2B36" w:rsidRDefault="008E445B" w:rsidP="008E445B">
      <w:pPr>
        <w:spacing w:line="276" w:lineRule="auto"/>
        <w:ind w:firstLine="708"/>
        <w:rPr>
          <w:color w:val="1A1A1A" w:themeColor="background1" w:themeShade="1A"/>
          <w:szCs w:val="22"/>
          <w:lang w:val="en" w:eastAsia="nl-NL"/>
        </w:rPr>
      </w:pPr>
      <w:r w:rsidRPr="000D2B36">
        <w:rPr>
          <w:color w:val="1A1A1A" w:themeColor="background1" w:themeShade="1A"/>
          <w:szCs w:val="22"/>
          <w:lang w:val="en-US" w:eastAsia="nl-NL"/>
        </w:rPr>
        <w:t xml:space="preserve">These outcomes of the constructive ICG discussions show a clear tension between urgent action and taking more time for discussing the precise scope of action. To address this tension, </w:t>
      </w:r>
      <w:r w:rsidRPr="000D2B36">
        <w:rPr>
          <w:color w:val="1A1A1A" w:themeColor="background1" w:themeShade="1A"/>
          <w:szCs w:val="22"/>
          <w:lang w:val="en" w:eastAsia="nl-NL"/>
        </w:rPr>
        <w:t>an option could be to discuss the possibility of a Measure with a precise and limited scope, however, the discussions make clear that also such an action would require an intensive and probably time-consuming process of consultation in some Consultative Parties. For this reason, a two tracks approach</w:t>
      </w:r>
      <w:r>
        <w:rPr>
          <w:color w:val="1A1A1A" w:themeColor="background1" w:themeShade="1A"/>
          <w:szCs w:val="22"/>
          <w:lang w:val="en" w:eastAsia="nl-NL"/>
        </w:rPr>
        <w:t xml:space="preserve"> was proposed</w:t>
      </w:r>
      <w:r w:rsidRPr="000D2B36">
        <w:rPr>
          <w:color w:val="1A1A1A" w:themeColor="background1" w:themeShade="1A"/>
          <w:szCs w:val="22"/>
          <w:lang w:val="en" w:eastAsia="nl-NL"/>
        </w:rPr>
        <w:t>:</w:t>
      </w:r>
    </w:p>
    <w:p w14:paraId="50D832C5" w14:textId="77777777" w:rsidR="008E445B" w:rsidRPr="000D2B36" w:rsidRDefault="008E445B" w:rsidP="008E445B">
      <w:pPr>
        <w:spacing w:line="276" w:lineRule="auto"/>
        <w:ind w:firstLine="708"/>
        <w:rPr>
          <w:color w:val="1A1A1A" w:themeColor="background1" w:themeShade="1A"/>
          <w:szCs w:val="22"/>
          <w:lang w:val="en" w:eastAsia="nl-NL"/>
        </w:rPr>
      </w:pPr>
    </w:p>
    <w:p w14:paraId="1120953F" w14:textId="77777777" w:rsidR="008E445B" w:rsidRPr="000D2B36" w:rsidRDefault="008E445B" w:rsidP="008E445B">
      <w:pPr>
        <w:pStyle w:val="Sinespaciado"/>
        <w:numPr>
          <w:ilvl w:val="0"/>
          <w:numId w:val="30"/>
        </w:numPr>
        <w:spacing w:line="276" w:lineRule="auto"/>
        <w:rPr>
          <w:rStyle w:val="y2iqfc"/>
          <w:rFonts w:ascii="Times New Roman" w:hAnsi="Times New Roman" w:cs="Times New Roman"/>
          <w:color w:val="1A1A1A" w:themeColor="background1" w:themeShade="1A"/>
          <w:sz w:val="22"/>
          <w:szCs w:val="22"/>
          <w:lang w:val="en-US" w:eastAsia="nl-NL"/>
        </w:rPr>
      </w:pPr>
      <w:r w:rsidRPr="000D2B36">
        <w:rPr>
          <w:rStyle w:val="y2iqfc"/>
          <w:rFonts w:ascii="Times New Roman" w:hAnsi="Times New Roman" w:cs="Times New Roman"/>
          <w:color w:val="1A1A1A" w:themeColor="background1" w:themeShade="1A"/>
          <w:sz w:val="22"/>
          <w:szCs w:val="22"/>
          <w:lang w:val="en"/>
        </w:rPr>
        <w:t xml:space="preserve">to adopt a Resolution at ATCM XLIV, urging Consultative Parties to prevent the establishment or operation of permanent facilities for tourism and other non-governmental activities, limiting the definition to those facilities that raise the biggest </w:t>
      </w:r>
      <w:proofErr w:type="gramStart"/>
      <w:r w:rsidRPr="000D2B36">
        <w:rPr>
          <w:rStyle w:val="y2iqfc"/>
          <w:rFonts w:ascii="Times New Roman" w:hAnsi="Times New Roman" w:cs="Times New Roman"/>
          <w:color w:val="1A1A1A" w:themeColor="background1" w:themeShade="1A"/>
          <w:sz w:val="22"/>
          <w:szCs w:val="22"/>
          <w:lang w:val="en"/>
        </w:rPr>
        <w:t>concerns;</w:t>
      </w:r>
      <w:proofErr w:type="gramEnd"/>
      <w:r w:rsidRPr="000D2B36">
        <w:rPr>
          <w:rStyle w:val="y2iqfc"/>
          <w:rFonts w:ascii="Times New Roman" w:hAnsi="Times New Roman" w:cs="Times New Roman"/>
          <w:color w:val="1A1A1A" w:themeColor="background1" w:themeShade="1A"/>
          <w:sz w:val="22"/>
          <w:szCs w:val="22"/>
          <w:lang w:val="en"/>
        </w:rPr>
        <w:t xml:space="preserve"> </w:t>
      </w:r>
    </w:p>
    <w:p w14:paraId="2A0A5805" w14:textId="77777777" w:rsidR="008E445B" w:rsidRPr="000D2B36" w:rsidRDefault="008E445B" w:rsidP="008E445B">
      <w:pPr>
        <w:pStyle w:val="Sinespaciado"/>
        <w:numPr>
          <w:ilvl w:val="0"/>
          <w:numId w:val="30"/>
        </w:numPr>
        <w:spacing w:line="276" w:lineRule="auto"/>
        <w:rPr>
          <w:rStyle w:val="y2iqfc"/>
          <w:rFonts w:ascii="Times New Roman" w:hAnsi="Times New Roman" w:cs="Times New Roman"/>
          <w:color w:val="1A1A1A" w:themeColor="background1" w:themeShade="1A"/>
          <w:sz w:val="22"/>
          <w:szCs w:val="22"/>
          <w:lang w:val="en-US" w:eastAsia="nl-NL"/>
        </w:rPr>
      </w:pPr>
      <w:r w:rsidRPr="000D2B36">
        <w:rPr>
          <w:rFonts w:ascii="Times New Roman" w:hAnsi="Times New Roman" w:cs="Times New Roman"/>
          <w:color w:val="1A1A1A" w:themeColor="background1" w:themeShade="1A"/>
          <w:sz w:val="22"/>
          <w:szCs w:val="22"/>
          <w:lang w:val="en-US" w:eastAsia="nl-NL"/>
        </w:rPr>
        <w:lastRenderedPageBreak/>
        <w:t>to request the ATCM to extend the ICG to continue discussions</w:t>
      </w:r>
      <w:r w:rsidRPr="000D2B36">
        <w:rPr>
          <w:rStyle w:val="y2iqfc"/>
          <w:rFonts w:ascii="Times New Roman" w:hAnsi="Times New Roman" w:cs="Times New Roman"/>
          <w:color w:val="1A1A1A" w:themeColor="background1" w:themeShade="1A"/>
          <w:sz w:val="22"/>
          <w:szCs w:val="22"/>
          <w:lang w:val="en"/>
        </w:rPr>
        <w:t>, to develop an inventory of existing infrastructure supporting tourism and to discuss options for converting the Resolution under 1) into a Measure.</w:t>
      </w:r>
    </w:p>
    <w:p w14:paraId="69DF9241" w14:textId="77777777" w:rsidR="008E445B" w:rsidRPr="000D2B36" w:rsidRDefault="008E445B" w:rsidP="008E445B">
      <w:pPr>
        <w:pStyle w:val="Sinespaciado"/>
        <w:spacing w:line="276" w:lineRule="auto"/>
        <w:ind w:left="720"/>
        <w:rPr>
          <w:rFonts w:ascii="Times New Roman" w:hAnsi="Times New Roman" w:cs="Times New Roman"/>
          <w:color w:val="1A1A1A" w:themeColor="background1" w:themeShade="1A"/>
          <w:sz w:val="22"/>
          <w:szCs w:val="22"/>
          <w:lang w:val="en-US" w:eastAsia="nl-NL"/>
        </w:rPr>
      </w:pPr>
    </w:p>
    <w:p w14:paraId="40FAAAAB" w14:textId="77777777" w:rsidR="008E445B" w:rsidRDefault="008E445B" w:rsidP="008E445B">
      <w:pPr>
        <w:spacing w:line="276" w:lineRule="auto"/>
        <w:rPr>
          <w:szCs w:val="22"/>
        </w:rPr>
      </w:pPr>
      <w:r w:rsidRPr="00D469C0">
        <w:rPr>
          <w:szCs w:val="22"/>
        </w:rPr>
        <w:t xml:space="preserve">Based on the extensive and rich discussions in the ICG, it is proposed to continue the discussion </w:t>
      </w:r>
      <w:r>
        <w:rPr>
          <w:szCs w:val="22"/>
        </w:rPr>
        <w:t xml:space="preserve">at </w:t>
      </w:r>
      <w:r w:rsidRPr="00D469C0">
        <w:rPr>
          <w:szCs w:val="22"/>
        </w:rPr>
        <w:t xml:space="preserve">ATCM </w:t>
      </w:r>
      <w:r>
        <w:rPr>
          <w:szCs w:val="22"/>
        </w:rPr>
        <w:t xml:space="preserve">XLIV </w:t>
      </w:r>
      <w:proofErr w:type="gramStart"/>
      <w:r w:rsidRPr="00D469C0">
        <w:rPr>
          <w:szCs w:val="22"/>
        </w:rPr>
        <w:t>on the basis of</w:t>
      </w:r>
      <w:proofErr w:type="gramEnd"/>
      <w:r w:rsidRPr="00D469C0">
        <w:rPr>
          <w:szCs w:val="22"/>
        </w:rPr>
        <w:t xml:space="preserve"> the following draft </w:t>
      </w:r>
      <w:r>
        <w:rPr>
          <w:szCs w:val="22"/>
        </w:rPr>
        <w:t>R</w:t>
      </w:r>
      <w:r w:rsidRPr="00D469C0">
        <w:rPr>
          <w:szCs w:val="22"/>
        </w:rPr>
        <w:t>esolution</w:t>
      </w:r>
      <w:r>
        <w:rPr>
          <w:szCs w:val="22"/>
        </w:rPr>
        <w:t xml:space="preserve"> text:</w:t>
      </w:r>
    </w:p>
    <w:p w14:paraId="6B7240E7" w14:textId="77777777" w:rsidR="008E445B" w:rsidRPr="00D469C0" w:rsidRDefault="008E445B" w:rsidP="008E445B">
      <w:pPr>
        <w:spacing w:line="276" w:lineRule="auto"/>
        <w:rPr>
          <w:szCs w:val="22"/>
        </w:rPr>
      </w:pPr>
    </w:p>
    <w:p w14:paraId="1930D582" w14:textId="77777777" w:rsidR="008E445B" w:rsidRDefault="008E445B" w:rsidP="008E445B">
      <w:pPr>
        <w:pStyle w:val="Sinespaciado"/>
        <w:spacing w:line="276" w:lineRule="auto"/>
        <w:rPr>
          <w:rFonts w:ascii="Times New Roman" w:eastAsia="Times New Roman" w:hAnsi="Times New Roman" w:cs="Times New Roman"/>
          <w:color w:val="1A1A1A" w:themeColor="background1" w:themeShade="1A"/>
          <w:sz w:val="22"/>
          <w:szCs w:val="22"/>
          <w:lang w:val="en-GB" w:eastAsia="nl-NL"/>
        </w:rPr>
      </w:pPr>
    </w:p>
    <w:p w14:paraId="017B8BCF" w14:textId="77777777" w:rsidR="008E445B" w:rsidRPr="00A0714E" w:rsidRDefault="008E445B" w:rsidP="008E445B">
      <w:pPr>
        <w:spacing w:before="360" w:after="360" w:line="276" w:lineRule="auto"/>
        <w:jc w:val="center"/>
        <w:rPr>
          <w:b/>
          <w:szCs w:val="22"/>
        </w:rPr>
      </w:pPr>
      <w:r>
        <w:rPr>
          <w:b/>
          <w:szCs w:val="22"/>
        </w:rPr>
        <w:t>Resolution</w:t>
      </w:r>
      <w:r w:rsidRPr="00A0714E">
        <w:rPr>
          <w:b/>
          <w:szCs w:val="22"/>
        </w:rPr>
        <w:t xml:space="preserve"> X (202</w:t>
      </w:r>
      <w:r>
        <w:rPr>
          <w:b/>
          <w:szCs w:val="22"/>
        </w:rPr>
        <w:t>2</w:t>
      </w:r>
      <w:r w:rsidRPr="00A0714E">
        <w:rPr>
          <w:b/>
          <w:szCs w:val="22"/>
        </w:rPr>
        <w:t>)</w:t>
      </w:r>
    </w:p>
    <w:p w14:paraId="7BAF44C9" w14:textId="77777777" w:rsidR="008E445B" w:rsidRPr="00A0714E" w:rsidRDefault="008E445B" w:rsidP="008E445B">
      <w:pPr>
        <w:spacing w:before="360" w:after="360" w:line="276" w:lineRule="auto"/>
        <w:jc w:val="center"/>
        <w:rPr>
          <w:b/>
          <w:szCs w:val="22"/>
        </w:rPr>
      </w:pPr>
      <w:r w:rsidRPr="00A0714E">
        <w:rPr>
          <w:b/>
          <w:szCs w:val="22"/>
        </w:rPr>
        <w:t xml:space="preserve">Permanent facilities </w:t>
      </w:r>
      <w:bookmarkStart w:id="8" w:name="_Hlk99531987"/>
      <w:r w:rsidRPr="00A0714E">
        <w:rPr>
          <w:b/>
          <w:szCs w:val="22"/>
        </w:rPr>
        <w:t xml:space="preserve">for tourism and other </w:t>
      </w:r>
      <w:r w:rsidRPr="00A0714E">
        <w:rPr>
          <w:b/>
          <w:szCs w:val="22"/>
        </w:rPr>
        <w:br/>
        <w:t>non-governmental activities</w:t>
      </w:r>
      <w:bookmarkEnd w:id="8"/>
      <w:r w:rsidRPr="00A0714E">
        <w:rPr>
          <w:b/>
          <w:szCs w:val="22"/>
        </w:rPr>
        <w:t xml:space="preserve"> in Antarctica</w:t>
      </w:r>
    </w:p>
    <w:p w14:paraId="0DEEC2E4" w14:textId="77777777" w:rsidR="008E445B" w:rsidRPr="00A0714E" w:rsidRDefault="008E445B" w:rsidP="008E445B">
      <w:pPr>
        <w:pStyle w:val="Sinespaciado"/>
        <w:spacing w:line="276" w:lineRule="auto"/>
        <w:rPr>
          <w:rFonts w:ascii="Times New Roman" w:hAnsi="Times New Roman" w:cs="Times New Roman"/>
          <w:color w:val="000000" w:themeColor="text1"/>
          <w:sz w:val="22"/>
          <w:szCs w:val="22"/>
          <w:lang w:val="en-GB" w:eastAsia="nl-NL"/>
        </w:rPr>
      </w:pPr>
      <w:r w:rsidRPr="00A0714E">
        <w:rPr>
          <w:rFonts w:ascii="Times New Roman" w:hAnsi="Times New Roman" w:cs="Times New Roman"/>
          <w:color w:val="000000" w:themeColor="text1"/>
          <w:sz w:val="22"/>
          <w:szCs w:val="22"/>
          <w:lang w:val="en-GB" w:eastAsia="nl-NL"/>
        </w:rPr>
        <w:t>The Representatives,</w:t>
      </w:r>
      <w:r w:rsidRPr="00A0714E">
        <w:rPr>
          <w:rFonts w:ascii="Times New Roman" w:hAnsi="Times New Roman" w:cs="Times New Roman"/>
          <w:color w:val="000000" w:themeColor="text1"/>
          <w:sz w:val="22"/>
          <w:szCs w:val="22"/>
          <w:lang w:val="en-GB" w:eastAsia="nl-NL"/>
        </w:rPr>
        <w:br/>
      </w:r>
      <w:r w:rsidRPr="00A0714E">
        <w:rPr>
          <w:rFonts w:ascii="Times New Roman" w:hAnsi="Times New Roman" w:cs="Times New Roman"/>
          <w:color w:val="000000" w:themeColor="text1"/>
          <w:sz w:val="22"/>
          <w:szCs w:val="22"/>
          <w:lang w:val="en-GB" w:eastAsia="nl-NL"/>
        </w:rPr>
        <w:br/>
        <w:t>Recalling the designation of Antarctica as natural reserve, devoted to peace and science in Article 2 and the Environmental Principles contained in Article 3 the of the Protocol on Environmental Protection to the Antarctic Treaty;</w:t>
      </w:r>
      <w:r w:rsidRPr="00A0714E">
        <w:rPr>
          <w:rFonts w:ascii="Times New Roman" w:hAnsi="Times New Roman" w:cs="Times New Roman"/>
          <w:color w:val="000000" w:themeColor="text1"/>
          <w:sz w:val="22"/>
          <w:szCs w:val="22"/>
          <w:lang w:val="en-GB" w:eastAsia="nl-NL"/>
        </w:rPr>
        <w:br/>
      </w:r>
      <w:r w:rsidRPr="00A0714E">
        <w:rPr>
          <w:rFonts w:ascii="Times New Roman" w:hAnsi="Times New Roman" w:cs="Times New Roman"/>
          <w:color w:val="000000" w:themeColor="text1"/>
          <w:sz w:val="22"/>
          <w:szCs w:val="22"/>
          <w:lang w:val="en-GB" w:eastAsia="nl-NL"/>
        </w:rPr>
        <w:br/>
        <w:t xml:space="preserve">Recalling Resolution 5(2007) and Resolution </w:t>
      </w:r>
      <w:proofErr w:type="gramStart"/>
      <w:r w:rsidRPr="00A0714E">
        <w:rPr>
          <w:rFonts w:ascii="Times New Roman" w:hAnsi="Times New Roman" w:cs="Times New Roman"/>
          <w:color w:val="000000" w:themeColor="text1"/>
          <w:sz w:val="22"/>
          <w:szCs w:val="22"/>
          <w:lang w:val="en-GB" w:eastAsia="nl-NL"/>
        </w:rPr>
        <w:t>7(2009);</w:t>
      </w:r>
      <w:proofErr w:type="gramEnd"/>
    </w:p>
    <w:p w14:paraId="1BB76B30" w14:textId="77777777" w:rsidR="008E445B" w:rsidRPr="00A0714E" w:rsidRDefault="008E445B" w:rsidP="008E445B">
      <w:pPr>
        <w:pStyle w:val="Sinespaciado"/>
        <w:spacing w:line="276" w:lineRule="auto"/>
        <w:rPr>
          <w:rFonts w:ascii="Times New Roman" w:hAnsi="Times New Roman" w:cs="Times New Roman"/>
          <w:color w:val="000000" w:themeColor="text1"/>
          <w:sz w:val="22"/>
          <w:szCs w:val="22"/>
          <w:lang w:val="en-GB" w:eastAsia="nl-NL"/>
        </w:rPr>
      </w:pPr>
    </w:p>
    <w:p w14:paraId="6697D96A" w14:textId="77777777" w:rsidR="008E445B" w:rsidRPr="00A0714E" w:rsidRDefault="008E445B" w:rsidP="008E445B">
      <w:pPr>
        <w:pStyle w:val="Sinespaciado"/>
        <w:spacing w:line="276" w:lineRule="auto"/>
        <w:rPr>
          <w:rFonts w:ascii="Times New Roman" w:hAnsi="Times New Roman" w:cs="Times New Roman"/>
          <w:color w:val="000000" w:themeColor="text1"/>
          <w:sz w:val="22"/>
          <w:szCs w:val="22"/>
          <w:lang w:val="en-GB" w:eastAsia="nl-NL"/>
        </w:rPr>
      </w:pPr>
      <w:r w:rsidRPr="00A0714E">
        <w:rPr>
          <w:rFonts w:ascii="Times New Roman" w:hAnsi="Times New Roman" w:cs="Times New Roman"/>
          <w:color w:val="000000" w:themeColor="text1"/>
          <w:sz w:val="22"/>
          <w:szCs w:val="22"/>
          <w:lang w:val="en-GB" w:eastAsia="nl-NL"/>
        </w:rPr>
        <w:t xml:space="preserve">Conscious of their responsibilities to ensure that tourism in Antarctica will not </w:t>
      </w:r>
      <w:r w:rsidRPr="00A0714E">
        <w:rPr>
          <w:rFonts w:ascii="Times New Roman" w:eastAsia="Times New Roman" w:hAnsi="Times New Roman" w:cs="Times New Roman"/>
          <w:color w:val="000000" w:themeColor="text1"/>
          <w:sz w:val="22"/>
          <w:szCs w:val="22"/>
          <w:lang w:val="en-GB" w:eastAsia="nl-NL"/>
        </w:rPr>
        <w:t xml:space="preserve">contribute to the long-term degradation of the Antarctic environment and its dependent and associated ecosystems, or the intrinsic natural wilderness and historical values of </w:t>
      </w:r>
      <w:proofErr w:type="gramStart"/>
      <w:r w:rsidRPr="00A0714E">
        <w:rPr>
          <w:rFonts w:ascii="Times New Roman" w:eastAsia="Times New Roman" w:hAnsi="Times New Roman" w:cs="Times New Roman"/>
          <w:color w:val="000000" w:themeColor="text1"/>
          <w:sz w:val="22"/>
          <w:szCs w:val="22"/>
          <w:lang w:val="en-GB" w:eastAsia="nl-NL"/>
        </w:rPr>
        <w:t>Antarctica;</w:t>
      </w:r>
      <w:proofErr w:type="gramEnd"/>
    </w:p>
    <w:p w14:paraId="6A7CB490" w14:textId="77777777" w:rsidR="008E445B" w:rsidRPr="00A0714E" w:rsidRDefault="008E445B" w:rsidP="008E445B">
      <w:pPr>
        <w:pStyle w:val="Sinespaciado"/>
        <w:spacing w:line="276" w:lineRule="auto"/>
        <w:rPr>
          <w:rFonts w:ascii="Times New Roman" w:hAnsi="Times New Roman" w:cs="Times New Roman"/>
          <w:color w:val="000000" w:themeColor="text1"/>
          <w:sz w:val="22"/>
          <w:szCs w:val="22"/>
          <w:lang w:val="en-GB" w:eastAsia="nl-NL"/>
        </w:rPr>
      </w:pPr>
    </w:p>
    <w:p w14:paraId="4D27D838" w14:textId="77777777" w:rsidR="008E445B" w:rsidRPr="00C406EE" w:rsidRDefault="008E445B" w:rsidP="008E445B">
      <w:pPr>
        <w:pStyle w:val="Sinespaciado"/>
        <w:spacing w:line="276" w:lineRule="auto"/>
        <w:rPr>
          <w:rFonts w:ascii="Times New Roman" w:hAnsi="Times New Roman" w:cs="Times New Roman"/>
          <w:color w:val="000000" w:themeColor="text1"/>
          <w:sz w:val="22"/>
          <w:szCs w:val="22"/>
          <w:lang w:val="en-GB" w:eastAsia="nl-NL"/>
        </w:rPr>
      </w:pPr>
      <w:r w:rsidRPr="00C406EE">
        <w:rPr>
          <w:rFonts w:ascii="Times New Roman" w:hAnsi="Times New Roman" w:cs="Times New Roman"/>
          <w:color w:val="000000" w:themeColor="text1"/>
          <w:sz w:val="22"/>
          <w:szCs w:val="22"/>
          <w:lang w:val="en-GB" w:eastAsia="nl-NL"/>
        </w:rPr>
        <w:t xml:space="preserve">Conscious of IAATO’s agreed </w:t>
      </w:r>
      <w:r w:rsidRPr="00C406EE">
        <w:rPr>
          <w:rFonts w:ascii="Times New Roman" w:hAnsi="Times New Roman" w:cs="Times New Roman"/>
          <w:sz w:val="22"/>
          <w:szCs w:val="22"/>
          <w:lang w:val="en-GB" w:eastAsia="nl-NL"/>
        </w:rPr>
        <w:t xml:space="preserve">principle that their planned activities will have no more than a minor or transitory impact on the Antarctic </w:t>
      </w:r>
      <w:proofErr w:type="gramStart"/>
      <w:r w:rsidRPr="00C406EE">
        <w:rPr>
          <w:rFonts w:ascii="Times New Roman" w:hAnsi="Times New Roman" w:cs="Times New Roman"/>
          <w:sz w:val="22"/>
          <w:szCs w:val="22"/>
          <w:lang w:val="en-GB" w:eastAsia="nl-NL"/>
        </w:rPr>
        <w:t>environment;</w:t>
      </w:r>
      <w:proofErr w:type="gramEnd"/>
    </w:p>
    <w:p w14:paraId="0C9EC95E" w14:textId="77777777" w:rsidR="008E445B" w:rsidRPr="00C406EE" w:rsidRDefault="008E445B" w:rsidP="008E445B">
      <w:pPr>
        <w:pStyle w:val="Sinespaciado"/>
        <w:spacing w:line="276" w:lineRule="auto"/>
        <w:rPr>
          <w:rFonts w:ascii="Times New Roman" w:hAnsi="Times New Roman" w:cs="Times New Roman"/>
          <w:color w:val="000000" w:themeColor="text1"/>
          <w:sz w:val="22"/>
          <w:szCs w:val="22"/>
          <w:lang w:val="en-GB" w:eastAsia="nl-NL"/>
        </w:rPr>
      </w:pPr>
    </w:p>
    <w:p w14:paraId="429FD9A4" w14:textId="77777777" w:rsidR="008E445B" w:rsidRPr="00C406EE" w:rsidRDefault="008E445B" w:rsidP="008E445B">
      <w:pPr>
        <w:pStyle w:val="Sinespaciado"/>
        <w:spacing w:line="276" w:lineRule="auto"/>
        <w:rPr>
          <w:rFonts w:ascii="Times New Roman" w:hAnsi="Times New Roman" w:cs="Times New Roman"/>
          <w:color w:val="000000" w:themeColor="text1"/>
          <w:sz w:val="22"/>
          <w:szCs w:val="22"/>
          <w:lang w:val="en-GB" w:eastAsia="nl-NL"/>
        </w:rPr>
      </w:pPr>
      <w:r w:rsidRPr="00C406EE">
        <w:rPr>
          <w:rFonts w:ascii="Times New Roman" w:hAnsi="Times New Roman" w:cs="Times New Roman"/>
          <w:color w:val="000000" w:themeColor="text1"/>
          <w:sz w:val="22"/>
          <w:szCs w:val="22"/>
          <w:lang w:val="en-GB" w:eastAsia="nl-NL"/>
        </w:rPr>
        <w:t xml:space="preserve">Desiring to take a proactive approach in order to prevent the further increase of unnecessary human footprint and wilderness degradation in </w:t>
      </w:r>
      <w:proofErr w:type="gramStart"/>
      <w:r w:rsidRPr="00C406EE">
        <w:rPr>
          <w:rFonts w:ascii="Times New Roman" w:hAnsi="Times New Roman" w:cs="Times New Roman"/>
          <w:color w:val="000000" w:themeColor="text1"/>
          <w:sz w:val="22"/>
          <w:szCs w:val="22"/>
          <w:lang w:val="en-GB" w:eastAsia="nl-NL"/>
        </w:rPr>
        <w:t>Antarctica;</w:t>
      </w:r>
      <w:proofErr w:type="gramEnd"/>
    </w:p>
    <w:p w14:paraId="096D2ECA" w14:textId="77777777" w:rsidR="008E445B" w:rsidRPr="00C406EE" w:rsidRDefault="008E445B" w:rsidP="008E445B">
      <w:pPr>
        <w:pStyle w:val="Sinespaciado"/>
        <w:spacing w:line="276" w:lineRule="auto"/>
        <w:rPr>
          <w:rFonts w:ascii="Times New Roman" w:hAnsi="Times New Roman" w:cs="Times New Roman"/>
          <w:color w:val="000000" w:themeColor="text1"/>
          <w:sz w:val="22"/>
          <w:szCs w:val="22"/>
          <w:lang w:val="en-GB" w:eastAsia="nl-NL"/>
        </w:rPr>
      </w:pPr>
    </w:p>
    <w:p w14:paraId="3CA8B66D" w14:textId="77777777" w:rsidR="008E445B" w:rsidRPr="00C406EE" w:rsidRDefault="008E445B" w:rsidP="008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Cs w:val="22"/>
          <w:lang w:val="en"/>
        </w:rPr>
      </w:pPr>
      <w:r w:rsidRPr="00C406EE">
        <w:rPr>
          <w:szCs w:val="22"/>
          <w:lang w:val="en"/>
        </w:rPr>
        <w:t>Aware that in the future a legally binding Measure to prohibit permanent facilities for tourism or other non-governmental activities may prove necessary, but that this needs further discussion.</w:t>
      </w:r>
    </w:p>
    <w:p w14:paraId="2F6B5288" w14:textId="77777777" w:rsidR="008E445B" w:rsidRPr="00C406EE" w:rsidRDefault="008E445B" w:rsidP="008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szCs w:val="22"/>
          <w:lang w:val="en"/>
        </w:rPr>
      </w:pPr>
    </w:p>
    <w:p w14:paraId="434A0A91" w14:textId="77777777" w:rsidR="008E445B" w:rsidRPr="00C406EE" w:rsidRDefault="008E445B" w:rsidP="008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202124"/>
          <w:szCs w:val="22"/>
          <w:lang w:val="en"/>
        </w:rPr>
      </w:pPr>
      <w:r w:rsidRPr="00C406EE">
        <w:rPr>
          <w:szCs w:val="22"/>
          <w:lang w:val="en"/>
        </w:rPr>
        <w:t xml:space="preserve">Emphasizing however, that recent plans for such facilities and related risks require immediate action, also to provide clarity to </w:t>
      </w:r>
      <w:r w:rsidRPr="00C406EE">
        <w:rPr>
          <w:color w:val="202124"/>
          <w:szCs w:val="22"/>
          <w:lang w:val="en"/>
        </w:rPr>
        <w:t xml:space="preserve">national </w:t>
      </w:r>
      <w:r w:rsidRPr="00C406EE">
        <w:rPr>
          <w:szCs w:val="22"/>
          <w:lang w:val="en"/>
        </w:rPr>
        <w:t xml:space="preserve">competent </w:t>
      </w:r>
      <w:proofErr w:type="gramStart"/>
      <w:r w:rsidRPr="00C406EE">
        <w:rPr>
          <w:szCs w:val="22"/>
          <w:lang w:val="en"/>
        </w:rPr>
        <w:t>authorities;</w:t>
      </w:r>
      <w:proofErr w:type="gramEnd"/>
    </w:p>
    <w:p w14:paraId="0A842A61" w14:textId="77777777" w:rsidR="008E445B" w:rsidRPr="00D575CF" w:rsidRDefault="008E445B" w:rsidP="008E4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color w:val="202124"/>
          <w:szCs w:val="22"/>
          <w:lang w:val="en-US"/>
        </w:rPr>
      </w:pPr>
    </w:p>
    <w:p w14:paraId="0B5A8C94" w14:textId="77777777" w:rsidR="008E445B" w:rsidRPr="00B30FF9" w:rsidRDefault="008E445B" w:rsidP="008E445B">
      <w:pPr>
        <w:pStyle w:val="Sinespaciado"/>
        <w:spacing w:line="276" w:lineRule="auto"/>
        <w:rPr>
          <w:rFonts w:ascii="Times New Roman" w:hAnsi="Times New Roman" w:cs="Times New Roman"/>
          <w:color w:val="000000" w:themeColor="text1"/>
          <w:sz w:val="22"/>
          <w:szCs w:val="22"/>
          <w:lang w:val="en-GB" w:eastAsia="nl-NL"/>
        </w:rPr>
      </w:pPr>
      <w:r w:rsidRPr="00A0714E">
        <w:rPr>
          <w:rFonts w:ascii="Times New Roman" w:hAnsi="Times New Roman" w:cs="Times New Roman"/>
          <w:color w:val="000000" w:themeColor="text1"/>
          <w:sz w:val="22"/>
          <w:szCs w:val="22"/>
          <w:lang w:val="en-GB" w:eastAsia="nl-NL"/>
        </w:rPr>
        <w:br/>
      </w:r>
      <w:r w:rsidRPr="00B30FF9">
        <w:rPr>
          <w:rFonts w:ascii="Times New Roman" w:hAnsi="Times New Roman" w:cs="Times New Roman"/>
          <w:color w:val="000000" w:themeColor="text1"/>
          <w:sz w:val="22"/>
          <w:szCs w:val="22"/>
          <w:lang w:val="en-GB" w:eastAsia="nl-NL"/>
        </w:rPr>
        <w:t>Recommend t</w:t>
      </w:r>
      <w:r>
        <w:rPr>
          <w:rFonts w:ascii="Times New Roman" w:hAnsi="Times New Roman" w:cs="Times New Roman"/>
          <w:color w:val="000000" w:themeColor="text1"/>
          <w:sz w:val="22"/>
          <w:szCs w:val="22"/>
          <w:lang w:val="en-GB" w:eastAsia="nl-NL"/>
        </w:rPr>
        <w:t>hat</w:t>
      </w:r>
      <w:r w:rsidRPr="00B30FF9">
        <w:rPr>
          <w:rFonts w:ascii="Times New Roman" w:hAnsi="Times New Roman" w:cs="Times New Roman"/>
          <w:color w:val="000000" w:themeColor="text1"/>
          <w:sz w:val="22"/>
          <w:szCs w:val="22"/>
          <w:lang w:val="en-GB" w:eastAsia="nl-NL"/>
        </w:rPr>
        <w:t xml:space="preserve"> their </w:t>
      </w:r>
      <w:proofErr w:type="gramStart"/>
      <w:r w:rsidRPr="00B30FF9">
        <w:rPr>
          <w:rFonts w:ascii="Times New Roman" w:hAnsi="Times New Roman" w:cs="Times New Roman"/>
          <w:color w:val="000000" w:themeColor="text1"/>
          <w:sz w:val="22"/>
          <w:szCs w:val="22"/>
          <w:lang w:val="en-GB" w:eastAsia="nl-NL"/>
        </w:rPr>
        <w:t>Governments</w:t>
      </w:r>
      <w:proofErr w:type="gramEnd"/>
      <w:r w:rsidRPr="00B30FF9">
        <w:rPr>
          <w:rFonts w:ascii="Times New Roman" w:hAnsi="Times New Roman" w:cs="Times New Roman"/>
          <w:color w:val="000000" w:themeColor="text1"/>
          <w:sz w:val="22"/>
          <w:szCs w:val="22"/>
          <w:lang w:val="en-GB" w:eastAsia="nl-NL"/>
        </w:rPr>
        <w:t>:</w:t>
      </w:r>
    </w:p>
    <w:p w14:paraId="2BCFCC3B" w14:textId="77777777" w:rsidR="008E445B" w:rsidRPr="00B30FF9" w:rsidRDefault="008E445B" w:rsidP="008E445B">
      <w:pPr>
        <w:pStyle w:val="Sinespaciado"/>
        <w:spacing w:line="276" w:lineRule="auto"/>
        <w:rPr>
          <w:rFonts w:ascii="Times New Roman" w:hAnsi="Times New Roman" w:cs="Times New Roman"/>
          <w:color w:val="000000" w:themeColor="text1"/>
          <w:sz w:val="22"/>
          <w:szCs w:val="22"/>
          <w:lang w:val="en-GB" w:eastAsia="nl-NL"/>
        </w:rPr>
      </w:pPr>
    </w:p>
    <w:p w14:paraId="5DDAAB54" w14:textId="77777777" w:rsidR="008E445B" w:rsidRPr="00C747EA" w:rsidRDefault="008E445B" w:rsidP="008E445B">
      <w:pPr>
        <w:pStyle w:val="Sinespaciado"/>
        <w:numPr>
          <w:ilvl w:val="0"/>
          <w:numId w:val="31"/>
        </w:numPr>
        <w:spacing w:line="276" w:lineRule="auto"/>
        <w:rPr>
          <w:rFonts w:ascii="Times New Roman" w:eastAsia="Times New Roman" w:hAnsi="Times New Roman" w:cs="Times New Roman"/>
          <w:color w:val="000000" w:themeColor="text1"/>
          <w:sz w:val="22"/>
          <w:szCs w:val="22"/>
          <w:lang w:val="en-GB" w:eastAsia="nl-NL"/>
        </w:rPr>
      </w:pPr>
      <w:r w:rsidRPr="00C747EA">
        <w:rPr>
          <w:rFonts w:ascii="Times New Roman" w:eastAsia="Times New Roman" w:hAnsi="Times New Roman" w:cs="Times New Roman"/>
          <w:color w:val="000000" w:themeColor="text1"/>
          <w:sz w:val="22"/>
          <w:szCs w:val="22"/>
          <w:lang w:val="en-GB" w:eastAsia="nl-NL"/>
        </w:rPr>
        <w:t xml:space="preserve">make every effort to prevent the construction and/or exploitation of any structure or facility for tourism and other </w:t>
      </w:r>
      <w:r w:rsidRPr="00F37889">
        <w:rPr>
          <w:rFonts w:ascii="Times New Roman" w:eastAsia="Times New Roman" w:hAnsi="Times New Roman" w:cs="Times New Roman"/>
          <w:color w:val="000000" w:themeColor="text1"/>
          <w:sz w:val="22"/>
          <w:szCs w:val="22"/>
          <w:lang w:val="en-GB" w:eastAsia="nl-NL"/>
        </w:rPr>
        <w:t>non-governmental activities designed to be operated in Antarctica over multiple seasons</w:t>
      </w:r>
      <w:r w:rsidRPr="00C747EA">
        <w:rPr>
          <w:rFonts w:ascii="Times New Roman" w:eastAsia="Times New Roman" w:hAnsi="Times New Roman" w:cs="Times New Roman"/>
          <w:color w:val="000000" w:themeColor="text1"/>
          <w:sz w:val="22"/>
          <w:szCs w:val="22"/>
          <w:lang w:val="en-GB" w:eastAsia="nl-NL"/>
        </w:rPr>
        <w:t xml:space="preserve">, where its construction, operation or removal is expected to have more than a minor or transitory </w:t>
      </w:r>
      <w:r w:rsidRPr="00EA5445">
        <w:rPr>
          <w:rFonts w:ascii="Times New Roman" w:eastAsia="Times New Roman" w:hAnsi="Times New Roman" w:cs="Times New Roman"/>
          <w:sz w:val="22"/>
          <w:szCs w:val="22"/>
          <w:lang w:val="en-GB" w:eastAsia="nl-NL"/>
        </w:rPr>
        <w:t xml:space="preserve">impact on the </w:t>
      </w:r>
      <w:r w:rsidRPr="00EA5445">
        <w:rPr>
          <w:rFonts w:ascii="Times New Roman" w:hAnsi="Times New Roman" w:cs="Times New Roman"/>
          <w:sz w:val="22"/>
          <w:szCs w:val="22"/>
          <w:lang w:val="en-GB"/>
        </w:rPr>
        <w:t>Antarctic environment and its dependent and associated ecosystems, or the intrinsic natural wilderness and historical values of Antarctica</w:t>
      </w:r>
      <w:r w:rsidRPr="00EA5445">
        <w:rPr>
          <w:rFonts w:ascii="Times New Roman" w:eastAsia="Times New Roman" w:hAnsi="Times New Roman" w:cs="Times New Roman"/>
          <w:sz w:val="22"/>
          <w:szCs w:val="22"/>
          <w:lang w:val="en-GB" w:eastAsia="nl-NL"/>
        </w:rPr>
        <w:t xml:space="preserve">. Examples include, but are not restricted </w:t>
      </w:r>
      <w:r w:rsidRPr="00C747EA">
        <w:rPr>
          <w:rFonts w:ascii="Times New Roman" w:eastAsia="Times New Roman" w:hAnsi="Times New Roman" w:cs="Times New Roman"/>
          <w:color w:val="000000" w:themeColor="text1"/>
          <w:sz w:val="22"/>
          <w:szCs w:val="22"/>
          <w:lang w:val="en-GB" w:eastAsia="nl-NL"/>
        </w:rPr>
        <w:t xml:space="preserve">to, buildings, </w:t>
      </w:r>
      <w:r w:rsidRPr="00C747EA">
        <w:rPr>
          <w:rFonts w:ascii="Times New Roman" w:eastAsia="Times New Roman" w:hAnsi="Times New Roman" w:cs="Times New Roman"/>
          <w:color w:val="000000" w:themeColor="text1"/>
          <w:sz w:val="22"/>
          <w:szCs w:val="22"/>
          <w:lang w:val="en-GB" w:eastAsia="nl-NL"/>
        </w:rPr>
        <w:lastRenderedPageBreak/>
        <w:t>wharves and jetties, and graded runways on exposed ground; and</w:t>
      </w:r>
      <w:r w:rsidRPr="00C747EA">
        <w:rPr>
          <w:rFonts w:ascii="Times New Roman" w:eastAsia="Times New Roman" w:hAnsi="Times New Roman" w:cs="Times New Roman"/>
          <w:color w:val="000000" w:themeColor="text1"/>
          <w:sz w:val="22"/>
          <w:szCs w:val="22"/>
          <w:lang w:val="en-GB" w:eastAsia="nl-NL"/>
        </w:rPr>
        <w:br/>
      </w:r>
    </w:p>
    <w:p w14:paraId="28EBA2B0" w14:textId="77777777" w:rsidR="008E445B" w:rsidRPr="00C747EA" w:rsidRDefault="008E445B" w:rsidP="008E445B">
      <w:pPr>
        <w:pStyle w:val="Sinespaciado"/>
        <w:numPr>
          <w:ilvl w:val="0"/>
          <w:numId w:val="31"/>
        </w:numPr>
        <w:spacing w:line="276" w:lineRule="auto"/>
        <w:rPr>
          <w:rFonts w:ascii="Times New Roman" w:eastAsia="Times New Roman" w:hAnsi="Times New Roman" w:cs="Times New Roman"/>
          <w:color w:val="000000" w:themeColor="text1"/>
          <w:sz w:val="22"/>
          <w:szCs w:val="22"/>
          <w:lang w:val="en-GB" w:eastAsia="nl-NL"/>
        </w:rPr>
      </w:pPr>
      <w:r w:rsidRPr="00F37889">
        <w:rPr>
          <w:rFonts w:ascii="Times New Roman" w:hAnsi="Times New Roman" w:cs="Times New Roman"/>
          <w:sz w:val="22"/>
          <w:szCs w:val="22"/>
          <w:lang w:val="en-GB"/>
        </w:rPr>
        <w:t>undertake further work</w:t>
      </w:r>
      <w:r>
        <w:rPr>
          <w:rFonts w:ascii="Times New Roman" w:hAnsi="Times New Roman" w:cs="Times New Roman"/>
          <w:sz w:val="22"/>
          <w:szCs w:val="22"/>
          <w:lang w:val="en-GB"/>
        </w:rPr>
        <w:t xml:space="preserve"> on this issue</w:t>
      </w:r>
      <w:r w:rsidRPr="00F37889">
        <w:rPr>
          <w:rFonts w:ascii="Times New Roman" w:hAnsi="Times New Roman" w:cs="Times New Roman"/>
          <w:sz w:val="22"/>
          <w:szCs w:val="22"/>
          <w:lang w:val="en-GB"/>
        </w:rPr>
        <w:t>,</w:t>
      </w:r>
      <w:r w:rsidRPr="00EA5445">
        <w:rPr>
          <w:rFonts w:ascii="Times New Roman" w:hAnsi="Times New Roman" w:cs="Times New Roman"/>
          <w:sz w:val="22"/>
          <w:szCs w:val="22"/>
          <w:lang w:val="en-GB"/>
        </w:rPr>
        <w:t xml:space="preserve"> including the development of an inventory of </w:t>
      </w:r>
      <w:r w:rsidRPr="00EA5445">
        <w:rPr>
          <w:rStyle w:val="y2iqfc"/>
          <w:rFonts w:ascii="Times New Roman" w:hAnsi="Times New Roman" w:cs="Times New Roman"/>
          <w:sz w:val="22"/>
          <w:szCs w:val="22"/>
          <w:lang w:val="en-GB"/>
        </w:rPr>
        <w:t xml:space="preserve">existing infrastructure supporting tourism </w:t>
      </w:r>
      <w:r w:rsidRPr="00F37889">
        <w:rPr>
          <w:rStyle w:val="y2iqfc"/>
          <w:rFonts w:ascii="Times New Roman" w:hAnsi="Times New Roman" w:cs="Times New Roman"/>
          <w:color w:val="202124"/>
          <w:sz w:val="22"/>
          <w:szCs w:val="22"/>
          <w:lang w:val="en-GB"/>
        </w:rPr>
        <w:t xml:space="preserve">and other non-governmental activities, </w:t>
      </w:r>
      <w:r w:rsidRPr="00F37889">
        <w:rPr>
          <w:rFonts w:ascii="Times New Roman" w:hAnsi="Times New Roman" w:cs="Times New Roman"/>
          <w:sz w:val="22"/>
          <w:szCs w:val="22"/>
          <w:lang w:val="en-GB"/>
        </w:rPr>
        <w:t xml:space="preserve">to inform discussions on additional policies, including, </w:t>
      </w:r>
      <w:r>
        <w:rPr>
          <w:rFonts w:ascii="Times New Roman" w:hAnsi="Times New Roman" w:cs="Times New Roman"/>
          <w:sz w:val="22"/>
          <w:szCs w:val="22"/>
          <w:lang w:val="en-GB"/>
        </w:rPr>
        <w:t>if</w:t>
      </w:r>
      <w:r w:rsidRPr="00F37889">
        <w:rPr>
          <w:rFonts w:ascii="Times New Roman" w:hAnsi="Times New Roman" w:cs="Times New Roman"/>
          <w:sz w:val="22"/>
          <w:szCs w:val="22"/>
          <w:lang w:val="en-GB"/>
        </w:rPr>
        <w:t xml:space="preserve"> appropriate, </w:t>
      </w:r>
      <w:r w:rsidRPr="00C747EA">
        <w:rPr>
          <w:rFonts w:ascii="Times New Roman" w:hAnsi="Times New Roman" w:cs="Times New Roman"/>
          <w:sz w:val="22"/>
          <w:szCs w:val="22"/>
          <w:lang w:val="en-GB"/>
        </w:rPr>
        <w:t>the adoption of a legally binding Measure.</w:t>
      </w:r>
    </w:p>
    <w:p w14:paraId="4AD08BB6" w14:textId="77777777" w:rsidR="008E445B" w:rsidRDefault="008E445B" w:rsidP="00952E9F"/>
    <w:sectPr w:rsidR="008E445B" w:rsidSect="00283F0F">
      <w:headerReference w:type="default" r:id="rId11"/>
      <w:footerReference w:type="default" r:id="rId12"/>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CAE36" w14:textId="77777777" w:rsidR="00000000" w:rsidRDefault="008E445B">
      <w:r>
        <w:separator/>
      </w:r>
    </w:p>
  </w:endnote>
  <w:endnote w:type="continuationSeparator" w:id="0">
    <w:p w14:paraId="6C90A043" w14:textId="77777777" w:rsidR="00000000" w:rsidRDefault="008E44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D340E" w14:textId="77777777" w:rsidR="00FA0B9F" w:rsidRDefault="008E445B" w:rsidP="00CF5C82">
    <w:pPr>
      <w:framePr w:wrap="around" w:vAnchor="text" w:hAnchor="margin" w:xAlign="right" w:y="1"/>
    </w:pPr>
    <w:r>
      <w:fldChar w:fldCharType="begin"/>
    </w:r>
    <w:r>
      <w:instrText xml:space="preserve">PAGE  </w:instrText>
    </w:r>
    <w:r>
      <w:fldChar w:fldCharType="separate"/>
    </w:r>
    <w:r>
      <w:fldChar w:fldCharType="end"/>
    </w:r>
  </w:p>
  <w:p w14:paraId="6592C850" w14:textId="77777777" w:rsidR="00FA0B9F" w:rsidRDefault="008E445B"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C9D46" w14:textId="77777777" w:rsidR="00FA0B9F" w:rsidRDefault="008E445B"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482A7EB0" w14:textId="1964F8DA" w:rsidR="00FA0B9F" w:rsidRDefault="008E445B"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05D01" w14:textId="77777777" w:rsidR="00E311C9" w:rsidRDefault="008E445B"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534CA6A9" w14:textId="77777777" w:rsidR="00E311C9" w:rsidRDefault="008E445B"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A4843" w14:textId="77777777" w:rsidR="00000000" w:rsidRDefault="008E445B">
      <w:r>
        <w:separator/>
      </w:r>
    </w:p>
  </w:footnote>
  <w:footnote w:type="continuationSeparator" w:id="0">
    <w:p w14:paraId="2BEDBA54" w14:textId="77777777" w:rsidR="00000000" w:rsidRDefault="008E445B">
      <w:r>
        <w:continuationSeparator/>
      </w:r>
    </w:p>
  </w:footnote>
  <w:footnote w:id="1">
    <w:p w14:paraId="72CD065D" w14:textId="77777777" w:rsidR="008E445B" w:rsidRPr="000D2B36" w:rsidRDefault="008E445B" w:rsidP="008E445B">
      <w:pPr>
        <w:pStyle w:val="Sinespaciado"/>
        <w:rPr>
          <w:rFonts w:ascii="Times New Roman" w:hAnsi="Times New Roman" w:cs="Times New Roman"/>
          <w:sz w:val="20"/>
          <w:szCs w:val="20"/>
          <w:lang w:val="en-GB"/>
        </w:rPr>
      </w:pPr>
      <w:r w:rsidRPr="000D2B36">
        <w:rPr>
          <w:rStyle w:val="Refdenotaalpie"/>
          <w:rFonts w:ascii="Times New Roman" w:hAnsi="Times New Roman" w:cs="Times New Roman"/>
          <w:sz w:val="20"/>
          <w:szCs w:val="20"/>
          <w:lang w:val="en-GB"/>
        </w:rPr>
        <w:footnoteRef/>
      </w:r>
      <w:r w:rsidRPr="000D2B36">
        <w:rPr>
          <w:rFonts w:ascii="Times New Roman" w:hAnsi="Times New Roman" w:cs="Times New Roman"/>
          <w:sz w:val="20"/>
          <w:szCs w:val="20"/>
          <w:lang w:val="en-GB"/>
        </w:rPr>
        <w:t xml:space="preserve"> </w:t>
      </w:r>
      <w:r w:rsidRPr="000D2B36">
        <w:rPr>
          <w:rFonts w:ascii="Times New Roman" w:hAnsi="Times New Roman" w:cs="Times New Roman"/>
          <w:color w:val="000000" w:themeColor="text1"/>
          <w:sz w:val="20"/>
          <w:szCs w:val="20"/>
          <w:lang w:val="en-GB"/>
        </w:rPr>
        <w:t>The ICG components have been numbered for the purpose of easy referencing</w:t>
      </w:r>
      <w:r w:rsidRPr="000D2B36">
        <w:rPr>
          <w:rFonts w:ascii="Times New Roman" w:hAnsi="Times New Roman" w:cs="Times New Roman"/>
          <w:sz w:val="20"/>
          <w:szCs w:val="20"/>
          <w:lang w:val="en-GB"/>
        </w:rPr>
        <w:t>. The ATCM also agreed that Observers and Experts participating in the ATCM would be invited to provide input and that The Netherlands would act as convener and report to the next ATCM on</w:t>
      </w:r>
      <w:r>
        <w:rPr>
          <w:rFonts w:ascii="Times New Roman" w:hAnsi="Times New Roman" w:cs="Times New Roman"/>
          <w:sz w:val="20"/>
          <w:szCs w:val="20"/>
          <w:lang w:val="en-GB"/>
        </w:rPr>
        <w:t xml:space="preserve"> </w:t>
      </w:r>
      <w:r w:rsidRPr="000D2B36">
        <w:rPr>
          <w:rFonts w:ascii="Times New Roman" w:hAnsi="Times New Roman" w:cs="Times New Roman"/>
          <w:sz w:val="20"/>
          <w:szCs w:val="20"/>
          <w:lang w:val="en-GB"/>
        </w:rPr>
        <w:t>progress made in the ICG (§ 228 of the Final Report).</w:t>
      </w:r>
    </w:p>
  </w:footnote>
  <w:footnote w:id="2">
    <w:p w14:paraId="3E7A021D" w14:textId="77777777" w:rsidR="008E445B" w:rsidRPr="000D2B36" w:rsidRDefault="008E445B" w:rsidP="008E445B">
      <w:pPr>
        <w:pStyle w:val="Sinespaciado"/>
        <w:rPr>
          <w:rFonts w:ascii="Times New Roman" w:hAnsi="Times New Roman" w:cs="Times New Roman"/>
          <w:sz w:val="20"/>
          <w:szCs w:val="20"/>
          <w:lang w:val="en-GB"/>
        </w:rPr>
      </w:pPr>
      <w:r w:rsidRPr="000D2B36">
        <w:rPr>
          <w:rStyle w:val="Refdenotaalpie"/>
          <w:rFonts w:ascii="Times New Roman" w:hAnsi="Times New Roman" w:cs="Times New Roman"/>
          <w:sz w:val="20"/>
          <w:szCs w:val="20"/>
          <w:lang w:val="en-GB"/>
        </w:rPr>
        <w:footnoteRef/>
      </w:r>
      <w:r w:rsidRPr="000D2B36">
        <w:rPr>
          <w:rFonts w:ascii="Times New Roman" w:hAnsi="Times New Roman" w:cs="Times New Roman"/>
          <w:sz w:val="20"/>
          <w:szCs w:val="20"/>
          <w:lang w:val="en-GB"/>
        </w:rPr>
        <w:t xml:space="preserve"> See, for example, ATCM XXXII/IP 23 rev. 1 </w:t>
      </w:r>
      <w:r w:rsidRPr="000D2B36">
        <w:rPr>
          <w:rFonts w:ascii="Times New Roman" w:hAnsi="Times New Roman" w:cs="Times New Roman"/>
          <w:i/>
          <w:iCs/>
          <w:sz w:val="20"/>
          <w:szCs w:val="20"/>
          <w:lang w:val="en-GB"/>
        </w:rPr>
        <w:t>Tourism and Land-based Facilities in Antarctica</w:t>
      </w:r>
      <w:r w:rsidRPr="000D2B36">
        <w:rPr>
          <w:rFonts w:ascii="Times New Roman" w:hAnsi="Times New Roman" w:cs="Times New Roman"/>
          <w:sz w:val="20"/>
          <w:szCs w:val="20"/>
          <w:lang w:val="en-GB"/>
        </w:rPr>
        <w:t>, tabled by ASOC.</w:t>
      </w:r>
    </w:p>
    <w:p w14:paraId="69AFF4C4" w14:textId="77777777" w:rsidR="008E445B" w:rsidRPr="000D2B36" w:rsidRDefault="008E445B" w:rsidP="008E445B">
      <w:pPr>
        <w:pStyle w:val="Textonotapie"/>
        <w:rPr>
          <w:lang w:val="en-US"/>
        </w:rPr>
      </w:pPr>
    </w:p>
  </w:footnote>
  <w:footnote w:id="3">
    <w:p w14:paraId="1E4DE211" w14:textId="77777777" w:rsidR="008E445B" w:rsidRPr="000D2B36" w:rsidRDefault="008E445B" w:rsidP="008E445B">
      <w:pPr>
        <w:pStyle w:val="ATSNormal"/>
        <w:rPr>
          <w:sz w:val="20"/>
          <w:szCs w:val="20"/>
          <w:lang w:val="fr-FR"/>
        </w:rPr>
      </w:pPr>
      <w:r w:rsidRPr="000D2B36">
        <w:rPr>
          <w:rStyle w:val="Refdenotaalpie"/>
          <w:sz w:val="20"/>
          <w:szCs w:val="20"/>
        </w:rPr>
        <w:footnoteRef/>
      </w:r>
      <w:r w:rsidRPr="000D2B36">
        <w:rPr>
          <w:sz w:val="20"/>
          <w:szCs w:val="20"/>
        </w:rPr>
        <w:t xml:space="preserve"> See, e.g., ATCM 43/IP14, ‘Antarctic wilderness and inviolate areas’, tabled by Australia, The </w:t>
      </w:r>
      <w:proofErr w:type="gramStart"/>
      <w:r w:rsidRPr="000D2B36">
        <w:rPr>
          <w:sz w:val="20"/>
          <w:szCs w:val="20"/>
        </w:rPr>
        <w:t>Netherlands</w:t>
      </w:r>
      <w:proofErr w:type="gramEnd"/>
      <w:r w:rsidRPr="000D2B36">
        <w:rPr>
          <w:sz w:val="20"/>
          <w:szCs w:val="20"/>
        </w:rPr>
        <w:t xml:space="preserve"> and New Zealand, based on </w:t>
      </w:r>
      <w:proofErr w:type="spellStart"/>
      <w:r w:rsidRPr="000D2B36">
        <w:rPr>
          <w:sz w:val="20"/>
          <w:szCs w:val="20"/>
        </w:rPr>
        <w:t>Leihy</w:t>
      </w:r>
      <w:proofErr w:type="spellEnd"/>
      <w:r w:rsidRPr="000D2B36">
        <w:rPr>
          <w:sz w:val="20"/>
          <w:szCs w:val="20"/>
        </w:rPr>
        <w:t xml:space="preserve"> et al., ‘Antarctica’s wilderness fails to capture continent’s biodiversity’. </w:t>
      </w:r>
      <w:r w:rsidRPr="000D2B36">
        <w:rPr>
          <w:i/>
          <w:sz w:val="20"/>
          <w:szCs w:val="20"/>
          <w:lang w:val="fr-FR"/>
        </w:rPr>
        <w:t>Nature</w:t>
      </w:r>
      <w:r w:rsidRPr="000D2B36">
        <w:rPr>
          <w:sz w:val="20"/>
          <w:szCs w:val="20"/>
          <w:lang w:val="fr-FR"/>
        </w:rPr>
        <w:t xml:space="preserve"> </w:t>
      </w:r>
      <w:r w:rsidRPr="000D2B36">
        <w:rPr>
          <w:b/>
          <w:sz w:val="20"/>
          <w:szCs w:val="20"/>
          <w:lang w:val="fr-FR"/>
        </w:rPr>
        <w:t>583</w:t>
      </w:r>
      <w:r w:rsidRPr="000D2B36">
        <w:rPr>
          <w:sz w:val="20"/>
          <w:szCs w:val="20"/>
          <w:lang w:val="fr-FR"/>
        </w:rPr>
        <w:t xml:space="preserve">, 567–571 (2020a). </w:t>
      </w:r>
      <w:hyperlink r:id="rId1" w:history="1">
        <w:r w:rsidRPr="000D2B36">
          <w:rPr>
            <w:rStyle w:val="Hipervnculo"/>
            <w:sz w:val="20"/>
            <w:szCs w:val="20"/>
            <w:lang w:val="fr-FR"/>
          </w:rPr>
          <w:t>https://doi.org/10.1038/s41586-020-2506-3</w:t>
        </w:r>
      </w:hyperlink>
      <w:r w:rsidRPr="000D2B36">
        <w:rPr>
          <w:rStyle w:val="Hipervnculo"/>
          <w:sz w:val="20"/>
          <w:szCs w:val="20"/>
          <w:lang w:val="fr-FR"/>
        </w:rPr>
        <w:t>.</w:t>
      </w:r>
    </w:p>
    <w:p w14:paraId="2CE65801" w14:textId="77777777" w:rsidR="008E445B" w:rsidRPr="000D2B36" w:rsidRDefault="008E445B" w:rsidP="008E445B">
      <w:pPr>
        <w:pStyle w:val="Textonotapie"/>
        <w:rPr>
          <w:lang w:val="nl-N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DB65A9" w14:paraId="45D7E1C1" w14:textId="77777777" w:rsidTr="00490760">
      <w:trPr>
        <w:trHeight w:val="344"/>
        <w:jc w:val="center"/>
      </w:trPr>
      <w:tc>
        <w:tcPr>
          <w:tcW w:w="5495" w:type="dxa"/>
        </w:tcPr>
        <w:p w14:paraId="3E7C6CC4" w14:textId="77777777" w:rsidR="00DB7C09" w:rsidRDefault="008E445B" w:rsidP="00F968D4"/>
      </w:tc>
      <w:tc>
        <w:tcPr>
          <w:tcW w:w="4253" w:type="dxa"/>
          <w:gridSpan w:val="2"/>
        </w:tcPr>
        <w:p w14:paraId="466583F4" w14:textId="77777777" w:rsidR="00DB7C09" w:rsidRPr="00BD47E4" w:rsidRDefault="008E445B" w:rsidP="002A07BC">
          <w:pPr>
            <w:jc w:val="right"/>
            <w:rPr>
              <w:b/>
              <w:sz w:val="32"/>
              <w:szCs w:val="32"/>
            </w:rPr>
          </w:pPr>
          <w:bookmarkStart w:id="2" w:name="type"/>
          <w:r w:rsidRPr="00BD47E4">
            <w:rPr>
              <w:b/>
              <w:sz w:val="32"/>
              <w:szCs w:val="32"/>
            </w:rPr>
            <w:t>WP</w:t>
          </w:r>
          <w:bookmarkEnd w:id="2"/>
        </w:p>
      </w:tc>
      <w:tc>
        <w:tcPr>
          <w:tcW w:w="1524" w:type="dxa"/>
          <w:gridSpan w:val="2"/>
        </w:tcPr>
        <w:p w14:paraId="3F83FEEF" w14:textId="77777777" w:rsidR="00DB7C09" w:rsidRPr="00BD47E4" w:rsidRDefault="008E445B" w:rsidP="00DB7C09">
          <w:pPr>
            <w:rPr>
              <w:b/>
              <w:sz w:val="32"/>
              <w:szCs w:val="32"/>
            </w:rPr>
          </w:pPr>
          <w:bookmarkStart w:id="3" w:name="number"/>
          <w:r w:rsidRPr="00BD47E4">
            <w:rPr>
              <w:b/>
              <w:sz w:val="32"/>
              <w:szCs w:val="32"/>
            </w:rPr>
            <w:t>36</w:t>
          </w:r>
          <w:bookmarkEnd w:id="3"/>
        </w:p>
      </w:tc>
    </w:tr>
    <w:tr w:rsidR="00DB65A9" w14:paraId="2B356692" w14:textId="77777777" w:rsidTr="00490760">
      <w:trPr>
        <w:trHeight w:val="2165"/>
        <w:jc w:val="center"/>
      </w:trPr>
      <w:tc>
        <w:tcPr>
          <w:tcW w:w="5495" w:type="dxa"/>
        </w:tcPr>
        <w:p w14:paraId="05FC752B" w14:textId="77777777" w:rsidR="00490760" w:rsidRPr="00EE4D48" w:rsidRDefault="008E445B" w:rsidP="002A07BC">
          <w:pPr>
            <w:rPr>
              <w:b/>
              <w:sz w:val="28"/>
              <w:szCs w:val="28"/>
            </w:rPr>
          </w:pPr>
          <w:r>
            <w:rPr>
              <w:noProof/>
            </w:rPr>
            <w:drawing>
              <wp:inline distT="0" distB="0" distL="0" distR="0" wp14:anchorId="494D5C24" wp14:editId="37D4A91F">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07149"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4127B41C" w14:textId="77777777" w:rsidR="00490760" w:rsidRPr="00FE5146" w:rsidRDefault="008E445B" w:rsidP="00490760">
          <w:pPr>
            <w:jc w:val="right"/>
            <w:rPr>
              <w:sz w:val="144"/>
              <w:szCs w:val="144"/>
            </w:rPr>
          </w:pPr>
          <w:r w:rsidRPr="00FE5146">
            <w:rPr>
              <w:sz w:val="144"/>
              <w:szCs w:val="144"/>
            </w:rPr>
            <w:t>ENG</w:t>
          </w:r>
        </w:p>
      </w:tc>
    </w:tr>
    <w:tr w:rsidR="00DB65A9" w14:paraId="6DBBF5A7" w14:textId="77777777" w:rsidTr="00BD47E4">
      <w:trPr>
        <w:trHeight w:val="409"/>
        <w:jc w:val="center"/>
      </w:trPr>
      <w:tc>
        <w:tcPr>
          <w:tcW w:w="9039" w:type="dxa"/>
          <w:gridSpan w:val="2"/>
        </w:tcPr>
        <w:p w14:paraId="3AACC50F" w14:textId="77777777" w:rsidR="00BD47E4" w:rsidRDefault="008E445B" w:rsidP="002C30DA">
          <w:pPr>
            <w:jc w:val="right"/>
          </w:pPr>
          <w:r>
            <w:t>Agenda Item:</w:t>
          </w:r>
        </w:p>
      </w:tc>
      <w:tc>
        <w:tcPr>
          <w:tcW w:w="1843" w:type="dxa"/>
          <w:gridSpan w:val="2"/>
        </w:tcPr>
        <w:p w14:paraId="11109802" w14:textId="77777777" w:rsidR="00BD47E4" w:rsidRDefault="008E445B" w:rsidP="002C30DA">
          <w:pPr>
            <w:jc w:val="right"/>
          </w:pPr>
          <w:bookmarkStart w:id="4" w:name="agenda"/>
          <w:r>
            <w:t>ATCM 17</w:t>
          </w:r>
          <w:bookmarkEnd w:id="4"/>
        </w:p>
      </w:tc>
      <w:tc>
        <w:tcPr>
          <w:tcW w:w="390" w:type="dxa"/>
        </w:tcPr>
        <w:p w14:paraId="44A44A1C" w14:textId="77777777" w:rsidR="00BD47E4" w:rsidRDefault="008E445B" w:rsidP="00387A65">
          <w:pPr>
            <w:jc w:val="right"/>
          </w:pPr>
        </w:p>
      </w:tc>
    </w:tr>
    <w:tr w:rsidR="00DB65A9" w14:paraId="017AA3CA" w14:textId="77777777" w:rsidTr="00BD47E4">
      <w:trPr>
        <w:trHeight w:val="397"/>
        <w:jc w:val="center"/>
      </w:trPr>
      <w:tc>
        <w:tcPr>
          <w:tcW w:w="9039" w:type="dxa"/>
          <w:gridSpan w:val="2"/>
        </w:tcPr>
        <w:p w14:paraId="5ECBED92" w14:textId="77777777" w:rsidR="00BD47E4" w:rsidRDefault="008E445B" w:rsidP="002C30DA">
          <w:pPr>
            <w:jc w:val="right"/>
          </w:pPr>
          <w:r>
            <w:t>Presented by:</w:t>
          </w:r>
        </w:p>
      </w:tc>
      <w:tc>
        <w:tcPr>
          <w:tcW w:w="1843" w:type="dxa"/>
          <w:gridSpan w:val="2"/>
        </w:tcPr>
        <w:p w14:paraId="5065D514" w14:textId="77777777" w:rsidR="00BD47E4" w:rsidRDefault="008E445B" w:rsidP="002C30DA">
          <w:pPr>
            <w:jc w:val="right"/>
          </w:pPr>
          <w:bookmarkStart w:id="5" w:name="party"/>
          <w:r>
            <w:t>Netherlands</w:t>
          </w:r>
          <w:bookmarkEnd w:id="5"/>
        </w:p>
      </w:tc>
      <w:tc>
        <w:tcPr>
          <w:tcW w:w="390" w:type="dxa"/>
        </w:tcPr>
        <w:p w14:paraId="6DAC2E57" w14:textId="77777777" w:rsidR="00BD47E4" w:rsidRDefault="008E445B" w:rsidP="00387A65">
          <w:pPr>
            <w:jc w:val="right"/>
          </w:pPr>
        </w:p>
      </w:tc>
    </w:tr>
    <w:tr w:rsidR="00DB65A9" w14:paraId="5820A81B" w14:textId="77777777" w:rsidTr="00BD47E4">
      <w:trPr>
        <w:trHeight w:val="409"/>
        <w:jc w:val="center"/>
      </w:trPr>
      <w:tc>
        <w:tcPr>
          <w:tcW w:w="9039" w:type="dxa"/>
          <w:gridSpan w:val="2"/>
        </w:tcPr>
        <w:p w14:paraId="58EA2A50" w14:textId="77777777" w:rsidR="00BD47E4" w:rsidRDefault="008E445B" w:rsidP="002C30DA">
          <w:pPr>
            <w:jc w:val="right"/>
          </w:pPr>
          <w:r>
            <w:t>Original:</w:t>
          </w:r>
        </w:p>
      </w:tc>
      <w:tc>
        <w:tcPr>
          <w:tcW w:w="1843" w:type="dxa"/>
          <w:gridSpan w:val="2"/>
        </w:tcPr>
        <w:p w14:paraId="2A66262B" w14:textId="77777777" w:rsidR="00BD47E4" w:rsidRDefault="008E445B" w:rsidP="002C30DA">
          <w:pPr>
            <w:jc w:val="right"/>
          </w:pPr>
          <w:bookmarkStart w:id="6" w:name="language"/>
          <w:r>
            <w:t>English</w:t>
          </w:r>
          <w:bookmarkEnd w:id="6"/>
        </w:p>
      </w:tc>
      <w:tc>
        <w:tcPr>
          <w:tcW w:w="390" w:type="dxa"/>
        </w:tcPr>
        <w:p w14:paraId="2BD2FC2A" w14:textId="77777777" w:rsidR="00BD47E4" w:rsidRDefault="008E445B" w:rsidP="00387A65">
          <w:pPr>
            <w:jc w:val="right"/>
          </w:pPr>
        </w:p>
      </w:tc>
    </w:tr>
    <w:tr w:rsidR="00DB65A9" w14:paraId="2683DEB3" w14:textId="77777777" w:rsidTr="00BD47E4">
      <w:trPr>
        <w:trHeight w:val="409"/>
        <w:jc w:val="center"/>
      </w:trPr>
      <w:tc>
        <w:tcPr>
          <w:tcW w:w="9039" w:type="dxa"/>
          <w:gridSpan w:val="2"/>
        </w:tcPr>
        <w:p w14:paraId="77DDED45" w14:textId="77777777" w:rsidR="0097629D" w:rsidRDefault="008E445B" w:rsidP="002C30DA">
          <w:pPr>
            <w:jc w:val="right"/>
          </w:pPr>
          <w:r>
            <w:t>Submitted:</w:t>
          </w:r>
        </w:p>
      </w:tc>
      <w:tc>
        <w:tcPr>
          <w:tcW w:w="1843" w:type="dxa"/>
          <w:gridSpan w:val="2"/>
        </w:tcPr>
        <w:p w14:paraId="17E46BA0" w14:textId="77777777" w:rsidR="0097629D" w:rsidRDefault="008E445B" w:rsidP="0097629D">
          <w:pPr>
            <w:jc w:val="right"/>
          </w:pPr>
          <w:bookmarkStart w:id="7" w:name="date_submission"/>
          <w:r>
            <w:t>8/4/2022</w:t>
          </w:r>
          <w:bookmarkEnd w:id="7"/>
        </w:p>
      </w:tc>
      <w:tc>
        <w:tcPr>
          <w:tcW w:w="390" w:type="dxa"/>
        </w:tcPr>
        <w:p w14:paraId="3101A0D5" w14:textId="77777777" w:rsidR="0097629D" w:rsidRDefault="008E445B" w:rsidP="00387A65">
          <w:pPr>
            <w:jc w:val="right"/>
          </w:pPr>
        </w:p>
      </w:tc>
    </w:tr>
  </w:tbl>
  <w:p w14:paraId="2C035245" w14:textId="77777777" w:rsidR="00AE5DD0" w:rsidRDefault="008E445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DB65A9" w14:paraId="412A8A0C" w14:textId="77777777">
      <w:trPr>
        <w:trHeight w:val="354"/>
        <w:jc w:val="center"/>
      </w:trPr>
      <w:tc>
        <w:tcPr>
          <w:tcW w:w="9694" w:type="dxa"/>
        </w:tcPr>
        <w:p w14:paraId="5856E387" w14:textId="5A76D7E1" w:rsidR="00AE5DD0" w:rsidRPr="00BD47E4" w:rsidRDefault="008E445B" w:rsidP="00C26F2D">
          <w:pPr>
            <w:jc w:val="right"/>
            <w:rPr>
              <w:b/>
              <w:sz w:val="32"/>
              <w:szCs w:val="32"/>
            </w:rPr>
          </w:pPr>
          <w:r>
            <w:rPr>
              <w:b/>
              <w:sz w:val="32"/>
              <w:szCs w:val="32"/>
            </w:rPr>
            <w:t>WP</w:t>
          </w:r>
        </w:p>
      </w:tc>
      <w:tc>
        <w:tcPr>
          <w:tcW w:w="1332" w:type="dxa"/>
        </w:tcPr>
        <w:p w14:paraId="1863A12A" w14:textId="67A75496" w:rsidR="00AE5DD0" w:rsidRPr="00BD47E4" w:rsidRDefault="008E445B" w:rsidP="00080F4C">
          <w:pPr>
            <w:rPr>
              <w:b/>
              <w:sz w:val="32"/>
              <w:szCs w:val="32"/>
            </w:rPr>
          </w:pPr>
          <w:r>
            <w:rPr>
              <w:b/>
              <w:sz w:val="32"/>
              <w:szCs w:val="32"/>
            </w:rPr>
            <w:t>36</w:t>
          </w:r>
        </w:p>
      </w:tc>
    </w:tr>
  </w:tbl>
  <w:p w14:paraId="17FEB445" w14:textId="77777777" w:rsidR="00AE5DD0" w:rsidRDefault="008E445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05A1C"/>
    <w:multiLevelType w:val="hybridMultilevel"/>
    <w:tmpl w:val="599050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991256"/>
    <w:multiLevelType w:val="hybridMultilevel"/>
    <w:tmpl w:val="1E2E16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1EEF6E6F"/>
    <w:multiLevelType w:val="hybridMultilevel"/>
    <w:tmpl w:val="C19859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7703B80"/>
    <w:multiLevelType w:val="hybridMultilevel"/>
    <w:tmpl w:val="A5729CCA"/>
    <w:lvl w:ilvl="0" w:tplc="04130013">
      <w:start w:val="1"/>
      <w:numFmt w:val="upperRoman"/>
      <w:lvlText w:val="%1."/>
      <w:lvlJc w:val="righ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86577EA"/>
    <w:multiLevelType w:val="hybridMultilevel"/>
    <w:tmpl w:val="21A63D98"/>
    <w:lvl w:ilvl="0" w:tplc="83745EE2">
      <w:start w:val="1"/>
      <w:numFmt w:val="bullet"/>
      <w:pStyle w:val="ATSBullet1"/>
      <w:lvlText w:val=""/>
      <w:lvlJc w:val="left"/>
      <w:pPr>
        <w:tabs>
          <w:tab w:val="num" w:pos="360"/>
        </w:tabs>
        <w:ind w:left="360" w:hanging="360"/>
      </w:pPr>
      <w:rPr>
        <w:rFonts w:ascii="Symbol" w:hAnsi="Symbol" w:hint="default"/>
        <w:color w:val="auto"/>
      </w:rPr>
    </w:lvl>
    <w:lvl w:ilvl="1" w:tplc="7C985F9E" w:tentative="1">
      <w:start w:val="1"/>
      <w:numFmt w:val="bullet"/>
      <w:lvlText w:val="o"/>
      <w:lvlJc w:val="left"/>
      <w:pPr>
        <w:tabs>
          <w:tab w:val="num" w:pos="1440"/>
        </w:tabs>
        <w:ind w:left="1440" w:hanging="360"/>
      </w:pPr>
      <w:rPr>
        <w:rFonts w:ascii="Courier New" w:hAnsi="Courier New" w:cs="Courier New" w:hint="default"/>
      </w:rPr>
    </w:lvl>
    <w:lvl w:ilvl="2" w:tplc="86341CB8" w:tentative="1">
      <w:start w:val="1"/>
      <w:numFmt w:val="bullet"/>
      <w:lvlText w:val=""/>
      <w:lvlJc w:val="left"/>
      <w:pPr>
        <w:tabs>
          <w:tab w:val="num" w:pos="2160"/>
        </w:tabs>
        <w:ind w:left="2160" w:hanging="360"/>
      </w:pPr>
      <w:rPr>
        <w:rFonts w:ascii="Wingdings" w:hAnsi="Wingdings" w:hint="default"/>
      </w:rPr>
    </w:lvl>
    <w:lvl w:ilvl="3" w:tplc="45EA966A" w:tentative="1">
      <w:start w:val="1"/>
      <w:numFmt w:val="bullet"/>
      <w:lvlText w:val=""/>
      <w:lvlJc w:val="left"/>
      <w:pPr>
        <w:tabs>
          <w:tab w:val="num" w:pos="2880"/>
        </w:tabs>
        <w:ind w:left="2880" w:hanging="360"/>
      </w:pPr>
      <w:rPr>
        <w:rFonts w:ascii="Symbol" w:hAnsi="Symbol" w:hint="default"/>
      </w:rPr>
    </w:lvl>
    <w:lvl w:ilvl="4" w:tplc="CFD22586" w:tentative="1">
      <w:start w:val="1"/>
      <w:numFmt w:val="bullet"/>
      <w:lvlText w:val="o"/>
      <w:lvlJc w:val="left"/>
      <w:pPr>
        <w:tabs>
          <w:tab w:val="num" w:pos="3600"/>
        </w:tabs>
        <w:ind w:left="3600" w:hanging="360"/>
      </w:pPr>
      <w:rPr>
        <w:rFonts w:ascii="Courier New" w:hAnsi="Courier New" w:cs="Courier New" w:hint="default"/>
      </w:rPr>
    </w:lvl>
    <w:lvl w:ilvl="5" w:tplc="116EFE34" w:tentative="1">
      <w:start w:val="1"/>
      <w:numFmt w:val="bullet"/>
      <w:lvlText w:val=""/>
      <w:lvlJc w:val="left"/>
      <w:pPr>
        <w:tabs>
          <w:tab w:val="num" w:pos="4320"/>
        </w:tabs>
        <w:ind w:left="4320" w:hanging="360"/>
      </w:pPr>
      <w:rPr>
        <w:rFonts w:ascii="Wingdings" w:hAnsi="Wingdings" w:hint="default"/>
      </w:rPr>
    </w:lvl>
    <w:lvl w:ilvl="6" w:tplc="998284CA" w:tentative="1">
      <w:start w:val="1"/>
      <w:numFmt w:val="bullet"/>
      <w:lvlText w:val=""/>
      <w:lvlJc w:val="left"/>
      <w:pPr>
        <w:tabs>
          <w:tab w:val="num" w:pos="5040"/>
        </w:tabs>
        <w:ind w:left="5040" w:hanging="360"/>
      </w:pPr>
      <w:rPr>
        <w:rFonts w:ascii="Symbol" w:hAnsi="Symbol" w:hint="default"/>
      </w:rPr>
    </w:lvl>
    <w:lvl w:ilvl="7" w:tplc="CF06CC66" w:tentative="1">
      <w:start w:val="1"/>
      <w:numFmt w:val="bullet"/>
      <w:lvlText w:val="o"/>
      <w:lvlJc w:val="left"/>
      <w:pPr>
        <w:tabs>
          <w:tab w:val="num" w:pos="5760"/>
        </w:tabs>
        <w:ind w:left="5760" w:hanging="360"/>
      </w:pPr>
      <w:rPr>
        <w:rFonts w:ascii="Courier New" w:hAnsi="Courier New" w:cs="Courier New" w:hint="default"/>
      </w:rPr>
    </w:lvl>
    <w:lvl w:ilvl="8" w:tplc="1F9ADF0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105524F"/>
    <w:multiLevelType w:val="hybridMultilevel"/>
    <w:tmpl w:val="D916B55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7" w15:restartNumberingAfterBreak="0">
    <w:nsid w:val="3CD9167F"/>
    <w:multiLevelType w:val="hybridMultilevel"/>
    <w:tmpl w:val="7846A32C"/>
    <w:lvl w:ilvl="0" w:tplc="0413001B">
      <w:start w:val="1"/>
      <w:numFmt w:val="lowerRoman"/>
      <w:lvlText w:val="%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43195492"/>
    <w:multiLevelType w:val="hybridMultilevel"/>
    <w:tmpl w:val="433228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8B6222E"/>
    <w:multiLevelType w:val="hybridMultilevel"/>
    <w:tmpl w:val="EFCE317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9D35C15"/>
    <w:multiLevelType w:val="hybridMultilevel"/>
    <w:tmpl w:val="A8A2E45C"/>
    <w:lvl w:ilvl="0" w:tplc="CEF08BA4">
      <w:start w:val="1"/>
      <w:numFmt w:val="decimal"/>
      <w:lvlText w:val="%1)"/>
      <w:lvlJc w:val="left"/>
      <w:pPr>
        <w:tabs>
          <w:tab w:val="num" w:pos="340"/>
        </w:tabs>
        <w:ind w:left="340" w:hanging="340"/>
      </w:pPr>
      <w:rPr>
        <w:rFonts w:hint="default"/>
      </w:rPr>
    </w:lvl>
    <w:lvl w:ilvl="1" w:tplc="8AE4E8BC" w:tentative="1">
      <w:start w:val="1"/>
      <w:numFmt w:val="lowerLetter"/>
      <w:lvlText w:val="%2."/>
      <w:lvlJc w:val="left"/>
      <w:pPr>
        <w:tabs>
          <w:tab w:val="num" w:pos="1440"/>
        </w:tabs>
        <w:ind w:left="1440" w:hanging="360"/>
      </w:pPr>
    </w:lvl>
    <w:lvl w:ilvl="2" w:tplc="01A6BCAC" w:tentative="1">
      <w:start w:val="1"/>
      <w:numFmt w:val="lowerRoman"/>
      <w:lvlText w:val="%3."/>
      <w:lvlJc w:val="right"/>
      <w:pPr>
        <w:tabs>
          <w:tab w:val="num" w:pos="2160"/>
        </w:tabs>
        <w:ind w:left="2160" w:hanging="180"/>
      </w:pPr>
    </w:lvl>
    <w:lvl w:ilvl="3" w:tplc="B5D2D0EC" w:tentative="1">
      <w:start w:val="1"/>
      <w:numFmt w:val="decimal"/>
      <w:lvlText w:val="%4."/>
      <w:lvlJc w:val="left"/>
      <w:pPr>
        <w:tabs>
          <w:tab w:val="num" w:pos="2880"/>
        </w:tabs>
        <w:ind w:left="2880" w:hanging="360"/>
      </w:pPr>
    </w:lvl>
    <w:lvl w:ilvl="4" w:tplc="A7F046CE" w:tentative="1">
      <w:start w:val="1"/>
      <w:numFmt w:val="lowerLetter"/>
      <w:lvlText w:val="%5."/>
      <w:lvlJc w:val="left"/>
      <w:pPr>
        <w:tabs>
          <w:tab w:val="num" w:pos="3600"/>
        </w:tabs>
        <w:ind w:left="3600" w:hanging="360"/>
      </w:pPr>
    </w:lvl>
    <w:lvl w:ilvl="5" w:tplc="AAF8A15A" w:tentative="1">
      <w:start w:val="1"/>
      <w:numFmt w:val="lowerRoman"/>
      <w:lvlText w:val="%6."/>
      <w:lvlJc w:val="right"/>
      <w:pPr>
        <w:tabs>
          <w:tab w:val="num" w:pos="4320"/>
        </w:tabs>
        <w:ind w:left="4320" w:hanging="180"/>
      </w:pPr>
    </w:lvl>
    <w:lvl w:ilvl="6" w:tplc="69845420" w:tentative="1">
      <w:start w:val="1"/>
      <w:numFmt w:val="decimal"/>
      <w:lvlText w:val="%7."/>
      <w:lvlJc w:val="left"/>
      <w:pPr>
        <w:tabs>
          <w:tab w:val="num" w:pos="5040"/>
        </w:tabs>
        <w:ind w:left="5040" w:hanging="360"/>
      </w:pPr>
    </w:lvl>
    <w:lvl w:ilvl="7" w:tplc="B42EC8EE" w:tentative="1">
      <w:start w:val="1"/>
      <w:numFmt w:val="lowerLetter"/>
      <w:lvlText w:val="%8."/>
      <w:lvlJc w:val="left"/>
      <w:pPr>
        <w:tabs>
          <w:tab w:val="num" w:pos="5760"/>
        </w:tabs>
        <w:ind w:left="5760" w:hanging="360"/>
      </w:pPr>
    </w:lvl>
    <w:lvl w:ilvl="8" w:tplc="093EDE98" w:tentative="1">
      <w:start w:val="1"/>
      <w:numFmt w:val="lowerRoman"/>
      <w:lvlText w:val="%9."/>
      <w:lvlJc w:val="right"/>
      <w:pPr>
        <w:tabs>
          <w:tab w:val="num" w:pos="6480"/>
        </w:tabs>
        <w:ind w:left="6480" w:hanging="180"/>
      </w:pPr>
    </w:lvl>
  </w:abstractNum>
  <w:abstractNum w:abstractNumId="21" w15:restartNumberingAfterBreak="0">
    <w:nsid w:val="56332EC8"/>
    <w:multiLevelType w:val="hybridMultilevel"/>
    <w:tmpl w:val="D47AE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7DC50BE"/>
    <w:multiLevelType w:val="hybridMultilevel"/>
    <w:tmpl w:val="916452F4"/>
    <w:lvl w:ilvl="0" w:tplc="20E8D052">
      <w:start w:val="6"/>
      <w:numFmt w:val="bullet"/>
      <w:lvlText w:val="-"/>
      <w:lvlJc w:val="left"/>
      <w:pPr>
        <w:ind w:left="720" w:hanging="360"/>
      </w:pPr>
      <w:rPr>
        <w:rFonts w:ascii="Book Antiqua" w:eastAsiaTheme="minorHAnsi" w:hAnsi="Book Antiqua"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5D026223"/>
    <w:multiLevelType w:val="hybridMultilevel"/>
    <w:tmpl w:val="932ED7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642F3AFA"/>
    <w:multiLevelType w:val="hybridMultilevel"/>
    <w:tmpl w:val="9DF09BE6"/>
    <w:lvl w:ilvl="0" w:tplc="506A7C1E">
      <w:start w:val="1"/>
      <w:numFmt w:val="decimal"/>
      <w:lvlText w:val="%1."/>
      <w:lvlJc w:val="left"/>
      <w:pPr>
        <w:tabs>
          <w:tab w:val="num" w:pos="1057"/>
        </w:tabs>
        <w:ind w:left="1057" w:hanging="360"/>
      </w:pPr>
      <w:rPr>
        <w:rFonts w:hint="default"/>
      </w:rPr>
    </w:lvl>
    <w:lvl w:ilvl="1" w:tplc="137E2C62" w:tentative="1">
      <w:start w:val="1"/>
      <w:numFmt w:val="lowerLetter"/>
      <w:lvlText w:val="%2."/>
      <w:lvlJc w:val="left"/>
      <w:pPr>
        <w:tabs>
          <w:tab w:val="num" w:pos="2137"/>
        </w:tabs>
        <w:ind w:left="2137" w:hanging="360"/>
      </w:pPr>
    </w:lvl>
    <w:lvl w:ilvl="2" w:tplc="02A852BE" w:tentative="1">
      <w:start w:val="1"/>
      <w:numFmt w:val="lowerRoman"/>
      <w:lvlText w:val="%3."/>
      <w:lvlJc w:val="right"/>
      <w:pPr>
        <w:tabs>
          <w:tab w:val="num" w:pos="2857"/>
        </w:tabs>
        <w:ind w:left="2857" w:hanging="180"/>
      </w:pPr>
    </w:lvl>
    <w:lvl w:ilvl="3" w:tplc="A20E9586" w:tentative="1">
      <w:start w:val="1"/>
      <w:numFmt w:val="decimal"/>
      <w:lvlText w:val="%4."/>
      <w:lvlJc w:val="left"/>
      <w:pPr>
        <w:tabs>
          <w:tab w:val="num" w:pos="3577"/>
        </w:tabs>
        <w:ind w:left="3577" w:hanging="360"/>
      </w:pPr>
    </w:lvl>
    <w:lvl w:ilvl="4" w:tplc="AD76234E" w:tentative="1">
      <w:start w:val="1"/>
      <w:numFmt w:val="lowerLetter"/>
      <w:lvlText w:val="%5."/>
      <w:lvlJc w:val="left"/>
      <w:pPr>
        <w:tabs>
          <w:tab w:val="num" w:pos="4297"/>
        </w:tabs>
        <w:ind w:left="4297" w:hanging="360"/>
      </w:pPr>
    </w:lvl>
    <w:lvl w:ilvl="5" w:tplc="B1D0E9AC" w:tentative="1">
      <w:start w:val="1"/>
      <w:numFmt w:val="lowerRoman"/>
      <w:lvlText w:val="%6."/>
      <w:lvlJc w:val="right"/>
      <w:pPr>
        <w:tabs>
          <w:tab w:val="num" w:pos="5017"/>
        </w:tabs>
        <w:ind w:left="5017" w:hanging="180"/>
      </w:pPr>
    </w:lvl>
    <w:lvl w:ilvl="6" w:tplc="EF6A6BAC" w:tentative="1">
      <w:start w:val="1"/>
      <w:numFmt w:val="decimal"/>
      <w:lvlText w:val="%7."/>
      <w:lvlJc w:val="left"/>
      <w:pPr>
        <w:tabs>
          <w:tab w:val="num" w:pos="5737"/>
        </w:tabs>
        <w:ind w:left="5737" w:hanging="360"/>
      </w:pPr>
    </w:lvl>
    <w:lvl w:ilvl="7" w:tplc="3AD6A31E" w:tentative="1">
      <w:start w:val="1"/>
      <w:numFmt w:val="lowerLetter"/>
      <w:lvlText w:val="%8."/>
      <w:lvlJc w:val="left"/>
      <w:pPr>
        <w:tabs>
          <w:tab w:val="num" w:pos="6457"/>
        </w:tabs>
        <w:ind w:left="6457" w:hanging="360"/>
      </w:pPr>
    </w:lvl>
    <w:lvl w:ilvl="8" w:tplc="42A8912C" w:tentative="1">
      <w:start w:val="1"/>
      <w:numFmt w:val="lowerRoman"/>
      <w:lvlText w:val="%9."/>
      <w:lvlJc w:val="right"/>
      <w:pPr>
        <w:tabs>
          <w:tab w:val="num" w:pos="7177"/>
        </w:tabs>
        <w:ind w:left="7177" w:hanging="180"/>
      </w:pPr>
    </w:lvl>
  </w:abstractNum>
  <w:abstractNum w:abstractNumId="25" w15:restartNumberingAfterBreak="0">
    <w:nsid w:val="7212657C"/>
    <w:multiLevelType w:val="hybridMultilevel"/>
    <w:tmpl w:val="0A8E2A84"/>
    <w:lvl w:ilvl="0" w:tplc="2FBC8792">
      <w:start w:val="1"/>
      <w:numFmt w:val="decimal"/>
      <w:pStyle w:val="ATSNumber1"/>
      <w:lvlText w:val="%1)"/>
      <w:lvlJc w:val="left"/>
      <w:pPr>
        <w:tabs>
          <w:tab w:val="num" w:pos="720"/>
        </w:tabs>
        <w:ind w:left="720" w:hanging="360"/>
      </w:pPr>
    </w:lvl>
    <w:lvl w:ilvl="1" w:tplc="75245BE6" w:tentative="1">
      <w:start w:val="1"/>
      <w:numFmt w:val="lowerLetter"/>
      <w:lvlText w:val="%2."/>
      <w:lvlJc w:val="left"/>
      <w:pPr>
        <w:tabs>
          <w:tab w:val="num" w:pos="1440"/>
        </w:tabs>
        <w:ind w:left="1440" w:hanging="360"/>
      </w:pPr>
    </w:lvl>
    <w:lvl w:ilvl="2" w:tplc="E9286AEC" w:tentative="1">
      <w:start w:val="1"/>
      <w:numFmt w:val="lowerRoman"/>
      <w:lvlText w:val="%3."/>
      <w:lvlJc w:val="right"/>
      <w:pPr>
        <w:tabs>
          <w:tab w:val="num" w:pos="2160"/>
        </w:tabs>
        <w:ind w:left="2160" w:hanging="180"/>
      </w:pPr>
    </w:lvl>
    <w:lvl w:ilvl="3" w:tplc="71E82A72" w:tentative="1">
      <w:start w:val="1"/>
      <w:numFmt w:val="decimal"/>
      <w:lvlText w:val="%4."/>
      <w:lvlJc w:val="left"/>
      <w:pPr>
        <w:tabs>
          <w:tab w:val="num" w:pos="2880"/>
        </w:tabs>
        <w:ind w:left="2880" w:hanging="360"/>
      </w:pPr>
    </w:lvl>
    <w:lvl w:ilvl="4" w:tplc="C4B03B8E" w:tentative="1">
      <w:start w:val="1"/>
      <w:numFmt w:val="lowerLetter"/>
      <w:lvlText w:val="%5."/>
      <w:lvlJc w:val="left"/>
      <w:pPr>
        <w:tabs>
          <w:tab w:val="num" w:pos="3600"/>
        </w:tabs>
        <w:ind w:left="3600" w:hanging="360"/>
      </w:pPr>
    </w:lvl>
    <w:lvl w:ilvl="5" w:tplc="19346494" w:tentative="1">
      <w:start w:val="1"/>
      <w:numFmt w:val="lowerRoman"/>
      <w:lvlText w:val="%6."/>
      <w:lvlJc w:val="right"/>
      <w:pPr>
        <w:tabs>
          <w:tab w:val="num" w:pos="4320"/>
        </w:tabs>
        <w:ind w:left="4320" w:hanging="180"/>
      </w:pPr>
    </w:lvl>
    <w:lvl w:ilvl="6" w:tplc="2140E3B0" w:tentative="1">
      <w:start w:val="1"/>
      <w:numFmt w:val="decimal"/>
      <w:lvlText w:val="%7."/>
      <w:lvlJc w:val="left"/>
      <w:pPr>
        <w:tabs>
          <w:tab w:val="num" w:pos="5040"/>
        </w:tabs>
        <w:ind w:left="5040" w:hanging="360"/>
      </w:pPr>
    </w:lvl>
    <w:lvl w:ilvl="7" w:tplc="60D08A94" w:tentative="1">
      <w:start w:val="1"/>
      <w:numFmt w:val="lowerLetter"/>
      <w:lvlText w:val="%8."/>
      <w:lvlJc w:val="left"/>
      <w:pPr>
        <w:tabs>
          <w:tab w:val="num" w:pos="5760"/>
        </w:tabs>
        <w:ind w:left="5760" w:hanging="360"/>
      </w:pPr>
    </w:lvl>
    <w:lvl w:ilvl="8" w:tplc="C8FE6C12" w:tentative="1">
      <w:start w:val="1"/>
      <w:numFmt w:val="lowerRoman"/>
      <w:lvlText w:val="%9."/>
      <w:lvlJc w:val="right"/>
      <w:pPr>
        <w:tabs>
          <w:tab w:val="num" w:pos="6480"/>
        </w:tabs>
        <w:ind w:left="6480" w:hanging="180"/>
      </w:pPr>
    </w:lvl>
  </w:abstractNum>
  <w:abstractNum w:abstractNumId="26" w15:restartNumberingAfterBreak="0">
    <w:nsid w:val="743D2161"/>
    <w:multiLevelType w:val="hybridMultilevel"/>
    <w:tmpl w:val="B0868D9E"/>
    <w:lvl w:ilvl="0" w:tplc="F27E4C2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F1AB1BC" w:tentative="1">
      <w:start w:val="1"/>
      <w:numFmt w:val="bullet"/>
      <w:lvlText w:val="o"/>
      <w:lvlJc w:val="left"/>
      <w:pPr>
        <w:tabs>
          <w:tab w:val="num" w:pos="2517"/>
        </w:tabs>
        <w:ind w:left="2517" w:hanging="360"/>
      </w:pPr>
      <w:rPr>
        <w:rFonts w:ascii="Courier New" w:hAnsi="Courier New" w:cs="Courier New" w:hint="default"/>
      </w:rPr>
    </w:lvl>
    <w:lvl w:ilvl="2" w:tplc="168A3072" w:tentative="1">
      <w:start w:val="1"/>
      <w:numFmt w:val="bullet"/>
      <w:lvlText w:val=""/>
      <w:lvlJc w:val="left"/>
      <w:pPr>
        <w:tabs>
          <w:tab w:val="num" w:pos="3237"/>
        </w:tabs>
        <w:ind w:left="3237" w:hanging="360"/>
      </w:pPr>
      <w:rPr>
        <w:rFonts w:ascii="Wingdings" w:hAnsi="Wingdings" w:hint="default"/>
      </w:rPr>
    </w:lvl>
    <w:lvl w:ilvl="3" w:tplc="E2E2ADC8" w:tentative="1">
      <w:start w:val="1"/>
      <w:numFmt w:val="bullet"/>
      <w:lvlText w:val=""/>
      <w:lvlJc w:val="left"/>
      <w:pPr>
        <w:tabs>
          <w:tab w:val="num" w:pos="3957"/>
        </w:tabs>
        <w:ind w:left="3957" w:hanging="360"/>
      </w:pPr>
      <w:rPr>
        <w:rFonts w:ascii="Symbol" w:hAnsi="Symbol" w:hint="default"/>
      </w:rPr>
    </w:lvl>
    <w:lvl w:ilvl="4" w:tplc="772EB40C" w:tentative="1">
      <w:start w:val="1"/>
      <w:numFmt w:val="bullet"/>
      <w:lvlText w:val="o"/>
      <w:lvlJc w:val="left"/>
      <w:pPr>
        <w:tabs>
          <w:tab w:val="num" w:pos="4677"/>
        </w:tabs>
        <w:ind w:left="4677" w:hanging="360"/>
      </w:pPr>
      <w:rPr>
        <w:rFonts w:ascii="Courier New" w:hAnsi="Courier New" w:cs="Courier New" w:hint="default"/>
      </w:rPr>
    </w:lvl>
    <w:lvl w:ilvl="5" w:tplc="A77E2818" w:tentative="1">
      <w:start w:val="1"/>
      <w:numFmt w:val="bullet"/>
      <w:lvlText w:val=""/>
      <w:lvlJc w:val="left"/>
      <w:pPr>
        <w:tabs>
          <w:tab w:val="num" w:pos="5397"/>
        </w:tabs>
        <w:ind w:left="5397" w:hanging="360"/>
      </w:pPr>
      <w:rPr>
        <w:rFonts w:ascii="Wingdings" w:hAnsi="Wingdings" w:hint="default"/>
      </w:rPr>
    </w:lvl>
    <w:lvl w:ilvl="6" w:tplc="7592D590" w:tentative="1">
      <w:start w:val="1"/>
      <w:numFmt w:val="bullet"/>
      <w:lvlText w:val=""/>
      <w:lvlJc w:val="left"/>
      <w:pPr>
        <w:tabs>
          <w:tab w:val="num" w:pos="6117"/>
        </w:tabs>
        <w:ind w:left="6117" w:hanging="360"/>
      </w:pPr>
      <w:rPr>
        <w:rFonts w:ascii="Symbol" w:hAnsi="Symbol" w:hint="default"/>
      </w:rPr>
    </w:lvl>
    <w:lvl w:ilvl="7" w:tplc="AEDCD788" w:tentative="1">
      <w:start w:val="1"/>
      <w:numFmt w:val="bullet"/>
      <w:lvlText w:val="o"/>
      <w:lvlJc w:val="left"/>
      <w:pPr>
        <w:tabs>
          <w:tab w:val="num" w:pos="6837"/>
        </w:tabs>
        <w:ind w:left="6837" w:hanging="360"/>
      </w:pPr>
      <w:rPr>
        <w:rFonts w:ascii="Courier New" w:hAnsi="Courier New" w:cs="Courier New" w:hint="default"/>
      </w:rPr>
    </w:lvl>
    <w:lvl w:ilvl="8" w:tplc="F70C2F04" w:tentative="1">
      <w:start w:val="1"/>
      <w:numFmt w:val="bullet"/>
      <w:lvlText w:val=""/>
      <w:lvlJc w:val="left"/>
      <w:pPr>
        <w:tabs>
          <w:tab w:val="num" w:pos="7557"/>
        </w:tabs>
        <w:ind w:left="7557" w:hanging="360"/>
      </w:pPr>
      <w:rPr>
        <w:rFonts w:ascii="Wingdings" w:hAnsi="Wingdings" w:hint="default"/>
      </w:rPr>
    </w:lvl>
  </w:abstractNum>
  <w:abstractNum w:abstractNumId="27" w15:restartNumberingAfterBreak="0">
    <w:nsid w:val="7C866FC0"/>
    <w:multiLevelType w:val="hybridMultilevel"/>
    <w:tmpl w:val="57EA2900"/>
    <w:lvl w:ilvl="0" w:tplc="903E417C">
      <w:start w:val="1"/>
      <w:numFmt w:val="decimal"/>
      <w:pStyle w:val="ATSNumber2"/>
      <w:lvlText w:val="%1."/>
      <w:lvlJc w:val="left"/>
      <w:pPr>
        <w:tabs>
          <w:tab w:val="num" w:pos="720"/>
        </w:tabs>
        <w:ind w:left="720" w:hanging="360"/>
      </w:pPr>
      <w:rPr>
        <w:rFonts w:hint="default"/>
      </w:rPr>
    </w:lvl>
    <w:lvl w:ilvl="1" w:tplc="B5B46E4A" w:tentative="1">
      <w:start w:val="1"/>
      <w:numFmt w:val="lowerLetter"/>
      <w:lvlText w:val="%2."/>
      <w:lvlJc w:val="left"/>
      <w:pPr>
        <w:tabs>
          <w:tab w:val="num" w:pos="1440"/>
        </w:tabs>
        <w:ind w:left="1440" w:hanging="360"/>
      </w:pPr>
    </w:lvl>
    <w:lvl w:ilvl="2" w:tplc="8C0C3DCA" w:tentative="1">
      <w:start w:val="1"/>
      <w:numFmt w:val="lowerRoman"/>
      <w:lvlText w:val="%3."/>
      <w:lvlJc w:val="right"/>
      <w:pPr>
        <w:tabs>
          <w:tab w:val="num" w:pos="2160"/>
        </w:tabs>
        <w:ind w:left="2160" w:hanging="180"/>
      </w:pPr>
    </w:lvl>
    <w:lvl w:ilvl="3" w:tplc="E48C7DEC" w:tentative="1">
      <w:start w:val="1"/>
      <w:numFmt w:val="decimal"/>
      <w:lvlText w:val="%4."/>
      <w:lvlJc w:val="left"/>
      <w:pPr>
        <w:tabs>
          <w:tab w:val="num" w:pos="2880"/>
        </w:tabs>
        <w:ind w:left="2880" w:hanging="360"/>
      </w:pPr>
    </w:lvl>
    <w:lvl w:ilvl="4" w:tplc="64CC3DE4" w:tentative="1">
      <w:start w:val="1"/>
      <w:numFmt w:val="lowerLetter"/>
      <w:lvlText w:val="%5."/>
      <w:lvlJc w:val="left"/>
      <w:pPr>
        <w:tabs>
          <w:tab w:val="num" w:pos="3600"/>
        </w:tabs>
        <w:ind w:left="3600" w:hanging="360"/>
      </w:pPr>
    </w:lvl>
    <w:lvl w:ilvl="5" w:tplc="9FD41C6E" w:tentative="1">
      <w:start w:val="1"/>
      <w:numFmt w:val="lowerRoman"/>
      <w:lvlText w:val="%6."/>
      <w:lvlJc w:val="right"/>
      <w:pPr>
        <w:tabs>
          <w:tab w:val="num" w:pos="4320"/>
        </w:tabs>
        <w:ind w:left="4320" w:hanging="180"/>
      </w:pPr>
    </w:lvl>
    <w:lvl w:ilvl="6" w:tplc="06728240" w:tentative="1">
      <w:start w:val="1"/>
      <w:numFmt w:val="decimal"/>
      <w:lvlText w:val="%7."/>
      <w:lvlJc w:val="left"/>
      <w:pPr>
        <w:tabs>
          <w:tab w:val="num" w:pos="5040"/>
        </w:tabs>
        <w:ind w:left="5040" w:hanging="360"/>
      </w:pPr>
    </w:lvl>
    <w:lvl w:ilvl="7" w:tplc="7A28BF96" w:tentative="1">
      <w:start w:val="1"/>
      <w:numFmt w:val="lowerLetter"/>
      <w:lvlText w:val="%8."/>
      <w:lvlJc w:val="left"/>
      <w:pPr>
        <w:tabs>
          <w:tab w:val="num" w:pos="5760"/>
        </w:tabs>
        <w:ind w:left="5760" w:hanging="360"/>
      </w:pPr>
    </w:lvl>
    <w:lvl w:ilvl="8" w:tplc="808C1CD2" w:tentative="1">
      <w:start w:val="1"/>
      <w:numFmt w:val="lowerRoman"/>
      <w:lvlText w:val="%9."/>
      <w:lvlJc w:val="right"/>
      <w:pPr>
        <w:tabs>
          <w:tab w:val="num" w:pos="6480"/>
        </w:tabs>
        <w:ind w:left="6480" w:hanging="180"/>
      </w:pPr>
    </w:lvl>
  </w:abstractNum>
  <w:num w:numId="1" w16cid:durableId="1765804580">
    <w:abstractNumId w:val="9"/>
  </w:num>
  <w:num w:numId="2" w16cid:durableId="152454446">
    <w:abstractNumId w:val="7"/>
  </w:num>
  <w:num w:numId="3" w16cid:durableId="379407462">
    <w:abstractNumId w:val="6"/>
  </w:num>
  <w:num w:numId="4" w16cid:durableId="580600078">
    <w:abstractNumId w:val="5"/>
  </w:num>
  <w:num w:numId="5" w16cid:durableId="445974124">
    <w:abstractNumId w:val="4"/>
  </w:num>
  <w:num w:numId="6" w16cid:durableId="421682089">
    <w:abstractNumId w:val="8"/>
  </w:num>
  <w:num w:numId="7" w16cid:durableId="25328677">
    <w:abstractNumId w:val="3"/>
  </w:num>
  <w:num w:numId="8" w16cid:durableId="1994680954">
    <w:abstractNumId w:val="2"/>
  </w:num>
  <w:num w:numId="9" w16cid:durableId="2025128562">
    <w:abstractNumId w:val="1"/>
  </w:num>
  <w:num w:numId="10" w16cid:durableId="245650469">
    <w:abstractNumId w:val="0"/>
  </w:num>
  <w:num w:numId="11" w16cid:durableId="1085767350">
    <w:abstractNumId w:val="15"/>
  </w:num>
  <w:num w:numId="12" w16cid:durableId="2089229559">
    <w:abstractNumId w:val="26"/>
  </w:num>
  <w:num w:numId="13" w16cid:durableId="608048189">
    <w:abstractNumId w:val="25"/>
  </w:num>
  <w:num w:numId="14" w16cid:durableId="1692339360">
    <w:abstractNumId w:val="20"/>
  </w:num>
  <w:num w:numId="15" w16cid:durableId="2122338900">
    <w:abstractNumId w:val="24"/>
  </w:num>
  <w:num w:numId="16" w16cid:durableId="169487224">
    <w:abstractNumId w:val="11"/>
  </w:num>
  <w:num w:numId="17" w16cid:durableId="1963026970">
    <w:abstractNumId w:val="15"/>
  </w:num>
  <w:num w:numId="18" w16cid:durableId="806623520">
    <w:abstractNumId w:val="26"/>
  </w:num>
  <w:num w:numId="19" w16cid:durableId="34083598">
    <w:abstractNumId w:val="25"/>
  </w:num>
  <w:num w:numId="20" w16cid:durableId="114056699">
    <w:abstractNumId w:val="27"/>
  </w:num>
  <w:num w:numId="21" w16cid:durableId="755319358">
    <w:abstractNumId w:val="23"/>
  </w:num>
  <w:num w:numId="22" w16cid:durableId="338043517">
    <w:abstractNumId w:val="12"/>
  </w:num>
  <w:num w:numId="23" w16cid:durableId="1230383289">
    <w:abstractNumId w:val="17"/>
  </w:num>
  <w:num w:numId="24" w16cid:durableId="1895700342">
    <w:abstractNumId w:val="18"/>
  </w:num>
  <w:num w:numId="25" w16cid:durableId="1149706704">
    <w:abstractNumId w:val="21"/>
  </w:num>
  <w:num w:numId="26" w16cid:durableId="1643734775">
    <w:abstractNumId w:val="10"/>
  </w:num>
  <w:num w:numId="27" w16cid:durableId="1470244836">
    <w:abstractNumId w:val="13"/>
  </w:num>
  <w:num w:numId="28" w16cid:durableId="396361763">
    <w:abstractNumId w:val="16"/>
  </w:num>
  <w:num w:numId="29" w16cid:durableId="279022">
    <w:abstractNumId w:val="14"/>
  </w:num>
  <w:num w:numId="30" w16cid:durableId="189145010">
    <w:abstractNumId w:val="19"/>
  </w:num>
  <w:num w:numId="31" w16cid:durableId="6678326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A9"/>
    <w:rsid w:val="008E445B"/>
    <w:rsid w:val="00DB65A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B95102"/>
  <w15:chartTrackingRefBased/>
  <w15:docId w15:val="{A54F52AA-F111-4DF9-938F-5CC686A4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link w:val="ATSNormalChar"/>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qFormat/>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y2iqfc">
    <w:name w:val="y2iqfc"/>
    <w:basedOn w:val="Fuentedeprrafopredeter"/>
    <w:rsid w:val="008E445B"/>
  </w:style>
  <w:style w:type="paragraph" w:styleId="Sinespaciado">
    <w:name w:val="No Spacing"/>
    <w:uiPriority w:val="1"/>
    <w:qFormat/>
    <w:rsid w:val="008E445B"/>
    <w:rPr>
      <w:rFonts w:asciiTheme="minorHAnsi" w:eastAsiaTheme="minorHAnsi" w:hAnsiTheme="minorHAnsi" w:cstheme="minorBidi"/>
      <w:sz w:val="24"/>
      <w:szCs w:val="24"/>
      <w:lang w:val="nl-NL" w:eastAsia="en-US"/>
    </w:rPr>
  </w:style>
  <w:style w:type="character" w:customStyle="1" w:styleId="TextonotapieCar">
    <w:name w:val="Texto nota pie Car"/>
    <w:basedOn w:val="Fuentedeprrafopredeter"/>
    <w:link w:val="Textonotapie"/>
    <w:uiPriority w:val="99"/>
    <w:rsid w:val="008E445B"/>
    <w:rPr>
      <w:sz w:val="22"/>
      <w:szCs w:val="22"/>
      <w:lang w:val="en-GB" w:eastAsia="en-US"/>
    </w:rPr>
  </w:style>
  <w:style w:type="character" w:customStyle="1" w:styleId="ATSNormalChar">
    <w:name w:val="ATS Normal Char"/>
    <w:basedOn w:val="Fuentedeprrafopredeter"/>
    <w:link w:val="ATSNormal"/>
    <w:locked/>
    <w:rsid w:val="008E445B"/>
    <w:rPr>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doi.org/10.1038/s41586-020-2506-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5395</Words>
  <Characters>30853</Characters>
  <Application>Microsoft Office Word</Application>
  <DocSecurity>0</DocSecurity>
  <Lines>257</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36176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4</cp:revision>
  <cp:lastPrinted>2008-01-22T18:20:00Z</cp:lastPrinted>
  <dcterms:created xsi:type="dcterms:W3CDTF">2020-11-26T16:54:00Z</dcterms:created>
  <dcterms:modified xsi:type="dcterms:W3CDTF">2022-04-08T18:07:00Z</dcterms:modified>
</cp:coreProperties>
</file>