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3BEF" w14:textId="77777777" w:rsidR="00C26F2D" w:rsidRDefault="00317500" w:rsidP="009E619D">
      <w:pPr>
        <w:rPr>
          <w:lang w:val="es-ES_tradnl"/>
        </w:rPr>
      </w:pPr>
    </w:p>
    <w:p w14:paraId="1D5628E0" w14:textId="77777777" w:rsidR="002F0A13" w:rsidRDefault="00317500" w:rsidP="004B4A60">
      <w:pPr>
        <w:rPr>
          <w:b/>
          <w:u w:val="single"/>
          <w:lang w:val="es-ES_tradnl"/>
        </w:rPr>
      </w:pPr>
    </w:p>
    <w:p w14:paraId="0D6AE654" w14:textId="77777777" w:rsidR="002F0A13" w:rsidRDefault="00317500" w:rsidP="004B4A60">
      <w:pPr>
        <w:rPr>
          <w:b/>
          <w:u w:val="single"/>
          <w:lang w:val="es-ES_tradnl"/>
        </w:rPr>
      </w:pPr>
    </w:p>
    <w:p w14:paraId="5912ECE5" w14:textId="77777777" w:rsidR="002F0A13" w:rsidRDefault="00317500" w:rsidP="004B4A60">
      <w:pPr>
        <w:rPr>
          <w:b/>
          <w:u w:val="single"/>
          <w:lang w:val="es-ES_tradnl"/>
        </w:rPr>
      </w:pPr>
    </w:p>
    <w:p w14:paraId="4616F8DD" w14:textId="77777777" w:rsidR="002F0A13" w:rsidRDefault="00317500" w:rsidP="004B4A60">
      <w:pPr>
        <w:rPr>
          <w:b/>
          <w:u w:val="single"/>
          <w:lang w:val="es-ES_tradnl"/>
        </w:rPr>
      </w:pPr>
    </w:p>
    <w:p w14:paraId="7A5610CC" w14:textId="77777777" w:rsidR="00C26F2D" w:rsidRDefault="00317500" w:rsidP="004B4A60">
      <w:pPr>
        <w:rPr>
          <w:b/>
          <w:u w:val="single"/>
          <w:lang w:val="es-ES_tradnl"/>
        </w:rPr>
      </w:pPr>
    </w:p>
    <w:p w14:paraId="52CF4C22" w14:textId="77777777" w:rsidR="004B4A60" w:rsidRPr="003B50AE" w:rsidRDefault="003B50AE" w:rsidP="001B789F">
      <w:pPr>
        <w:pStyle w:val="ATSTitle"/>
      </w:pPr>
      <w:bookmarkStart w:id="0" w:name="name"/>
      <w:r>
        <w:t>Proposal for Modifications to the Location Coordinates of Nine Historic Sites and Monuments</w:t>
      </w:r>
      <w:bookmarkEnd w:id="0"/>
    </w:p>
    <w:p w14:paraId="75A88F16" w14:textId="77777777" w:rsidR="004B4A60" w:rsidRPr="003B50AE" w:rsidRDefault="00317500" w:rsidP="00F75424">
      <w:pPr>
        <w:jc w:val="center"/>
        <w:rPr>
          <w:lang w:val="es-AR"/>
        </w:rPr>
      </w:pPr>
    </w:p>
    <w:p w14:paraId="5E863DEB" w14:textId="77777777" w:rsidR="004B4A60" w:rsidRPr="003B50AE" w:rsidRDefault="00317500" w:rsidP="002F0A13">
      <w:pPr>
        <w:rPr>
          <w:lang w:val="es-AR"/>
        </w:rPr>
      </w:pPr>
    </w:p>
    <w:p w14:paraId="5F02552F" w14:textId="77777777" w:rsidR="004B4A60" w:rsidRPr="003B50AE" w:rsidRDefault="00317500" w:rsidP="00F75424">
      <w:pPr>
        <w:jc w:val="center"/>
      </w:pPr>
      <w:bookmarkStart w:id="1" w:name="memo"/>
      <w:bookmarkEnd w:id="1"/>
    </w:p>
    <w:p w14:paraId="778ACCBB" w14:textId="77777777" w:rsidR="004B4A60" w:rsidRPr="003B50AE" w:rsidRDefault="00317500" w:rsidP="004B4A60">
      <w:pPr>
        <w:rPr>
          <w:lang w:val="es-AR"/>
        </w:rPr>
      </w:pPr>
    </w:p>
    <w:p w14:paraId="22DD07EA" w14:textId="77777777" w:rsidR="00C26F2D" w:rsidRPr="003B50AE" w:rsidRDefault="00317500" w:rsidP="00952E9F">
      <w:pPr>
        <w:rPr>
          <w:lang w:val="es-AR"/>
        </w:rPr>
        <w:sectPr w:rsidR="00C26F2D" w:rsidRPr="003B50AE" w:rsidSect="000E1D5C">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134" w:header="709" w:footer="709" w:gutter="0"/>
          <w:cols w:space="708"/>
          <w:docGrid w:linePitch="360"/>
        </w:sectPr>
      </w:pPr>
    </w:p>
    <w:p w14:paraId="148557BB" w14:textId="0F3AA0A5" w:rsidR="004B4A60" w:rsidRPr="003B50AE" w:rsidRDefault="00317500" w:rsidP="00952E9F">
      <w:pPr>
        <w:rPr>
          <w:lang w:val="es-AR"/>
        </w:rPr>
      </w:pPr>
    </w:p>
    <w:p w14:paraId="1E0F69C9" w14:textId="505A0DD3" w:rsidR="003B50AE" w:rsidRPr="003B50AE" w:rsidRDefault="003B50AE" w:rsidP="003B50AE">
      <w:pPr>
        <w:rPr>
          <w:lang w:val="es-AR"/>
        </w:rPr>
      </w:pPr>
    </w:p>
    <w:p w14:paraId="58E8E601" w14:textId="77777777" w:rsidR="003B50AE" w:rsidRPr="001742E5" w:rsidRDefault="003B50AE" w:rsidP="003B50AE">
      <w:pPr>
        <w:pStyle w:val="ATSHeading1"/>
      </w:pPr>
      <w:r>
        <w:t>Proposal for Modifications to the Location Coordinates of Nine Historic Sites and Monuments</w:t>
      </w:r>
    </w:p>
    <w:p w14:paraId="79CCA580" w14:textId="77777777" w:rsidR="003B50AE" w:rsidRPr="00935BFF" w:rsidRDefault="003B50AE" w:rsidP="003B50AE">
      <w:pPr>
        <w:pStyle w:val="ATSNormal"/>
        <w:jc w:val="center"/>
        <w:rPr>
          <w:b/>
        </w:rPr>
      </w:pPr>
      <w:r>
        <w:rPr>
          <w:b/>
        </w:rPr>
        <w:t>Working Paper submitted by Argentina</w:t>
      </w:r>
    </w:p>
    <w:p w14:paraId="3AF62A58" w14:textId="77777777" w:rsidR="003B50AE" w:rsidRPr="00935BFF" w:rsidRDefault="003B50AE" w:rsidP="003B50AE">
      <w:pPr>
        <w:pStyle w:val="ATSNormal"/>
        <w:jc w:val="center"/>
        <w:rPr>
          <w:b/>
          <w:lang w:val="es-AR"/>
        </w:rPr>
      </w:pPr>
    </w:p>
    <w:p w14:paraId="10C33BC7" w14:textId="77777777" w:rsidR="003B50AE" w:rsidRPr="001B4FC1" w:rsidRDefault="003B50AE" w:rsidP="003B50AE">
      <w:pPr>
        <w:tabs>
          <w:tab w:val="left" w:pos="1500"/>
        </w:tabs>
        <w:spacing w:after="120" w:line="360" w:lineRule="auto"/>
        <w:rPr>
          <w:b/>
          <w:bCs/>
          <w:i/>
          <w:iCs/>
        </w:rPr>
      </w:pPr>
      <w:r>
        <w:rPr>
          <w:b/>
          <w:i/>
        </w:rPr>
        <w:t>Summary</w:t>
      </w:r>
    </w:p>
    <w:p w14:paraId="2CD8F18C" w14:textId="77777777" w:rsidR="003B50AE" w:rsidRDefault="003B50AE" w:rsidP="003B50AE">
      <w:pPr>
        <w:pStyle w:val="ATSNormal"/>
        <w:spacing w:line="360" w:lineRule="auto"/>
        <w:jc w:val="both"/>
        <w:rPr>
          <w:bCs/>
        </w:rPr>
      </w:pPr>
      <w:r>
        <w:t>A proposal is presented to modify the coordinates of nine HSMs for which Argentina is in charge or shares the responsibility of their management, so that they are included through the approval of a measure, in the Database of Historical Sites and Monuments of the Secretariat of the Antarctic Treaty.</w:t>
      </w:r>
    </w:p>
    <w:p w14:paraId="19B760CD" w14:textId="77777777" w:rsidR="003B50AE" w:rsidRPr="001B4FC1" w:rsidRDefault="003B50AE" w:rsidP="003B50AE">
      <w:pPr>
        <w:pStyle w:val="ATSNormal"/>
        <w:spacing w:line="360" w:lineRule="auto"/>
        <w:jc w:val="both"/>
        <w:rPr>
          <w:bCs/>
        </w:rPr>
      </w:pPr>
      <w:r>
        <w:t>The information presented in this Working Paper is complemented by Information Paper XX Analysis of the precision of the location coordinates of some Historic Sites and Monuments.</w:t>
      </w:r>
    </w:p>
    <w:p w14:paraId="2B096341" w14:textId="77777777" w:rsidR="003B50AE" w:rsidRPr="001B4FC1" w:rsidRDefault="003B50AE" w:rsidP="003B50AE">
      <w:pPr>
        <w:tabs>
          <w:tab w:val="left" w:pos="1500"/>
        </w:tabs>
        <w:spacing w:after="120" w:line="360" w:lineRule="auto"/>
        <w:rPr>
          <w:b/>
          <w:bCs/>
          <w:i/>
          <w:iCs/>
        </w:rPr>
      </w:pPr>
      <w:r>
        <w:rPr>
          <w:b/>
          <w:i/>
        </w:rPr>
        <w:t>Background</w:t>
      </w:r>
      <w:r>
        <w:rPr>
          <w:b/>
          <w:i/>
        </w:rPr>
        <w:tab/>
      </w:r>
    </w:p>
    <w:p w14:paraId="223172BB" w14:textId="77777777" w:rsidR="003B50AE" w:rsidRDefault="003B50AE" w:rsidP="003B50AE">
      <w:pPr>
        <w:spacing w:after="120" w:line="360" w:lineRule="auto"/>
        <w:jc w:val="both"/>
        <w:rPr>
          <w:szCs w:val="22"/>
        </w:rPr>
      </w:pPr>
      <w:r>
        <w:rPr>
          <w:color w:val="000000" w:themeColor="text1"/>
        </w:rPr>
        <w:t xml:space="preserve">Based on the proposals presented by Argentina to ATCM XLII in WP 65 (2019) and in ATCM XLIII with WP 60 rev. 1 (2021), the Meeting then agreed to add new information fields to the list of Historic Sites and Monuments (HSM), as established in </w:t>
      </w:r>
      <w:r>
        <w:t>Decision 1 (2019)</w:t>
      </w:r>
      <w:r>
        <w:rPr>
          <w:color w:val="000000" w:themeColor="text1"/>
        </w:rPr>
        <w:t xml:space="preserve">, in order to ensure consistency, improve information and harmonise it with recent developments in policies and debates between Parties regarding HSMs. For this reason, finally, the new HSM listing was adopted through </w:t>
      </w:r>
      <w:r>
        <w:t>Measure 23 (2021).</w:t>
      </w:r>
    </w:p>
    <w:p w14:paraId="5E0B39A9" w14:textId="77777777" w:rsidR="003B50AE" w:rsidRPr="00B472B8" w:rsidRDefault="003B50AE" w:rsidP="003B50AE">
      <w:pPr>
        <w:spacing w:after="120" w:line="360" w:lineRule="auto"/>
        <w:jc w:val="both"/>
        <w:rPr>
          <w:color w:val="000000" w:themeColor="text1"/>
          <w:szCs w:val="22"/>
        </w:rPr>
      </w:pPr>
      <w:r>
        <w:rPr>
          <w:color w:val="000000" w:themeColor="text1"/>
        </w:rPr>
        <w:t>In line with Decision 1 (2019), the fields related to the state of conservation and management tools contain information that may require relatively frequent updating due to the nature of the information they contain. Thus, the list of HSMs is a formal mechanism established through the Environment Protocol, and any changes to the list have historically required a specific Measure. This Decision established that certain fields (including "location") remain a formal part of the list and that any changes in those fields require adoption through a Measure. Moreover, it established that, in the case of other fields considered complementary information to the list of HSMs, any change must be agreed by the CEP and communicated in its report to the ATCM.</w:t>
      </w:r>
    </w:p>
    <w:p w14:paraId="6FAFFE67" w14:textId="77777777" w:rsidR="003B50AE" w:rsidRPr="006F656B" w:rsidRDefault="003B50AE" w:rsidP="003B50AE">
      <w:pPr>
        <w:spacing w:after="120" w:line="360" w:lineRule="auto"/>
        <w:rPr>
          <w:b/>
          <w:bCs/>
          <w:i/>
          <w:iCs/>
          <w:szCs w:val="22"/>
        </w:rPr>
      </w:pPr>
      <w:r>
        <w:rPr>
          <w:b/>
          <w:i/>
        </w:rPr>
        <w:t>Revision</w:t>
      </w:r>
    </w:p>
    <w:p w14:paraId="4DBFB8D7" w14:textId="77777777" w:rsidR="003B50AE" w:rsidRDefault="003B50AE" w:rsidP="003B50AE">
      <w:pPr>
        <w:pStyle w:val="Default"/>
        <w:spacing w:after="120" w:line="360" w:lineRule="auto"/>
        <w:jc w:val="both"/>
        <w:rPr>
          <w:sz w:val="22"/>
          <w:szCs w:val="22"/>
        </w:rPr>
      </w:pPr>
      <w:r>
        <w:rPr>
          <w:sz w:val="22"/>
        </w:rPr>
        <w:t xml:space="preserve">Based on the provisions of paragraph 4(c) and (d) of the appendix to Resolution 3 (2009) </w:t>
      </w:r>
      <w:r>
        <w:rPr>
          <w:i/>
          <w:sz w:val="22"/>
        </w:rPr>
        <w:t>Guidelines for the designation and protection of Historic Sites and Monuments</w:t>
      </w:r>
      <w:r>
        <w:rPr>
          <w:sz w:val="22"/>
        </w:rPr>
        <w:t>, Argentina undertook a comprehensive review of the location of the following HSMs</w:t>
      </w:r>
      <w:r>
        <w:t>:</w:t>
      </w:r>
    </w:p>
    <w:p w14:paraId="313B4C35" w14:textId="77777777" w:rsidR="003B50AE" w:rsidRDefault="003B50AE" w:rsidP="003B50AE">
      <w:pPr>
        <w:pStyle w:val="Default"/>
        <w:spacing w:after="120" w:line="360" w:lineRule="auto"/>
        <w:jc w:val="both"/>
        <w:rPr>
          <w:sz w:val="22"/>
          <w:szCs w:val="22"/>
          <w:lang w:val="es-ES"/>
        </w:rPr>
      </w:pPr>
    </w:p>
    <w:p w14:paraId="4AE75BC7" w14:textId="41DE915E" w:rsidR="003B50AE" w:rsidRDefault="00317500" w:rsidP="003B50AE">
      <w:pPr>
        <w:pStyle w:val="Default"/>
        <w:spacing w:after="120" w:line="360" w:lineRule="auto"/>
        <w:jc w:val="both"/>
        <w:rPr>
          <w:sz w:val="22"/>
          <w:szCs w:val="22"/>
        </w:rPr>
      </w:pPr>
      <w:r w:rsidRPr="00317500">
        <w:rPr>
          <w:noProof/>
          <w:sz w:val="22"/>
          <w:szCs w:val="22"/>
        </w:rPr>
        <w:lastRenderedPageBreak/>
        <w:drawing>
          <wp:inline distT="0" distB="0" distL="0" distR="0" wp14:anchorId="2ACBC8F0" wp14:editId="7EB013EA">
            <wp:extent cx="5400675" cy="34442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3444240"/>
                    </a:xfrm>
                    <a:prstGeom prst="rect">
                      <a:avLst/>
                    </a:prstGeom>
                    <a:noFill/>
                    <a:ln>
                      <a:noFill/>
                    </a:ln>
                  </pic:spPr>
                </pic:pic>
              </a:graphicData>
            </a:graphic>
          </wp:inline>
        </w:drawing>
      </w:r>
    </w:p>
    <w:p w14:paraId="28B8C8EC" w14:textId="77777777" w:rsidR="003B50AE" w:rsidRPr="006862D2" w:rsidRDefault="003B50AE" w:rsidP="003B50AE">
      <w:pPr>
        <w:pStyle w:val="Default"/>
        <w:spacing w:after="120" w:line="360" w:lineRule="auto"/>
        <w:jc w:val="both"/>
        <w:rPr>
          <w:szCs w:val="22"/>
        </w:rPr>
      </w:pPr>
      <w:r>
        <w:rPr>
          <w:sz w:val="22"/>
        </w:rPr>
        <w:t>The purpose of th</w:t>
      </w:r>
      <w:r>
        <w:rPr>
          <w:color w:val="auto"/>
          <w:sz w:val="22"/>
        </w:rPr>
        <w:t xml:space="preserve">e </w:t>
      </w:r>
      <w:r>
        <w:t>revision is to establish a more precise position than that currently recorded in the list of Historic Sites and Monuments (Measure 3 (2021)). The general problem detected is that when expressing coordinates "</w:t>
      </w:r>
      <w:r>
        <w:rPr>
          <w:i/>
        </w:rPr>
        <w:t>by minute</w:t>
      </w:r>
      <w:r>
        <w:t>", this means taking discrete staggered steps approximately 2 km apart (1852 m = 1 nautical mile) with regards to latitude, with no intermediate alternatives (for longitude, this is multiplied by the cosine of the latitude). This situation means that the representation of the sites in some Geographic Information Systems does not allow the precise location of the HSMs.</w:t>
      </w:r>
    </w:p>
    <w:p w14:paraId="5400C13A" w14:textId="77777777" w:rsidR="003B50AE" w:rsidRPr="007911F8" w:rsidRDefault="003B50AE" w:rsidP="003B50AE">
      <w:pPr>
        <w:spacing w:after="120" w:line="360" w:lineRule="auto"/>
        <w:jc w:val="both"/>
        <w:rPr>
          <w:color w:val="000000" w:themeColor="text1"/>
          <w:sz w:val="24"/>
        </w:rPr>
      </w:pPr>
      <w:r>
        <w:rPr>
          <w:color w:val="000000" w:themeColor="text1"/>
          <w:sz w:val="24"/>
        </w:rPr>
        <w:t xml:space="preserve">Based on their revision, Argentina proposes to amend the description of Historic Sites and Monuments for HSM </w:t>
      </w:r>
      <w:r>
        <w:rPr>
          <w:sz w:val="24"/>
        </w:rPr>
        <w:t>26, 29, 36, 38, 39, 40, 41, 42 and 43</w:t>
      </w:r>
      <w:r>
        <w:rPr>
          <w:color w:val="000000" w:themeColor="text1"/>
          <w:sz w:val="24"/>
        </w:rPr>
        <w:t>, who is responsible for its management or shares with other parties based on Measure 3 (2003), by changing their “location” to establish more precise coordinates. The new geographic coordinates of said sites can be found in Appendix A to this document.</w:t>
      </w:r>
    </w:p>
    <w:p w14:paraId="1B4A8F5A" w14:textId="153339AA" w:rsidR="003B50AE" w:rsidRPr="00D55AC7" w:rsidRDefault="003B50AE" w:rsidP="003B50AE">
      <w:pPr>
        <w:spacing w:after="160" w:line="259" w:lineRule="auto"/>
      </w:pPr>
      <w:r>
        <w:br w:type="page"/>
      </w:r>
    </w:p>
    <w:p w14:paraId="166A4245" w14:textId="77777777" w:rsidR="003B50AE" w:rsidRPr="004D5008" w:rsidRDefault="003B50AE" w:rsidP="003B50AE">
      <w:pPr>
        <w:pStyle w:val="ListParagraph"/>
        <w:ind w:left="0"/>
        <w:rPr>
          <w:b/>
          <w:color w:val="011833"/>
        </w:rPr>
      </w:pPr>
      <w:r>
        <w:rPr>
          <w:b/>
          <w:color w:val="011833"/>
        </w:rPr>
        <w:lastRenderedPageBreak/>
        <w:t>Appendix B: DRAFT MEASURE</w:t>
      </w:r>
    </w:p>
    <w:p w14:paraId="057D0AFD" w14:textId="77777777" w:rsidR="003B50AE" w:rsidRPr="004D5008" w:rsidRDefault="003B50AE" w:rsidP="003B50AE">
      <w:pPr>
        <w:pStyle w:val="ListParagraph"/>
        <w:rPr>
          <w:color w:val="011833"/>
        </w:rPr>
      </w:pPr>
    </w:p>
    <w:p w14:paraId="291B4F0C" w14:textId="77777777" w:rsidR="003B50AE" w:rsidRPr="00D55AC7" w:rsidRDefault="003B50AE" w:rsidP="003B50AE">
      <w:pPr>
        <w:pStyle w:val="ATSHeading1"/>
      </w:pPr>
      <w:r>
        <w:t>Measure XXX (2022)</w:t>
      </w:r>
    </w:p>
    <w:p w14:paraId="17B44F9C" w14:textId="77777777" w:rsidR="003B50AE" w:rsidRPr="00D55AC7" w:rsidRDefault="003B50AE" w:rsidP="003B50AE">
      <w:pPr>
        <w:pStyle w:val="ATSHeading1"/>
      </w:pPr>
      <w:r>
        <w:t>Historic Sites and Monuments: New Location Coordinates of HSMs No. 26, 29, 36, 38, 39, 40, 41, 42 and 43</w:t>
      </w:r>
      <w:r>
        <w:br/>
      </w:r>
    </w:p>
    <w:p w14:paraId="7B5EDBC0" w14:textId="77777777" w:rsidR="003B50AE" w:rsidRPr="004D5008" w:rsidRDefault="003B50AE" w:rsidP="003B50AE">
      <w:pPr>
        <w:pStyle w:val="ListParagraph"/>
        <w:rPr>
          <w:color w:val="011833"/>
        </w:rPr>
      </w:pPr>
      <w:r>
        <w:rPr>
          <w:color w:val="011833"/>
        </w:rPr>
        <w:br/>
        <w:t>The Representatives,</w:t>
      </w:r>
    </w:p>
    <w:p w14:paraId="01214AEB" w14:textId="77777777" w:rsidR="003B50AE" w:rsidRPr="004D5008" w:rsidRDefault="003B50AE" w:rsidP="003B50AE">
      <w:pPr>
        <w:pStyle w:val="ListParagraph"/>
        <w:rPr>
          <w:color w:val="011833"/>
        </w:rPr>
      </w:pPr>
      <w:r>
        <w:rPr>
          <w:color w:val="011833"/>
        </w:rPr>
        <w:br/>
      </w:r>
      <w:r>
        <w:rPr>
          <w:color w:val="011833"/>
        </w:rPr>
        <w:br/>
      </w:r>
      <w:r>
        <w:rPr>
          <w:i/>
          <w:color w:val="011833"/>
        </w:rPr>
        <w:t>Noting</w:t>
      </w:r>
      <w:r>
        <w:rPr>
          <w:color w:val="011833"/>
        </w:rPr>
        <w:t xml:space="preserve"> the requirements of Article 8 of Annex V to the Protocol on Environmental Protection to the Antarctic Treaty to maintain a list of existing Historic Sites and Monuments, and noting that these sites must not be damaged, removed or destroyed;</w:t>
      </w:r>
    </w:p>
    <w:p w14:paraId="7543B7B7" w14:textId="77777777" w:rsidR="003B50AE" w:rsidRPr="004D5008" w:rsidRDefault="003B50AE" w:rsidP="003B50AE">
      <w:pPr>
        <w:pStyle w:val="ListParagraph"/>
        <w:rPr>
          <w:color w:val="011833"/>
        </w:rPr>
      </w:pPr>
    </w:p>
    <w:p w14:paraId="41EBD6FA" w14:textId="77777777" w:rsidR="003B50AE" w:rsidRDefault="003B50AE" w:rsidP="003B50AE">
      <w:pPr>
        <w:pStyle w:val="ListParagraph"/>
        <w:rPr>
          <w:color w:val="011833"/>
        </w:rPr>
      </w:pPr>
      <w:r>
        <w:rPr>
          <w:i/>
          <w:color w:val="011833"/>
        </w:rPr>
        <w:t>Noting</w:t>
      </w:r>
      <w:r>
        <w:rPr>
          <w:color w:val="011833"/>
        </w:rPr>
        <w:t>, likewise, the Guidelines for the designation and protection of Historic Sites and Monuments adopted by Resolution 3 (2009) and the Guidelines for the assessment and management of heritage in Antarctica adopted by Resolution 2 (2018);</w:t>
      </w:r>
      <w:r>
        <w:rPr>
          <w:color w:val="011833"/>
        </w:rPr>
        <w:br/>
      </w:r>
      <w:r>
        <w:rPr>
          <w:color w:val="011833"/>
        </w:rPr>
        <w:br/>
      </w:r>
      <w:r>
        <w:rPr>
          <w:i/>
          <w:color w:val="011833"/>
        </w:rPr>
        <w:t>Also taking into account</w:t>
      </w:r>
      <w:r>
        <w:rPr>
          <w:color w:val="011833"/>
        </w:rPr>
        <w:t>Decision 1 (2019), in which the Parties agreed to add the new information fields to the existing fields in the "List of Historic Sites and Monuments";</w:t>
      </w:r>
    </w:p>
    <w:p w14:paraId="0FA2FEA1" w14:textId="77777777" w:rsidR="003B50AE" w:rsidRDefault="003B50AE" w:rsidP="003B50AE">
      <w:pPr>
        <w:pStyle w:val="ListParagraph"/>
        <w:rPr>
          <w:color w:val="011833"/>
        </w:rPr>
      </w:pPr>
    </w:p>
    <w:p w14:paraId="7B0F16BD" w14:textId="77777777" w:rsidR="003B50AE" w:rsidRDefault="003B50AE" w:rsidP="003B50AE">
      <w:pPr>
        <w:pStyle w:val="ListParagraph"/>
        <w:rPr>
          <w:color w:val="011833"/>
        </w:rPr>
      </w:pPr>
      <w:r>
        <w:rPr>
          <w:i/>
          <w:color w:val="011833"/>
        </w:rPr>
        <w:t>Taking into account</w:t>
      </w:r>
      <w:r>
        <w:rPr>
          <w:color w:val="011833"/>
        </w:rPr>
        <w:t xml:space="preserve"> that the Historic Sites and Monuments involved have been designated by means of Recommendation VII-9 (HSM 26, 29, 36, 38, 39, 40, 41 and 42) and Recommendation VII-9 Measure 5 (1997) (HSM 41);</w:t>
      </w:r>
      <w:r>
        <w:rPr>
          <w:color w:val="011833"/>
        </w:rPr>
        <w:br/>
      </w:r>
      <w:r>
        <w:rPr>
          <w:color w:val="011833"/>
        </w:rPr>
        <w:br/>
      </w:r>
      <w:r>
        <w:rPr>
          <w:i/>
          <w:color w:val="011833"/>
        </w:rPr>
        <w:t>Looking</w:t>
      </w:r>
      <w:r>
        <w:rPr>
          <w:color w:val="011833"/>
        </w:rPr>
        <w:t xml:space="preserve"> to update the descriptions of Historic Sites and Monuments 26, 28, 36, 38, 39, 40, 41, 42 and 43 included in Measure 23 (2021), in accordance with the format prescribed by Decision 1 (2019);</w:t>
      </w:r>
      <w:r>
        <w:rPr>
          <w:color w:val="011833"/>
        </w:rPr>
        <w:br/>
      </w:r>
      <w:r>
        <w:rPr>
          <w:color w:val="011833"/>
        </w:rPr>
        <w:br/>
      </w:r>
      <w:r>
        <w:rPr>
          <w:b/>
          <w:color w:val="011833"/>
        </w:rPr>
        <w:t>Recommend</w:t>
      </w:r>
      <w:r>
        <w:rPr>
          <w:color w:val="011833"/>
        </w:rPr>
        <w:t xml:space="preserve"> their Governments the following Measure for its approval, in accordance with paragraph 2 of Article 8 of Annex V to the Protocol on Environmental Protection to the Antarctic Treaty: </w:t>
      </w:r>
    </w:p>
    <w:p w14:paraId="0CE84FF7" w14:textId="77777777" w:rsidR="003B50AE" w:rsidRDefault="003B50AE" w:rsidP="003B50AE">
      <w:pPr>
        <w:pStyle w:val="ListParagraph"/>
        <w:rPr>
          <w:color w:val="011833"/>
        </w:rPr>
      </w:pPr>
    </w:p>
    <w:p w14:paraId="47508195" w14:textId="77777777" w:rsidR="003B50AE" w:rsidRPr="00E07258" w:rsidRDefault="003B50AE" w:rsidP="003B50AE">
      <w:pPr>
        <w:ind w:left="708"/>
        <w:rPr>
          <w:color w:val="011833"/>
        </w:rPr>
      </w:pPr>
      <w:r>
        <w:rPr>
          <w:color w:val="011833"/>
        </w:rPr>
        <w:t>That the corrections in the geographic coordinates proposed for HMS 26, 29, 36, 38, 39, 40, 41, 42 and 43 be approved, as indicated in the Appendix to this Measure, and</w:t>
      </w:r>
    </w:p>
    <w:p w14:paraId="76881C93" w14:textId="77777777" w:rsidR="003B50AE" w:rsidRPr="00E07258" w:rsidRDefault="003B50AE" w:rsidP="003B50AE">
      <w:pPr>
        <w:ind w:left="708"/>
        <w:rPr>
          <w:color w:val="011833"/>
          <w:lang w:val="es-AR"/>
        </w:rPr>
      </w:pPr>
    </w:p>
    <w:p w14:paraId="5EBD1F5F" w14:textId="77777777" w:rsidR="003B50AE" w:rsidRPr="00E07258" w:rsidRDefault="003B50AE" w:rsidP="003B50AE">
      <w:pPr>
        <w:ind w:left="708"/>
        <w:rPr>
          <w:color w:val="011833"/>
        </w:rPr>
      </w:pPr>
      <w:r>
        <w:rPr>
          <w:color w:val="011833"/>
        </w:rPr>
        <w:t xml:space="preserve">That the new geographical coordinates of these HSMs be included in the Database of Historic Sites and Monuments of the Secretariat of the Antarctic Treaty. </w:t>
      </w:r>
    </w:p>
    <w:p w14:paraId="186975FA" w14:textId="77777777" w:rsidR="003B50AE" w:rsidRPr="00E07258" w:rsidRDefault="003B50AE" w:rsidP="003B50AE">
      <w:pPr>
        <w:ind w:left="708"/>
        <w:rPr>
          <w:color w:val="011833"/>
          <w:lang w:val="es-AR"/>
        </w:rPr>
      </w:pPr>
    </w:p>
    <w:p w14:paraId="20DFB1F8" w14:textId="77777777" w:rsidR="003B50AE" w:rsidRDefault="003B50AE" w:rsidP="003B50AE">
      <w:pPr>
        <w:spacing w:after="160" w:line="259" w:lineRule="auto"/>
        <w:rPr>
          <w:lang w:val="es-AR"/>
        </w:rPr>
      </w:pPr>
    </w:p>
    <w:p w14:paraId="40BB28C6" w14:textId="77777777" w:rsidR="003B50AE" w:rsidRPr="00332D1F" w:rsidRDefault="003B50AE" w:rsidP="003B50AE">
      <w:pPr>
        <w:spacing w:after="160" w:line="259" w:lineRule="auto"/>
        <w:rPr>
          <w:lang w:val="es-AR"/>
        </w:rPr>
      </w:pPr>
    </w:p>
    <w:p w14:paraId="29D12E45" w14:textId="77777777" w:rsidR="003B50AE" w:rsidRPr="003B50AE" w:rsidRDefault="003B50AE" w:rsidP="003B50AE">
      <w:pPr>
        <w:rPr>
          <w:lang w:val="es-AR"/>
        </w:rPr>
      </w:pPr>
    </w:p>
    <w:sectPr w:rsidR="003B50AE" w:rsidRPr="003B50AE" w:rsidSect="00E02E88">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41A40" w14:textId="77777777" w:rsidR="009C12BC" w:rsidRDefault="003B50AE">
      <w:r>
        <w:separator/>
      </w:r>
    </w:p>
  </w:endnote>
  <w:endnote w:type="continuationSeparator" w:id="0">
    <w:p w14:paraId="0DBBE487" w14:textId="77777777" w:rsidR="009C12BC" w:rsidRDefault="003B5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62807" w14:textId="77777777" w:rsidR="00FA0B9F" w:rsidRDefault="003B50AE" w:rsidP="00CF5C82">
    <w:pPr>
      <w:framePr w:wrap="around" w:vAnchor="text" w:hAnchor="margin" w:xAlign="right" w:y="1"/>
    </w:pPr>
    <w:r>
      <w:fldChar w:fldCharType="begin"/>
    </w:r>
    <w:r>
      <w:instrText xml:space="preserve">PAGE  </w:instrText>
    </w:r>
    <w:r w:rsidR="00317500">
      <w:fldChar w:fldCharType="separate"/>
    </w:r>
    <w:r>
      <w:fldChar w:fldCharType="end"/>
    </w:r>
  </w:p>
  <w:p w14:paraId="1E5A702F" w14:textId="77777777" w:rsidR="00FA0B9F" w:rsidRDefault="0031750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B7F33" w14:textId="77777777" w:rsidR="00FA0B9F" w:rsidRDefault="003B50AE" w:rsidP="00CF5C82">
    <w:pPr>
      <w:framePr w:wrap="around" w:vAnchor="text" w:hAnchor="margin" w:xAlign="right" w:y="1"/>
    </w:pPr>
    <w:r>
      <w:fldChar w:fldCharType="begin"/>
    </w:r>
    <w:r>
      <w:instrText xml:space="preserve">PAGE  </w:instrText>
    </w:r>
    <w:r>
      <w:fldChar w:fldCharType="separate"/>
    </w:r>
    <w:r>
      <w:t>1</w:t>
    </w:r>
    <w:r>
      <w:fldChar w:fldCharType="end"/>
    </w:r>
  </w:p>
  <w:p w14:paraId="761B7861" w14:textId="457E2102" w:rsidR="00FA0B9F" w:rsidRDefault="003B50AE" w:rsidP="00FA0B9F">
    <w:pPr>
      <w:ind w:right="360"/>
    </w:pPr>
    <w:r>
      <w:t xml:space="preserve">Attachments: </w:t>
    </w:r>
  </w:p>
  <w:p w14:paraId="12C51FF9" w14:textId="3ECAA996" w:rsidR="003B50AE" w:rsidRPr="003B50AE" w:rsidRDefault="003B50AE" w:rsidP="00FA0B9F">
    <w:pPr>
      <w:ind w:right="360"/>
    </w:pPr>
    <w:r>
      <w:t>Atcm44_att086_e.xlsx: Appendix A: New Coordinates of Historic Sites and Monuments No. 26, 29, 36, 38, 39, 40, 41, 42 and 43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2A419" w14:textId="77777777" w:rsidR="003B50AE" w:rsidRDefault="003B50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83216" w14:textId="77777777" w:rsidR="00E311C9" w:rsidRDefault="003B50AE" w:rsidP="00CF5C82">
    <w:pPr>
      <w:framePr w:wrap="around" w:vAnchor="text" w:hAnchor="margin" w:xAlign="right" w:y="1"/>
    </w:pPr>
    <w:r>
      <w:fldChar w:fldCharType="begin"/>
    </w:r>
    <w:r>
      <w:instrText xml:space="preserve">PAGE  </w:instrText>
    </w:r>
    <w:r>
      <w:fldChar w:fldCharType="separate"/>
    </w:r>
    <w:r>
      <w:t>3</w:t>
    </w:r>
    <w:r>
      <w:fldChar w:fldCharType="end"/>
    </w:r>
  </w:p>
  <w:p w14:paraId="6DD64D6E" w14:textId="77777777" w:rsidR="00E311C9" w:rsidRDefault="0031750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34B7E" w14:textId="77777777" w:rsidR="009C12BC" w:rsidRDefault="003B50AE">
      <w:r>
        <w:separator/>
      </w:r>
    </w:p>
  </w:footnote>
  <w:footnote w:type="continuationSeparator" w:id="0">
    <w:p w14:paraId="20DF1F54" w14:textId="77777777" w:rsidR="009C12BC" w:rsidRDefault="003B5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11B4D" w14:textId="77777777" w:rsidR="003B50AE" w:rsidRDefault="003B50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42" w:type="dxa"/>
      <w:jc w:val="center"/>
      <w:tblLook w:val="01E0" w:firstRow="1" w:lastRow="1" w:firstColumn="1" w:lastColumn="1" w:noHBand="0" w:noVBand="0"/>
    </w:tblPr>
    <w:tblGrid>
      <w:gridCol w:w="5671"/>
      <w:gridCol w:w="3232"/>
      <w:gridCol w:w="839"/>
      <w:gridCol w:w="991"/>
      <w:gridCol w:w="609"/>
    </w:tblGrid>
    <w:tr w:rsidR="0036686E" w14:paraId="07C03419" w14:textId="77777777" w:rsidTr="002169D4">
      <w:trPr>
        <w:trHeight w:val="354"/>
        <w:jc w:val="center"/>
      </w:trPr>
      <w:tc>
        <w:tcPr>
          <w:tcW w:w="5672" w:type="dxa"/>
        </w:tcPr>
        <w:p w14:paraId="76FA2654" w14:textId="77777777" w:rsidR="00C449BA" w:rsidRDefault="00317500" w:rsidP="002A07BC"/>
      </w:tc>
      <w:tc>
        <w:tcPr>
          <w:tcW w:w="4071" w:type="dxa"/>
          <w:gridSpan w:val="2"/>
        </w:tcPr>
        <w:p w14:paraId="759D57D4" w14:textId="77777777" w:rsidR="00C449BA" w:rsidRPr="000A4CD7" w:rsidRDefault="003B50AE" w:rsidP="002A07BC">
          <w:pPr>
            <w:jc w:val="right"/>
            <w:rPr>
              <w:b/>
              <w:sz w:val="32"/>
              <w:szCs w:val="32"/>
            </w:rPr>
          </w:pPr>
          <w:bookmarkStart w:id="2" w:name="type"/>
          <w:r>
            <w:rPr>
              <w:b/>
              <w:sz w:val="32"/>
            </w:rPr>
            <w:t>WP</w:t>
          </w:r>
          <w:bookmarkEnd w:id="2"/>
        </w:p>
      </w:tc>
      <w:tc>
        <w:tcPr>
          <w:tcW w:w="1599" w:type="dxa"/>
          <w:gridSpan w:val="2"/>
        </w:tcPr>
        <w:p w14:paraId="303F4ED6" w14:textId="77777777" w:rsidR="00C449BA" w:rsidRPr="000A4CD7" w:rsidRDefault="003B50AE" w:rsidP="002A07BC">
          <w:pPr>
            <w:rPr>
              <w:b/>
              <w:sz w:val="32"/>
              <w:szCs w:val="32"/>
            </w:rPr>
          </w:pPr>
          <w:bookmarkStart w:id="3" w:name="number"/>
          <w:r>
            <w:rPr>
              <w:b/>
              <w:sz w:val="32"/>
            </w:rPr>
            <w:t>52</w:t>
          </w:r>
          <w:bookmarkEnd w:id="3"/>
        </w:p>
      </w:tc>
    </w:tr>
    <w:tr w:rsidR="0036686E" w14:paraId="68518716" w14:textId="77777777" w:rsidTr="002169D4">
      <w:trPr>
        <w:trHeight w:val="2244"/>
        <w:jc w:val="center"/>
      </w:trPr>
      <w:tc>
        <w:tcPr>
          <w:tcW w:w="5671" w:type="dxa"/>
        </w:tcPr>
        <w:p w14:paraId="739B5A14" w14:textId="77777777" w:rsidR="002169D4" w:rsidRPr="00550FDE" w:rsidRDefault="003B50AE" w:rsidP="002A07BC">
          <w:pPr>
            <w:rPr>
              <w:b/>
              <w:sz w:val="28"/>
              <w:szCs w:val="28"/>
            </w:rPr>
          </w:pPr>
          <w:r>
            <w:rPr>
              <w:noProof/>
            </w:rPr>
            <w:drawing>
              <wp:inline distT="0" distB="0" distL="0" distR="0" wp14:anchorId="48C5EC03" wp14:editId="6BFC1690">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61829"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671" w:type="dxa"/>
          <w:gridSpan w:val="4"/>
          <w:vAlign w:val="center"/>
        </w:tcPr>
        <w:p w14:paraId="29DB978B" w14:textId="77777777" w:rsidR="002169D4" w:rsidRPr="002169D4" w:rsidRDefault="003B50AE" w:rsidP="002169D4">
          <w:pPr>
            <w:jc w:val="right"/>
            <w:rPr>
              <w:sz w:val="144"/>
              <w:szCs w:val="144"/>
            </w:rPr>
          </w:pPr>
          <w:r>
            <w:rPr>
              <w:sz w:val="144"/>
            </w:rPr>
            <w:t>ENG</w:t>
          </w:r>
        </w:p>
      </w:tc>
    </w:tr>
    <w:tr w:rsidR="0036686E" w14:paraId="380DCAD7" w14:textId="77777777" w:rsidTr="002169D4">
      <w:trPr>
        <w:trHeight w:val="420"/>
        <w:jc w:val="center"/>
      </w:trPr>
      <w:tc>
        <w:tcPr>
          <w:tcW w:w="8904" w:type="dxa"/>
          <w:gridSpan w:val="2"/>
        </w:tcPr>
        <w:p w14:paraId="1AB83DCC" w14:textId="77777777" w:rsidR="000A4CD7" w:rsidRDefault="003B50AE" w:rsidP="008D2157">
          <w:pPr>
            <w:jc w:val="right"/>
          </w:pPr>
          <w:r>
            <w:t>Agenda Item:</w:t>
          </w:r>
        </w:p>
      </w:tc>
      <w:tc>
        <w:tcPr>
          <w:tcW w:w="1830" w:type="dxa"/>
          <w:gridSpan w:val="2"/>
        </w:tcPr>
        <w:p w14:paraId="292776AE" w14:textId="77777777" w:rsidR="000A4CD7" w:rsidRDefault="003B50AE" w:rsidP="008D2157">
          <w:pPr>
            <w:jc w:val="right"/>
          </w:pPr>
          <w:bookmarkStart w:id="4" w:name="agenda"/>
          <w:r>
            <w:t>CEP 9b</w:t>
          </w:r>
          <w:bookmarkEnd w:id="4"/>
        </w:p>
      </w:tc>
      <w:tc>
        <w:tcPr>
          <w:tcW w:w="608" w:type="dxa"/>
        </w:tcPr>
        <w:p w14:paraId="6A00B432" w14:textId="77777777" w:rsidR="000A4CD7" w:rsidRDefault="00317500" w:rsidP="00387A65">
          <w:pPr>
            <w:jc w:val="right"/>
          </w:pPr>
        </w:p>
      </w:tc>
    </w:tr>
    <w:tr w:rsidR="0036686E" w14:paraId="2335C594" w14:textId="77777777" w:rsidTr="002169D4">
      <w:trPr>
        <w:trHeight w:val="408"/>
        <w:jc w:val="center"/>
      </w:trPr>
      <w:tc>
        <w:tcPr>
          <w:tcW w:w="8904" w:type="dxa"/>
          <w:gridSpan w:val="2"/>
        </w:tcPr>
        <w:p w14:paraId="042B6A6F" w14:textId="77777777" w:rsidR="000A4CD7" w:rsidRDefault="003B50AE" w:rsidP="008D2157">
          <w:pPr>
            <w:jc w:val="right"/>
          </w:pPr>
          <w:r>
            <w:t>Submitted by:</w:t>
          </w:r>
        </w:p>
      </w:tc>
      <w:tc>
        <w:tcPr>
          <w:tcW w:w="1830" w:type="dxa"/>
          <w:gridSpan w:val="2"/>
        </w:tcPr>
        <w:p w14:paraId="109ECD03" w14:textId="77777777" w:rsidR="000A4CD7" w:rsidRDefault="003B50AE" w:rsidP="008D2157">
          <w:pPr>
            <w:jc w:val="right"/>
          </w:pPr>
          <w:bookmarkStart w:id="5" w:name="party"/>
          <w:r>
            <w:t>Argentina</w:t>
          </w:r>
          <w:bookmarkEnd w:id="5"/>
        </w:p>
      </w:tc>
      <w:tc>
        <w:tcPr>
          <w:tcW w:w="608" w:type="dxa"/>
        </w:tcPr>
        <w:p w14:paraId="372BB7C5" w14:textId="77777777" w:rsidR="000A4CD7" w:rsidRDefault="00317500" w:rsidP="00387A65">
          <w:pPr>
            <w:jc w:val="right"/>
          </w:pPr>
        </w:p>
      </w:tc>
    </w:tr>
    <w:tr w:rsidR="0036686E" w14:paraId="1881952D" w14:textId="77777777" w:rsidTr="002169D4">
      <w:trPr>
        <w:trHeight w:val="420"/>
        <w:jc w:val="center"/>
      </w:trPr>
      <w:tc>
        <w:tcPr>
          <w:tcW w:w="8904" w:type="dxa"/>
          <w:gridSpan w:val="2"/>
        </w:tcPr>
        <w:p w14:paraId="60E97D67" w14:textId="77777777" w:rsidR="000A4CD7" w:rsidRDefault="003B50AE" w:rsidP="008D2157">
          <w:pPr>
            <w:jc w:val="right"/>
          </w:pPr>
          <w:r>
            <w:t>Original:</w:t>
          </w:r>
        </w:p>
      </w:tc>
      <w:tc>
        <w:tcPr>
          <w:tcW w:w="1830" w:type="dxa"/>
          <w:gridSpan w:val="2"/>
        </w:tcPr>
        <w:p w14:paraId="787CD2EC" w14:textId="77777777" w:rsidR="000A4CD7" w:rsidRDefault="003B50AE" w:rsidP="008D2157">
          <w:pPr>
            <w:jc w:val="right"/>
          </w:pPr>
          <w:bookmarkStart w:id="6" w:name="language"/>
          <w:r>
            <w:t>Spanish</w:t>
          </w:r>
          <w:bookmarkEnd w:id="6"/>
        </w:p>
      </w:tc>
      <w:tc>
        <w:tcPr>
          <w:tcW w:w="608" w:type="dxa"/>
        </w:tcPr>
        <w:p w14:paraId="67B4A743" w14:textId="77777777" w:rsidR="000A4CD7" w:rsidRDefault="00317500" w:rsidP="00387A65">
          <w:pPr>
            <w:jc w:val="right"/>
          </w:pPr>
        </w:p>
      </w:tc>
    </w:tr>
    <w:tr w:rsidR="0036686E" w14:paraId="21B902C6" w14:textId="77777777" w:rsidTr="002169D4">
      <w:trPr>
        <w:trHeight w:val="420"/>
        <w:jc w:val="center"/>
      </w:trPr>
      <w:tc>
        <w:tcPr>
          <w:tcW w:w="8904" w:type="dxa"/>
          <w:gridSpan w:val="2"/>
        </w:tcPr>
        <w:p w14:paraId="3E449F0A" w14:textId="77777777" w:rsidR="00965EDE" w:rsidRDefault="003B50AE" w:rsidP="008D2157">
          <w:pPr>
            <w:jc w:val="right"/>
          </w:pPr>
          <w:r>
            <w:t>Submitted:</w:t>
          </w:r>
        </w:p>
      </w:tc>
      <w:tc>
        <w:tcPr>
          <w:tcW w:w="1830" w:type="dxa"/>
          <w:gridSpan w:val="2"/>
        </w:tcPr>
        <w:p w14:paraId="6996053E" w14:textId="77777777" w:rsidR="00965EDE" w:rsidRDefault="003B50AE" w:rsidP="008D2157">
          <w:pPr>
            <w:jc w:val="right"/>
          </w:pPr>
          <w:bookmarkStart w:id="7" w:name="date_submission"/>
          <w:r>
            <w:t>08/04/2022</w:t>
          </w:r>
          <w:bookmarkEnd w:id="7"/>
        </w:p>
      </w:tc>
      <w:tc>
        <w:tcPr>
          <w:tcW w:w="608" w:type="dxa"/>
        </w:tcPr>
        <w:p w14:paraId="3B5407B8" w14:textId="77777777" w:rsidR="00965EDE" w:rsidRDefault="00317500" w:rsidP="00387A65">
          <w:pPr>
            <w:jc w:val="right"/>
          </w:pPr>
        </w:p>
      </w:tc>
    </w:tr>
  </w:tbl>
  <w:p w14:paraId="51AC331B" w14:textId="77777777" w:rsidR="00AE5DD0" w:rsidRDefault="003175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35F28" w14:textId="77777777" w:rsidR="003B50AE" w:rsidRDefault="003B50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36686E" w14:paraId="1A2A197E" w14:textId="77777777">
      <w:trPr>
        <w:trHeight w:val="354"/>
        <w:jc w:val="center"/>
      </w:trPr>
      <w:tc>
        <w:tcPr>
          <w:tcW w:w="9694" w:type="dxa"/>
        </w:tcPr>
        <w:p w14:paraId="12566390" w14:textId="55F75208" w:rsidR="00AE5DD0" w:rsidRPr="000A4CD7" w:rsidRDefault="003B50AE" w:rsidP="00C26F2D">
          <w:pPr>
            <w:jc w:val="right"/>
            <w:rPr>
              <w:b/>
              <w:sz w:val="32"/>
              <w:szCs w:val="32"/>
            </w:rPr>
          </w:pPr>
          <w:r>
            <w:rPr>
              <w:b/>
              <w:sz w:val="32"/>
            </w:rPr>
            <w:t>WP</w:t>
          </w:r>
        </w:p>
      </w:tc>
      <w:tc>
        <w:tcPr>
          <w:tcW w:w="1332" w:type="dxa"/>
        </w:tcPr>
        <w:p w14:paraId="17365365" w14:textId="575C90FE" w:rsidR="00AE5DD0" w:rsidRPr="000A4CD7" w:rsidRDefault="003B50AE" w:rsidP="00080F4C">
          <w:pPr>
            <w:rPr>
              <w:b/>
              <w:sz w:val="32"/>
              <w:szCs w:val="32"/>
            </w:rPr>
          </w:pPr>
          <w:r>
            <w:rPr>
              <w:b/>
              <w:sz w:val="32"/>
            </w:rPr>
            <w:t>52</w:t>
          </w:r>
        </w:p>
      </w:tc>
    </w:tr>
  </w:tbl>
  <w:p w14:paraId="5C20BB68" w14:textId="77777777" w:rsidR="00AE5DD0" w:rsidRDefault="003175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F8C754E">
      <w:start w:val="1"/>
      <w:numFmt w:val="bullet"/>
      <w:pStyle w:val="ATSBullet1"/>
      <w:lvlText w:val=""/>
      <w:lvlJc w:val="left"/>
      <w:pPr>
        <w:tabs>
          <w:tab w:val="num" w:pos="360"/>
        </w:tabs>
        <w:ind w:left="360" w:hanging="360"/>
      </w:pPr>
      <w:rPr>
        <w:rFonts w:ascii="Symbol" w:hAnsi="Symbol" w:hint="default"/>
        <w:color w:val="auto"/>
      </w:rPr>
    </w:lvl>
    <w:lvl w:ilvl="1" w:tplc="B6A8BC02" w:tentative="1">
      <w:start w:val="1"/>
      <w:numFmt w:val="bullet"/>
      <w:lvlText w:val="o"/>
      <w:lvlJc w:val="left"/>
      <w:pPr>
        <w:tabs>
          <w:tab w:val="num" w:pos="1440"/>
        </w:tabs>
        <w:ind w:left="1440" w:hanging="360"/>
      </w:pPr>
      <w:rPr>
        <w:rFonts w:ascii="Courier New" w:hAnsi="Courier New" w:cs="Courier New" w:hint="default"/>
      </w:rPr>
    </w:lvl>
    <w:lvl w:ilvl="2" w:tplc="34286404" w:tentative="1">
      <w:start w:val="1"/>
      <w:numFmt w:val="bullet"/>
      <w:lvlText w:val=""/>
      <w:lvlJc w:val="left"/>
      <w:pPr>
        <w:tabs>
          <w:tab w:val="num" w:pos="2160"/>
        </w:tabs>
        <w:ind w:left="2160" w:hanging="360"/>
      </w:pPr>
      <w:rPr>
        <w:rFonts w:ascii="Wingdings" w:hAnsi="Wingdings" w:hint="default"/>
      </w:rPr>
    </w:lvl>
    <w:lvl w:ilvl="3" w:tplc="7A743932" w:tentative="1">
      <w:start w:val="1"/>
      <w:numFmt w:val="bullet"/>
      <w:lvlText w:val=""/>
      <w:lvlJc w:val="left"/>
      <w:pPr>
        <w:tabs>
          <w:tab w:val="num" w:pos="2880"/>
        </w:tabs>
        <w:ind w:left="2880" w:hanging="360"/>
      </w:pPr>
      <w:rPr>
        <w:rFonts w:ascii="Symbol" w:hAnsi="Symbol" w:hint="default"/>
      </w:rPr>
    </w:lvl>
    <w:lvl w:ilvl="4" w:tplc="A02E71F4" w:tentative="1">
      <w:start w:val="1"/>
      <w:numFmt w:val="bullet"/>
      <w:lvlText w:val="o"/>
      <w:lvlJc w:val="left"/>
      <w:pPr>
        <w:tabs>
          <w:tab w:val="num" w:pos="3600"/>
        </w:tabs>
        <w:ind w:left="3600" w:hanging="360"/>
      </w:pPr>
      <w:rPr>
        <w:rFonts w:ascii="Courier New" w:hAnsi="Courier New" w:cs="Courier New" w:hint="default"/>
      </w:rPr>
    </w:lvl>
    <w:lvl w:ilvl="5" w:tplc="31D29BBA" w:tentative="1">
      <w:start w:val="1"/>
      <w:numFmt w:val="bullet"/>
      <w:lvlText w:val=""/>
      <w:lvlJc w:val="left"/>
      <w:pPr>
        <w:tabs>
          <w:tab w:val="num" w:pos="4320"/>
        </w:tabs>
        <w:ind w:left="4320" w:hanging="360"/>
      </w:pPr>
      <w:rPr>
        <w:rFonts w:ascii="Wingdings" w:hAnsi="Wingdings" w:hint="default"/>
      </w:rPr>
    </w:lvl>
    <w:lvl w:ilvl="6" w:tplc="B71EABC8" w:tentative="1">
      <w:start w:val="1"/>
      <w:numFmt w:val="bullet"/>
      <w:lvlText w:val=""/>
      <w:lvlJc w:val="left"/>
      <w:pPr>
        <w:tabs>
          <w:tab w:val="num" w:pos="5040"/>
        </w:tabs>
        <w:ind w:left="5040" w:hanging="360"/>
      </w:pPr>
      <w:rPr>
        <w:rFonts w:ascii="Symbol" w:hAnsi="Symbol" w:hint="default"/>
      </w:rPr>
    </w:lvl>
    <w:lvl w:ilvl="7" w:tplc="89308164" w:tentative="1">
      <w:start w:val="1"/>
      <w:numFmt w:val="bullet"/>
      <w:lvlText w:val="o"/>
      <w:lvlJc w:val="left"/>
      <w:pPr>
        <w:tabs>
          <w:tab w:val="num" w:pos="5760"/>
        </w:tabs>
        <w:ind w:left="5760" w:hanging="360"/>
      </w:pPr>
      <w:rPr>
        <w:rFonts w:ascii="Courier New" w:hAnsi="Courier New" w:cs="Courier New" w:hint="default"/>
      </w:rPr>
    </w:lvl>
    <w:lvl w:ilvl="8" w:tplc="6A28F2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BAA7494">
      <w:start w:val="1"/>
      <w:numFmt w:val="decimal"/>
      <w:lvlText w:val="%1)"/>
      <w:lvlJc w:val="left"/>
      <w:pPr>
        <w:tabs>
          <w:tab w:val="num" w:pos="340"/>
        </w:tabs>
        <w:ind w:left="340" w:hanging="340"/>
      </w:pPr>
      <w:rPr>
        <w:rFonts w:hint="default"/>
      </w:rPr>
    </w:lvl>
    <w:lvl w:ilvl="1" w:tplc="BA0849B0" w:tentative="1">
      <w:start w:val="1"/>
      <w:numFmt w:val="lowerLetter"/>
      <w:lvlText w:val="%2."/>
      <w:lvlJc w:val="left"/>
      <w:pPr>
        <w:tabs>
          <w:tab w:val="num" w:pos="1440"/>
        </w:tabs>
        <w:ind w:left="1440" w:hanging="360"/>
      </w:pPr>
    </w:lvl>
    <w:lvl w:ilvl="2" w:tplc="52CE2A76" w:tentative="1">
      <w:start w:val="1"/>
      <w:numFmt w:val="lowerRoman"/>
      <w:lvlText w:val="%3."/>
      <w:lvlJc w:val="right"/>
      <w:pPr>
        <w:tabs>
          <w:tab w:val="num" w:pos="2160"/>
        </w:tabs>
        <w:ind w:left="2160" w:hanging="180"/>
      </w:pPr>
    </w:lvl>
    <w:lvl w:ilvl="3" w:tplc="7466CD4A" w:tentative="1">
      <w:start w:val="1"/>
      <w:numFmt w:val="decimal"/>
      <w:lvlText w:val="%4."/>
      <w:lvlJc w:val="left"/>
      <w:pPr>
        <w:tabs>
          <w:tab w:val="num" w:pos="2880"/>
        </w:tabs>
        <w:ind w:left="2880" w:hanging="360"/>
      </w:pPr>
    </w:lvl>
    <w:lvl w:ilvl="4" w:tplc="2BAA8150" w:tentative="1">
      <w:start w:val="1"/>
      <w:numFmt w:val="lowerLetter"/>
      <w:lvlText w:val="%5."/>
      <w:lvlJc w:val="left"/>
      <w:pPr>
        <w:tabs>
          <w:tab w:val="num" w:pos="3600"/>
        </w:tabs>
        <w:ind w:left="3600" w:hanging="360"/>
      </w:pPr>
    </w:lvl>
    <w:lvl w:ilvl="5" w:tplc="7B7834CA" w:tentative="1">
      <w:start w:val="1"/>
      <w:numFmt w:val="lowerRoman"/>
      <w:lvlText w:val="%6."/>
      <w:lvlJc w:val="right"/>
      <w:pPr>
        <w:tabs>
          <w:tab w:val="num" w:pos="4320"/>
        </w:tabs>
        <w:ind w:left="4320" w:hanging="180"/>
      </w:pPr>
    </w:lvl>
    <w:lvl w:ilvl="6" w:tplc="934C4A42" w:tentative="1">
      <w:start w:val="1"/>
      <w:numFmt w:val="decimal"/>
      <w:lvlText w:val="%7."/>
      <w:lvlJc w:val="left"/>
      <w:pPr>
        <w:tabs>
          <w:tab w:val="num" w:pos="5040"/>
        </w:tabs>
        <w:ind w:left="5040" w:hanging="360"/>
      </w:pPr>
    </w:lvl>
    <w:lvl w:ilvl="7" w:tplc="1B56FCA6" w:tentative="1">
      <w:start w:val="1"/>
      <w:numFmt w:val="lowerLetter"/>
      <w:lvlText w:val="%8."/>
      <w:lvlJc w:val="left"/>
      <w:pPr>
        <w:tabs>
          <w:tab w:val="num" w:pos="5760"/>
        </w:tabs>
        <w:ind w:left="5760" w:hanging="360"/>
      </w:pPr>
    </w:lvl>
    <w:lvl w:ilvl="8" w:tplc="118CA12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36FCB0F8">
      <w:start w:val="1"/>
      <w:numFmt w:val="decimal"/>
      <w:lvlText w:val="%1."/>
      <w:lvlJc w:val="left"/>
      <w:pPr>
        <w:tabs>
          <w:tab w:val="num" w:pos="1057"/>
        </w:tabs>
        <w:ind w:left="1057" w:hanging="360"/>
      </w:pPr>
      <w:rPr>
        <w:rFonts w:hint="default"/>
      </w:rPr>
    </w:lvl>
    <w:lvl w:ilvl="1" w:tplc="BEE603F4" w:tentative="1">
      <w:start w:val="1"/>
      <w:numFmt w:val="lowerLetter"/>
      <w:lvlText w:val="%2."/>
      <w:lvlJc w:val="left"/>
      <w:pPr>
        <w:tabs>
          <w:tab w:val="num" w:pos="2137"/>
        </w:tabs>
        <w:ind w:left="2137" w:hanging="360"/>
      </w:pPr>
    </w:lvl>
    <w:lvl w:ilvl="2" w:tplc="007CFF08" w:tentative="1">
      <w:start w:val="1"/>
      <w:numFmt w:val="lowerRoman"/>
      <w:lvlText w:val="%3."/>
      <w:lvlJc w:val="right"/>
      <w:pPr>
        <w:tabs>
          <w:tab w:val="num" w:pos="2857"/>
        </w:tabs>
        <w:ind w:left="2857" w:hanging="180"/>
      </w:pPr>
    </w:lvl>
    <w:lvl w:ilvl="3" w:tplc="8E000AE6" w:tentative="1">
      <w:start w:val="1"/>
      <w:numFmt w:val="decimal"/>
      <w:lvlText w:val="%4."/>
      <w:lvlJc w:val="left"/>
      <w:pPr>
        <w:tabs>
          <w:tab w:val="num" w:pos="3577"/>
        </w:tabs>
        <w:ind w:left="3577" w:hanging="360"/>
      </w:pPr>
    </w:lvl>
    <w:lvl w:ilvl="4" w:tplc="64D48F44" w:tentative="1">
      <w:start w:val="1"/>
      <w:numFmt w:val="lowerLetter"/>
      <w:lvlText w:val="%5."/>
      <w:lvlJc w:val="left"/>
      <w:pPr>
        <w:tabs>
          <w:tab w:val="num" w:pos="4297"/>
        </w:tabs>
        <w:ind w:left="4297" w:hanging="360"/>
      </w:pPr>
    </w:lvl>
    <w:lvl w:ilvl="5" w:tplc="87A2F5FC" w:tentative="1">
      <w:start w:val="1"/>
      <w:numFmt w:val="lowerRoman"/>
      <w:lvlText w:val="%6."/>
      <w:lvlJc w:val="right"/>
      <w:pPr>
        <w:tabs>
          <w:tab w:val="num" w:pos="5017"/>
        </w:tabs>
        <w:ind w:left="5017" w:hanging="180"/>
      </w:pPr>
    </w:lvl>
    <w:lvl w:ilvl="6" w:tplc="4D0C28D0" w:tentative="1">
      <w:start w:val="1"/>
      <w:numFmt w:val="decimal"/>
      <w:lvlText w:val="%7."/>
      <w:lvlJc w:val="left"/>
      <w:pPr>
        <w:tabs>
          <w:tab w:val="num" w:pos="5737"/>
        </w:tabs>
        <w:ind w:left="5737" w:hanging="360"/>
      </w:pPr>
    </w:lvl>
    <w:lvl w:ilvl="7" w:tplc="2E528F4E" w:tentative="1">
      <w:start w:val="1"/>
      <w:numFmt w:val="lowerLetter"/>
      <w:lvlText w:val="%8."/>
      <w:lvlJc w:val="left"/>
      <w:pPr>
        <w:tabs>
          <w:tab w:val="num" w:pos="6457"/>
        </w:tabs>
        <w:ind w:left="6457" w:hanging="360"/>
      </w:pPr>
    </w:lvl>
    <w:lvl w:ilvl="8" w:tplc="0D9203D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846A6424">
      <w:start w:val="1"/>
      <w:numFmt w:val="decimal"/>
      <w:pStyle w:val="ATSNumber1"/>
      <w:lvlText w:val="%1)"/>
      <w:lvlJc w:val="left"/>
      <w:pPr>
        <w:tabs>
          <w:tab w:val="num" w:pos="720"/>
        </w:tabs>
        <w:ind w:left="720" w:hanging="360"/>
      </w:pPr>
    </w:lvl>
    <w:lvl w:ilvl="1" w:tplc="4B30E902" w:tentative="1">
      <w:start w:val="1"/>
      <w:numFmt w:val="lowerLetter"/>
      <w:lvlText w:val="%2."/>
      <w:lvlJc w:val="left"/>
      <w:pPr>
        <w:tabs>
          <w:tab w:val="num" w:pos="1440"/>
        </w:tabs>
        <w:ind w:left="1440" w:hanging="360"/>
      </w:pPr>
    </w:lvl>
    <w:lvl w:ilvl="2" w:tplc="A052007C" w:tentative="1">
      <w:start w:val="1"/>
      <w:numFmt w:val="lowerRoman"/>
      <w:lvlText w:val="%3."/>
      <w:lvlJc w:val="right"/>
      <w:pPr>
        <w:tabs>
          <w:tab w:val="num" w:pos="2160"/>
        </w:tabs>
        <w:ind w:left="2160" w:hanging="180"/>
      </w:pPr>
    </w:lvl>
    <w:lvl w:ilvl="3" w:tplc="FE1E487E" w:tentative="1">
      <w:start w:val="1"/>
      <w:numFmt w:val="decimal"/>
      <w:lvlText w:val="%4."/>
      <w:lvlJc w:val="left"/>
      <w:pPr>
        <w:tabs>
          <w:tab w:val="num" w:pos="2880"/>
        </w:tabs>
        <w:ind w:left="2880" w:hanging="360"/>
      </w:pPr>
    </w:lvl>
    <w:lvl w:ilvl="4" w:tplc="812CD57E" w:tentative="1">
      <w:start w:val="1"/>
      <w:numFmt w:val="lowerLetter"/>
      <w:lvlText w:val="%5."/>
      <w:lvlJc w:val="left"/>
      <w:pPr>
        <w:tabs>
          <w:tab w:val="num" w:pos="3600"/>
        </w:tabs>
        <w:ind w:left="3600" w:hanging="360"/>
      </w:pPr>
    </w:lvl>
    <w:lvl w:ilvl="5" w:tplc="0232907E" w:tentative="1">
      <w:start w:val="1"/>
      <w:numFmt w:val="lowerRoman"/>
      <w:lvlText w:val="%6."/>
      <w:lvlJc w:val="right"/>
      <w:pPr>
        <w:tabs>
          <w:tab w:val="num" w:pos="4320"/>
        </w:tabs>
        <w:ind w:left="4320" w:hanging="180"/>
      </w:pPr>
    </w:lvl>
    <w:lvl w:ilvl="6" w:tplc="A330F078" w:tentative="1">
      <w:start w:val="1"/>
      <w:numFmt w:val="decimal"/>
      <w:lvlText w:val="%7."/>
      <w:lvlJc w:val="left"/>
      <w:pPr>
        <w:tabs>
          <w:tab w:val="num" w:pos="5040"/>
        </w:tabs>
        <w:ind w:left="5040" w:hanging="360"/>
      </w:pPr>
    </w:lvl>
    <w:lvl w:ilvl="7" w:tplc="D938DBB2" w:tentative="1">
      <w:start w:val="1"/>
      <w:numFmt w:val="lowerLetter"/>
      <w:lvlText w:val="%8."/>
      <w:lvlJc w:val="left"/>
      <w:pPr>
        <w:tabs>
          <w:tab w:val="num" w:pos="5760"/>
        </w:tabs>
        <w:ind w:left="5760" w:hanging="360"/>
      </w:pPr>
    </w:lvl>
    <w:lvl w:ilvl="8" w:tplc="FBEAF1F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5FA6D3E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248DBAC" w:tentative="1">
      <w:start w:val="1"/>
      <w:numFmt w:val="bullet"/>
      <w:lvlText w:val="o"/>
      <w:lvlJc w:val="left"/>
      <w:pPr>
        <w:tabs>
          <w:tab w:val="num" w:pos="2517"/>
        </w:tabs>
        <w:ind w:left="2517" w:hanging="360"/>
      </w:pPr>
      <w:rPr>
        <w:rFonts w:ascii="Courier New" w:hAnsi="Courier New" w:cs="Courier New" w:hint="default"/>
      </w:rPr>
    </w:lvl>
    <w:lvl w:ilvl="2" w:tplc="08E6DE46" w:tentative="1">
      <w:start w:val="1"/>
      <w:numFmt w:val="bullet"/>
      <w:lvlText w:val=""/>
      <w:lvlJc w:val="left"/>
      <w:pPr>
        <w:tabs>
          <w:tab w:val="num" w:pos="3237"/>
        </w:tabs>
        <w:ind w:left="3237" w:hanging="360"/>
      </w:pPr>
      <w:rPr>
        <w:rFonts w:ascii="Wingdings" w:hAnsi="Wingdings" w:hint="default"/>
      </w:rPr>
    </w:lvl>
    <w:lvl w:ilvl="3" w:tplc="C41C1628" w:tentative="1">
      <w:start w:val="1"/>
      <w:numFmt w:val="bullet"/>
      <w:lvlText w:val=""/>
      <w:lvlJc w:val="left"/>
      <w:pPr>
        <w:tabs>
          <w:tab w:val="num" w:pos="3957"/>
        </w:tabs>
        <w:ind w:left="3957" w:hanging="360"/>
      </w:pPr>
      <w:rPr>
        <w:rFonts w:ascii="Symbol" w:hAnsi="Symbol" w:hint="default"/>
      </w:rPr>
    </w:lvl>
    <w:lvl w:ilvl="4" w:tplc="7CEE2162" w:tentative="1">
      <w:start w:val="1"/>
      <w:numFmt w:val="bullet"/>
      <w:lvlText w:val="o"/>
      <w:lvlJc w:val="left"/>
      <w:pPr>
        <w:tabs>
          <w:tab w:val="num" w:pos="4677"/>
        </w:tabs>
        <w:ind w:left="4677" w:hanging="360"/>
      </w:pPr>
      <w:rPr>
        <w:rFonts w:ascii="Courier New" w:hAnsi="Courier New" w:cs="Courier New" w:hint="default"/>
      </w:rPr>
    </w:lvl>
    <w:lvl w:ilvl="5" w:tplc="22B260BE" w:tentative="1">
      <w:start w:val="1"/>
      <w:numFmt w:val="bullet"/>
      <w:lvlText w:val=""/>
      <w:lvlJc w:val="left"/>
      <w:pPr>
        <w:tabs>
          <w:tab w:val="num" w:pos="5397"/>
        </w:tabs>
        <w:ind w:left="5397" w:hanging="360"/>
      </w:pPr>
      <w:rPr>
        <w:rFonts w:ascii="Wingdings" w:hAnsi="Wingdings" w:hint="default"/>
      </w:rPr>
    </w:lvl>
    <w:lvl w:ilvl="6" w:tplc="B96263DE" w:tentative="1">
      <w:start w:val="1"/>
      <w:numFmt w:val="bullet"/>
      <w:lvlText w:val=""/>
      <w:lvlJc w:val="left"/>
      <w:pPr>
        <w:tabs>
          <w:tab w:val="num" w:pos="6117"/>
        </w:tabs>
        <w:ind w:left="6117" w:hanging="360"/>
      </w:pPr>
      <w:rPr>
        <w:rFonts w:ascii="Symbol" w:hAnsi="Symbol" w:hint="default"/>
      </w:rPr>
    </w:lvl>
    <w:lvl w:ilvl="7" w:tplc="CC86A9E0" w:tentative="1">
      <w:start w:val="1"/>
      <w:numFmt w:val="bullet"/>
      <w:lvlText w:val="o"/>
      <w:lvlJc w:val="left"/>
      <w:pPr>
        <w:tabs>
          <w:tab w:val="num" w:pos="6837"/>
        </w:tabs>
        <w:ind w:left="6837" w:hanging="360"/>
      </w:pPr>
      <w:rPr>
        <w:rFonts w:ascii="Courier New" w:hAnsi="Courier New" w:cs="Courier New" w:hint="default"/>
      </w:rPr>
    </w:lvl>
    <w:lvl w:ilvl="8" w:tplc="AA340AD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726C1B46">
      <w:start w:val="1"/>
      <w:numFmt w:val="decimal"/>
      <w:pStyle w:val="ATSNumber2"/>
      <w:lvlText w:val="%1."/>
      <w:lvlJc w:val="left"/>
      <w:pPr>
        <w:tabs>
          <w:tab w:val="num" w:pos="720"/>
        </w:tabs>
        <w:ind w:left="720" w:hanging="360"/>
      </w:pPr>
      <w:rPr>
        <w:rFonts w:hint="default"/>
      </w:rPr>
    </w:lvl>
    <w:lvl w:ilvl="1" w:tplc="98E623D0" w:tentative="1">
      <w:start w:val="1"/>
      <w:numFmt w:val="lowerLetter"/>
      <w:lvlText w:val="%2."/>
      <w:lvlJc w:val="left"/>
      <w:pPr>
        <w:tabs>
          <w:tab w:val="num" w:pos="1440"/>
        </w:tabs>
        <w:ind w:left="1440" w:hanging="360"/>
      </w:pPr>
    </w:lvl>
    <w:lvl w:ilvl="2" w:tplc="273EC9A0" w:tentative="1">
      <w:start w:val="1"/>
      <w:numFmt w:val="lowerRoman"/>
      <w:lvlText w:val="%3."/>
      <w:lvlJc w:val="right"/>
      <w:pPr>
        <w:tabs>
          <w:tab w:val="num" w:pos="2160"/>
        </w:tabs>
        <w:ind w:left="2160" w:hanging="180"/>
      </w:pPr>
    </w:lvl>
    <w:lvl w:ilvl="3" w:tplc="A6D004DE" w:tentative="1">
      <w:start w:val="1"/>
      <w:numFmt w:val="decimal"/>
      <w:lvlText w:val="%4."/>
      <w:lvlJc w:val="left"/>
      <w:pPr>
        <w:tabs>
          <w:tab w:val="num" w:pos="2880"/>
        </w:tabs>
        <w:ind w:left="2880" w:hanging="360"/>
      </w:pPr>
    </w:lvl>
    <w:lvl w:ilvl="4" w:tplc="114AB3F8" w:tentative="1">
      <w:start w:val="1"/>
      <w:numFmt w:val="lowerLetter"/>
      <w:lvlText w:val="%5."/>
      <w:lvlJc w:val="left"/>
      <w:pPr>
        <w:tabs>
          <w:tab w:val="num" w:pos="3600"/>
        </w:tabs>
        <w:ind w:left="3600" w:hanging="360"/>
      </w:pPr>
    </w:lvl>
    <w:lvl w:ilvl="5" w:tplc="D52210AC" w:tentative="1">
      <w:start w:val="1"/>
      <w:numFmt w:val="lowerRoman"/>
      <w:lvlText w:val="%6."/>
      <w:lvlJc w:val="right"/>
      <w:pPr>
        <w:tabs>
          <w:tab w:val="num" w:pos="4320"/>
        </w:tabs>
        <w:ind w:left="4320" w:hanging="180"/>
      </w:pPr>
    </w:lvl>
    <w:lvl w:ilvl="6" w:tplc="182CA2FC" w:tentative="1">
      <w:start w:val="1"/>
      <w:numFmt w:val="decimal"/>
      <w:lvlText w:val="%7."/>
      <w:lvlJc w:val="left"/>
      <w:pPr>
        <w:tabs>
          <w:tab w:val="num" w:pos="5040"/>
        </w:tabs>
        <w:ind w:left="5040" w:hanging="360"/>
      </w:pPr>
    </w:lvl>
    <w:lvl w:ilvl="7" w:tplc="39EA1764" w:tentative="1">
      <w:start w:val="1"/>
      <w:numFmt w:val="lowerLetter"/>
      <w:lvlText w:val="%8."/>
      <w:lvlJc w:val="left"/>
      <w:pPr>
        <w:tabs>
          <w:tab w:val="num" w:pos="5760"/>
        </w:tabs>
        <w:ind w:left="5760" w:hanging="360"/>
      </w:pPr>
    </w:lvl>
    <w:lvl w:ilvl="8" w:tplc="CE48347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6E"/>
    <w:rsid w:val="00317500"/>
    <w:rsid w:val="0036686E"/>
    <w:rsid w:val="003B50AE"/>
    <w:rsid w:val="009C12BC"/>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08DD7"/>
  <w15:chartTrackingRefBased/>
  <w15:docId w15:val="{6545AC0F-940C-4C24-B7D9-AD6D1E36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eastAsia="en-US"/>
    </w:rPr>
  </w:style>
  <w:style w:type="paragraph" w:styleId="Heading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Heading2">
    <w:name w:val="heading 2"/>
    <w:basedOn w:val="Normal"/>
    <w:next w:val="Normal"/>
    <w:qFormat/>
    <w:rsid w:val="001B789F"/>
    <w:pPr>
      <w:keepNext/>
      <w:spacing w:before="120" w:after="240"/>
      <w:outlineLvl w:val="1"/>
    </w:pPr>
    <w:rPr>
      <w:b/>
      <w:i/>
      <w:sz w:val="28"/>
      <w:szCs w:val="20"/>
    </w:rPr>
  </w:style>
  <w:style w:type="paragraph" w:styleId="Heading3">
    <w:name w:val="heading 3"/>
    <w:basedOn w:val="Normal"/>
    <w:next w:val="Normal"/>
    <w:qFormat/>
    <w:rsid w:val="001B789F"/>
    <w:pPr>
      <w:keepNext/>
      <w:spacing w:before="120" w:after="180"/>
      <w:outlineLvl w:val="2"/>
    </w:pPr>
    <w:rPr>
      <w:rFonts w:eastAsia="SimSun"/>
      <w:b/>
      <w:sz w:val="24"/>
      <w:szCs w:val="20"/>
      <w:lang w:eastAsia="zh-CN"/>
    </w:rPr>
  </w:style>
  <w:style w:type="paragraph" w:styleId="Heading4">
    <w:name w:val="heading 4"/>
    <w:basedOn w:val="Normal"/>
    <w:next w:val="Normal"/>
    <w:qFormat/>
    <w:rsid w:val="001B789F"/>
    <w:pPr>
      <w:keepNext/>
      <w:spacing w:before="60" w:after="120"/>
      <w:outlineLvl w:val="3"/>
    </w:pPr>
    <w:rPr>
      <w:b/>
      <w:bCs/>
      <w:i/>
      <w:szCs w:val="28"/>
    </w:rPr>
  </w:style>
  <w:style w:type="paragraph" w:styleId="Heading5">
    <w:name w:val="heading 5"/>
    <w:basedOn w:val="Normal"/>
    <w:next w:val="Normal"/>
    <w:qFormat/>
    <w:rsid w:val="001B789F"/>
    <w:pPr>
      <w:spacing w:before="240" w:after="60"/>
      <w:outlineLvl w:val="4"/>
    </w:pPr>
    <w:rPr>
      <w:b/>
      <w:bCs/>
      <w:i/>
      <w:iCs/>
      <w:sz w:val="26"/>
      <w:szCs w:val="26"/>
    </w:rPr>
  </w:style>
  <w:style w:type="paragraph" w:styleId="Heading6">
    <w:name w:val="heading 6"/>
    <w:basedOn w:val="Normal"/>
    <w:next w:val="Normal"/>
    <w:qFormat/>
    <w:rsid w:val="001B789F"/>
    <w:pPr>
      <w:spacing w:before="240" w:after="60"/>
      <w:outlineLvl w:val="5"/>
    </w:pPr>
    <w:rPr>
      <w:b/>
      <w:bCs/>
      <w:szCs w:val="22"/>
    </w:rPr>
  </w:style>
  <w:style w:type="paragraph" w:styleId="Heading7">
    <w:name w:val="heading 7"/>
    <w:basedOn w:val="Normal"/>
    <w:next w:val="Normal"/>
    <w:qFormat/>
    <w:rsid w:val="001B789F"/>
    <w:pPr>
      <w:spacing w:before="240" w:after="60"/>
      <w:outlineLvl w:val="6"/>
    </w:pPr>
    <w:rPr>
      <w:sz w:val="24"/>
    </w:rPr>
  </w:style>
  <w:style w:type="paragraph" w:styleId="Heading8">
    <w:name w:val="heading 8"/>
    <w:basedOn w:val="Normal"/>
    <w:next w:val="Normal"/>
    <w:qFormat/>
    <w:rsid w:val="001B789F"/>
    <w:pPr>
      <w:spacing w:before="240" w:after="60"/>
      <w:outlineLvl w:val="7"/>
    </w:pPr>
    <w:rPr>
      <w:i/>
      <w:iCs/>
      <w:sz w:val="24"/>
    </w:rPr>
  </w:style>
  <w:style w:type="paragraph" w:styleId="Heading9">
    <w:name w:val="heading 9"/>
    <w:basedOn w:val="Normal"/>
    <w:next w:val="Normal"/>
    <w:qFormat/>
    <w:rsid w:val="001B789F"/>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SNormal">
    <w:name w:val="ATS Normal"/>
    <w:basedOn w:val="Normal"/>
    <w:rsid w:val="001B789F"/>
    <w:pPr>
      <w:spacing w:before="120" w:after="120"/>
    </w:pPr>
    <w:rPr>
      <w:lang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BalloonText">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DocumentMap">
    <w:name w:val="Document Map"/>
    <w:basedOn w:val="Normal"/>
    <w:semiHidden/>
    <w:rsid w:val="001B789F"/>
    <w:pPr>
      <w:shd w:val="clear" w:color="auto" w:fill="000080"/>
    </w:pPr>
    <w:rPr>
      <w:rFonts w:ascii="Tahoma" w:hAnsi="Tahoma" w:cs="Tahoma"/>
      <w:sz w:val="20"/>
      <w:szCs w:val="20"/>
    </w:rPr>
  </w:style>
  <w:style w:type="character" w:styleId="EndnoteReference">
    <w:name w:val="endnote reference"/>
    <w:semiHidden/>
    <w:rsid w:val="001B789F"/>
    <w:rPr>
      <w:vertAlign w:val="superscript"/>
    </w:rPr>
  </w:style>
  <w:style w:type="paragraph" w:styleId="EndnoteText">
    <w:name w:val="endnote text"/>
    <w:basedOn w:val="Normal"/>
    <w:semiHidden/>
    <w:rsid w:val="001B789F"/>
    <w:rPr>
      <w:sz w:val="20"/>
      <w:szCs w:val="20"/>
    </w:rPr>
  </w:style>
  <w:style w:type="character" w:styleId="FollowedHyperlink">
    <w:name w:val="FollowedHyperlink"/>
    <w:semiHidden/>
    <w:rsid w:val="001B789F"/>
    <w:rPr>
      <w:color w:val="800080"/>
      <w:u w:val="single"/>
    </w:rPr>
  </w:style>
  <w:style w:type="paragraph" w:styleId="Footer">
    <w:name w:val="footer"/>
    <w:basedOn w:val="Normal"/>
    <w:semiHidden/>
    <w:rsid w:val="001B789F"/>
    <w:pPr>
      <w:tabs>
        <w:tab w:val="center" w:pos="4419"/>
        <w:tab w:val="right" w:pos="8838"/>
      </w:tabs>
    </w:pPr>
  </w:style>
  <w:style w:type="character" w:styleId="FootnoteReference">
    <w:name w:val="footnote reference"/>
    <w:rsid w:val="001B789F"/>
    <w:rPr>
      <w:vertAlign w:val="superscript"/>
    </w:rPr>
  </w:style>
  <w:style w:type="paragraph" w:styleId="FootnoteText">
    <w:name w:val="footnote text"/>
    <w:basedOn w:val="Normal"/>
    <w:rsid w:val="001B789F"/>
    <w:rPr>
      <w:szCs w:val="22"/>
    </w:rPr>
  </w:style>
  <w:style w:type="paragraph" w:styleId="Header">
    <w:name w:val="header"/>
    <w:basedOn w:val="Normal"/>
    <w:semiHidden/>
    <w:rsid w:val="001B789F"/>
    <w:pPr>
      <w:tabs>
        <w:tab w:val="center" w:pos="4419"/>
        <w:tab w:val="right" w:pos="8838"/>
      </w:tabs>
    </w:pPr>
  </w:style>
  <w:style w:type="character" w:styleId="Hyperlink">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eastAsia="en-AU"/>
    </w:rPr>
  </w:style>
  <w:style w:type="character" w:styleId="PageNumber">
    <w:name w:val="page number"/>
    <w:basedOn w:val="DefaultParagraphFont"/>
    <w:semiHidden/>
    <w:rsid w:val="001B789F"/>
  </w:style>
  <w:style w:type="character" w:styleId="Strong">
    <w:name w:val="Strong"/>
    <w:qFormat/>
    <w:rsid w:val="001B789F"/>
    <w:rPr>
      <w:b/>
      <w:bCs/>
    </w:rPr>
  </w:style>
  <w:style w:type="table" w:styleId="TableGrid">
    <w:name w:val="Table Grid"/>
    <w:basedOn w:val="Table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eastAsia="es-ES"/>
    </w:rPr>
  </w:style>
  <w:style w:type="paragraph" w:styleId="TOC1">
    <w:name w:val="toc 1"/>
    <w:basedOn w:val="Normal"/>
    <w:next w:val="Normal"/>
    <w:autoRedefine/>
    <w:semiHidden/>
    <w:rsid w:val="001B789F"/>
    <w:rPr>
      <w:b/>
      <w:bCs/>
      <w:i/>
      <w:iCs/>
      <w:sz w:val="24"/>
    </w:rPr>
  </w:style>
  <w:style w:type="paragraph" w:styleId="TOC2">
    <w:name w:val="toc 2"/>
    <w:basedOn w:val="Normal"/>
    <w:next w:val="Normal"/>
    <w:autoRedefine/>
    <w:semiHidden/>
    <w:rsid w:val="001B789F"/>
    <w:pPr>
      <w:ind w:left="220"/>
    </w:pPr>
    <w:rPr>
      <w:b/>
      <w:bCs/>
      <w:szCs w:val="22"/>
    </w:rPr>
  </w:style>
  <w:style w:type="paragraph" w:styleId="TOC3">
    <w:name w:val="toc 3"/>
    <w:basedOn w:val="Normal"/>
    <w:next w:val="Normal"/>
    <w:autoRedefine/>
    <w:semiHidden/>
    <w:rsid w:val="001B789F"/>
    <w:pPr>
      <w:ind w:left="440"/>
    </w:pPr>
    <w:rPr>
      <w:sz w:val="20"/>
      <w:szCs w:val="20"/>
    </w:rPr>
  </w:style>
  <w:style w:type="paragraph" w:styleId="TOC4">
    <w:name w:val="toc 4"/>
    <w:basedOn w:val="Normal"/>
    <w:next w:val="Normal"/>
    <w:autoRedefine/>
    <w:semiHidden/>
    <w:rsid w:val="001B789F"/>
    <w:pPr>
      <w:ind w:left="660"/>
    </w:pPr>
    <w:rPr>
      <w:sz w:val="20"/>
      <w:szCs w:val="20"/>
    </w:rPr>
  </w:style>
  <w:style w:type="paragraph" w:styleId="TOC5">
    <w:name w:val="toc 5"/>
    <w:basedOn w:val="Normal"/>
    <w:next w:val="Normal"/>
    <w:autoRedefine/>
    <w:semiHidden/>
    <w:rsid w:val="001B789F"/>
    <w:pPr>
      <w:ind w:left="880"/>
    </w:pPr>
    <w:rPr>
      <w:sz w:val="20"/>
      <w:szCs w:val="20"/>
    </w:rPr>
  </w:style>
  <w:style w:type="paragraph" w:styleId="TOC6">
    <w:name w:val="toc 6"/>
    <w:basedOn w:val="Normal"/>
    <w:next w:val="Normal"/>
    <w:autoRedefine/>
    <w:semiHidden/>
    <w:rsid w:val="001B789F"/>
    <w:pPr>
      <w:ind w:left="1100"/>
    </w:pPr>
    <w:rPr>
      <w:sz w:val="20"/>
      <w:szCs w:val="20"/>
    </w:rPr>
  </w:style>
  <w:style w:type="paragraph" w:styleId="TOC7">
    <w:name w:val="toc 7"/>
    <w:basedOn w:val="Normal"/>
    <w:next w:val="Normal"/>
    <w:autoRedefine/>
    <w:semiHidden/>
    <w:rsid w:val="001B789F"/>
    <w:pPr>
      <w:ind w:left="1320"/>
    </w:pPr>
    <w:rPr>
      <w:sz w:val="20"/>
      <w:szCs w:val="20"/>
    </w:rPr>
  </w:style>
  <w:style w:type="paragraph" w:styleId="TOC8">
    <w:name w:val="toc 8"/>
    <w:basedOn w:val="Normal"/>
    <w:next w:val="Normal"/>
    <w:autoRedefine/>
    <w:semiHidden/>
    <w:rsid w:val="001B789F"/>
    <w:pPr>
      <w:ind w:left="1540"/>
    </w:pPr>
    <w:rPr>
      <w:sz w:val="20"/>
      <w:szCs w:val="20"/>
    </w:rPr>
  </w:style>
  <w:style w:type="paragraph" w:styleId="TO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ListParagraph">
    <w:name w:val="List Paragraph"/>
    <w:basedOn w:val="Normal"/>
    <w:uiPriority w:val="34"/>
    <w:qFormat/>
    <w:rsid w:val="003B50AE"/>
    <w:pPr>
      <w:ind w:left="720"/>
    </w:pPr>
  </w:style>
  <w:style w:type="paragraph" w:customStyle="1" w:styleId="Default">
    <w:name w:val="Default"/>
    <w:basedOn w:val="Normal"/>
    <w:rsid w:val="003B50AE"/>
    <w:rPr>
      <w:color w:val="000000" w:themeColor="text1"/>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810</Words>
  <Characters>4233</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SeproTec</cp:lastModifiedBy>
  <cp:revision>5</cp:revision>
  <cp:lastPrinted>1900-01-01T03:00:00Z</cp:lastPrinted>
  <dcterms:created xsi:type="dcterms:W3CDTF">2020-11-26T16:56:00Z</dcterms:created>
  <dcterms:modified xsi:type="dcterms:W3CDTF">2022-05-20T11:36:00Z</dcterms:modified>
</cp:coreProperties>
</file>