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B4D21" w14:textId="77777777" w:rsidR="00C26F2D" w:rsidRPr="00BF077B" w:rsidRDefault="00863356" w:rsidP="00BF077B">
      <w:pPr>
        <w:pStyle w:val="ATSNormal"/>
        <w:rPr>
          <w:rStyle w:val="Ttulodellibro"/>
        </w:rPr>
      </w:pPr>
    </w:p>
    <w:p w14:paraId="35BACF9E" w14:textId="77777777" w:rsidR="002F0A13" w:rsidRDefault="00863356" w:rsidP="004B4A60">
      <w:pPr>
        <w:rPr>
          <w:b/>
          <w:u w:val="single"/>
          <w:lang w:val="es-ES_tradnl"/>
        </w:rPr>
      </w:pPr>
    </w:p>
    <w:p w14:paraId="5ABBB810" w14:textId="77777777" w:rsidR="002F0A13" w:rsidRDefault="00863356" w:rsidP="004B4A60">
      <w:pPr>
        <w:rPr>
          <w:b/>
          <w:u w:val="single"/>
          <w:lang w:val="es-ES_tradnl"/>
        </w:rPr>
      </w:pPr>
    </w:p>
    <w:p w14:paraId="6E912B94" w14:textId="77777777" w:rsidR="002F0A13" w:rsidRDefault="00863356" w:rsidP="004B4A60">
      <w:pPr>
        <w:rPr>
          <w:b/>
          <w:u w:val="single"/>
          <w:lang w:val="es-ES_tradnl"/>
        </w:rPr>
      </w:pPr>
    </w:p>
    <w:p w14:paraId="5241D0F0" w14:textId="77777777" w:rsidR="002F0A13" w:rsidRDefault="00863356" w:rsidP="004B4A60">
      <w:pPr>
        <w:rPr>
          <w:b/>
          <w:u w:val="single"/>
          <w:lang w:val="es-ES_tradnl"/>
        </w:rPr>
      </w:pPr>
    </w:p>
    <w:p w14:paraId="41F970E9" w14:textId="77777777" w:rsidR="00C26F2D" w:rsidRDefault="00863356" w:rsidP="004B4A60">
      <w:pPr>
        <w:rPr>
          <w:b/>
          <w:u w:val="single"/>
          <w:lang w:val="es-ES_tradnl"/>
        </w:rPr>
      </w:pPr>
    </w:p>
    <w:p w14:paraId="196D7FCD" w14:textId="77777777" w:rsidR="004B4A60" w:rsidRPr="0057246E" w:rsidRDefault="00A57583" w:rsidP="001B789F">
      <w:pPr>
        <w:pStyle w:val="ATSTitle"/>
      </w:pPr>
      <w:bookmarkStart w:id="0" w:name="name"/>
      <w:r>
        <w:t>Revised Management Plan for Antarctic Specially Protected Area No. 122 Arrival Heights, Hut Point Peninsula, Ross Island</w:t>
      </w:r>
    </w:p>
    <w:bookmarkEnd w:id="0"/>
    <w:p w14:paraId="18CC9731" w14:textId="77777777" w:rsidR="00516A54" w:rsidRDefault="00516A54" w:rsidP="001B789F">
      <w:pPr>
        <w:pStyle w:val="ATSTitle"/>
      </w:pPr>
    </w:p>
    <w:p w14:paraId="7BD103B8" w14:textId="77777777" w:rsidR="004B4A60" w:rsidRPr="0057246E" w:rsidRDefault="00863356" w:rsidP="00F75424">
      <w:pPr>
        <w:jc w:val="center"/>
      </w:pPr>
    </w:p>
    <w:p w14:paraId="1C88B0A4" w14:textId="77777777" w:rsidR="004B4A60" w:rsidRPr="002F0A13" w:rsidRDefault="00863356" w:rsidP="002F0A13"/>
    <w:p w14:paraId="42ED54BA" w14:textId="77777777" w:rsidR="004B4A60" w:rsidRDefault="00863356" w:rsidP="00F75424">
      <w:pPr>
        <w:jc w:val="center"/>
      </w:pPr>
      <w:bookmarkStart w:id="1" w:name="memo"/>
      <w:bookmarkEnd w:id="1"/>
    </w:p>
    <w:p w14:paraId="25D8328C" w14:textId="77777777" w:rsidR="0097629D" w:rsidRDefault="00863356" w:rsidP="00F75424">
      <w:pPr>
        <w:jc w:val="center"/>
      </w:pPr>
    </w:p>
    <w:p w14:paraId="7217E991" w14:textId="77777777" w:rsidR="0097629D" w:rsidRDefault="00863356" w:rsidP="00F75424">
      <w:pPr>
        <w:jc w:val="center"/>
      </w:pPr>
    </w:p>
    <w:p w14:paraId="1A684F2C" w14:textId="77777777" w:rsidR="0097629D" w:rsidRDefault="00863356" w:rsidP="00F75424">
      <w:pPr>
        <w:jc w:val="center"/>
      </w:pPr>
    </w:p>
    <w:p w14:paraId="2EB20940" w14:textId="77777777" w:rsidR="0097629D" w:rsidRPr="00C26F2D" w:rsidRDefault="00863356" w:rsidP="00F75424">
      <w:pPr>
        <w:jc w:val="center"/>
      </w:pPr>
    </w:p>
    <w:p w14:paraId="7F19B3EA" w14:textId="77777777" w:rsidR="004B4A60" w:rsidRPr="0057246E" w:rsidRDefault="00863356" w:rsidP="004B4A60"/>
    <w:p w14:paraId="181805C8" w14:textId="77777777" w:rsidR="00C26F2D" w:rsidRDefault="00863356"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68"/>
        <w:gridCol w:w="3527"/>
      </w:tblGrid>
      <w:tr w:rsidR="00A57583" w:rsidRPr="00DF19AB" w14:paraId="42B30E19" w14:textId="77777777" w:rsidTr="00423BCD">
        <w:trPr>
          <w:cantSplit/>
          <w:trHeight w:val="434"/>
        </w:trPr>
        <w:tc>
          <w:tcPr>
            <w:tcW w:w="9855" w:type="dxa"/>
            <w:gridSpan w:val="2"/>
          </w:tcPr>
          <w:p w14:paraId="30302974" w14:textId="77777777" w:rsidR="00A57583" w:rsidRPr="00DF19AB" w:rsidRDefault="00A57583" w:rsidP="00423BCD">
            <w:pPr>
              <w:pStyle w:val="ATSNormal"/>
              <w:jc w:val="center"/>
              <w:rPr>
                <w:b/>
              </w:rPr>
            </w:pPr>
            <w:r w:rsidRPr="00DF19AB">
              <w:rPr>
                <w:b/>
                <w:snapToGrid w:val="0"/>
              </w:rPr>
              <w:lastRenderedPageBreak/>
              <w:t xml:space="preserve">ASPA </w:t>
            </w:r>
            <w:r w:rsidRPr="00DF19AB">
              <w:rPr>
                <w:b/>
                <w:szCs w:val="22"/>
              </w:rPr>
              <w:t>No.</w:t>
            </w:r>
            <w:r w:rsidRPr="00DF19AB">
              <w:rPr>
                <w:b/>
                <w:snapToGrid w:val="0"/>
              </w:rPr>
              <w:t>122 Arrival Heights, Hut Point Peninsula, Ross Island</w:t>
            </w:r>
          </w:p>
        </w:tc>
      </w:tr>
      <w:tr w:rsidR="00A57583" w:rsidRPr="00323C65" w14:paraId="49330568" w14:textId="77777777" w:rsidTr="00423BCD">
        <w:tc>
          <w:tcPr>
            <w:tcW w:w="5875" w:type="dxa"/>
          </w:tcPr>
          <w:p w14:paraId="6A30AF71" w14:textId="77777777" w:rsidR="00A57583" w:rsidRPr="004A1897" w:rsidRDefault="00A57583" w:rsidP="00423BCD">
            <w:pPr>
              <w:pStyle w:val="ATSNormal"/>
              <w:rPr>
                <w:b/>
                <w:snapToGrid w:val="0"/>
                <w:sz w:val="20"/>
                <w:szCs w:val="20"/>
              </w:rPr>
            </w:pPr>
            <w:r w:rsidRPr="004A1897">
              <w:rPr>
                <w:b/>
                <w:snapToGrid w:val="0"/>
                <w:sz w:val="20"/>
                <w:szCs w:val="20"/>
              </w:rPr>
              <w:t>1. Is a new ASPA proposed?</w:t>
            </w:r>
          </w:p>
        </w:tc>
        <w:tc>
          <w:tcPr>
            <w:tcW w:w="3980" w:type="dxa"/>
          </w:tcPr>
          <w:p w14:paraId="68C78480" w14:textId="77777777" w:rsidR="00A57583" w:rsidRPr="007F4019" w:rsidRDefault="00A57583" w:rsidP="00423BCD">
            <w:pPr>
              <w:pStyle w:val="ATSNormal"/>
              <w:rPr>
                <w:snapToGrid w:val="0"/>
                <w:sz w:val="20"/>
                <w:szCs w:val="20"/>
              </w:rPr>
            </w:pPr>
            <w:r w:rsidRPr="007F4019">
              <w:rPr>
                <w:snapToGrid w:val="0"/>
                <w:sz w:val="20"/>
                <w:szCs w:val="20"/>
              </w:rPr>
              <w:t>No</w:t>
            </w:r>
          </w:p>
        </w:tc>
      </w:tr>
      <w:tr w:rsidR="00A57583" w:rsidRPr="00323C65" w14:paraId="381709D6" w14:textId="77777777" w:rsidTr="00423BCD">
        <w:tc>
          <w:tcPr>
            <w:tcW w:w="5875" w:type="dxa"/>
          </w:tcPr>
          <w:p w14:paraId="456337A1" w14:textId="77777777" w:rsidR="00A57583" w:rsidRPr="004A1897" w:rsidRDefault="00A57583" w:rsidP="00423BCD">
            <w:pPr>
              <w:pStyle w:val="ATSNormal"/>
              <w:rPr>
                <w:b/>
                <w:snapToGrid w:val="0"/>
                <w:sz w:val="20"/>
                <w:szCs w:val="20"/>
              </w:rPr>
            </w:pPr>
            <w:r w:rsidRPr="004A1897">
              <w:rPr>
                <w:b/>
                <w:snapToGrid w:val="0"/>
                <w:sz w:val="20"/>
                <w:szCs w:val="20"/>
              </w:rPr>
              <w:t>2. Is a new ASMA proposed?</w:t>
            </w:r>
          </w:p>
        </w:tc>
        <w:tc>
          <w:tcPr>
            <w:tcW w:w="3980" w:type="dxa"/>
          </w:tcPr>
          <w:p w14:paraId="0A59F4F5" w14:textId="77777777" w:rsidR="00A57583" w:rsidRPr="007F4019" w:rsidRDefault="00A57583" w:rsidP="00423BCD">
            <w:pPr>
              <w:pStyle w:val="ATSNormal"/>
              <w:rPr>
                <w:snapToGrid w:val="0"/>
                <w:sz w:val="20"/>
                <w:szCs w:val="20"/>
              </w:rPr>
            </w:pPr>
            <w:r w:rsidRPr="007F4019">
              <w:rPr>
                <w:snapToGrid w:val="0"/>
                <w:sz w:val="20"/>
                <w:szCs w:val="20"/>
              </w:rPr>
              <w:t>No</w:t>
            </w:r>
          </w:p>
        </w:tc>
      </w:tr>
      <w:tr w:rsidR="00A57583" w:rsidRPr="00323C65" w14:paraId="58D62F6E" w14:textId="77777777" w:rsidTr="00423BCD">
        <w:tc>
          <w:tcPr>
            <w:tcW w:w="5875" w:type="dxa"/>
          </w:tcPr>
          <w:p w14:paraId="66E11E5F" w14:textId="77777777" w:rsidR="00A57583" w:rsidRPr="004A1897" w:rsidRDefault="00A57583" w:rsidP="00423BCD">
            <w:pPr>
              <w:pStyle w:val="ATSNormal"/>
              <w:rPr>
                <w:b/>
                <w:snapToGrid w:val="0"/>
                <w:sz w:val="20"/>
                <w:szCs w:val="20"/>
              </w:rPr>
            </w:pPr>
            <w:r w:rsidRPr="004A1897">
              <w:rPr>
                <w:b/>
                <w:snapToGrid w:val="0"/>
                <w:sz w:val="20"/>
                <w:szCs w:val="20"/>
              </w:rPr>
              <w:t>3. Does the proposal relate to an existing ASPA or ASMA?</w:t>
            </w:r>
          </w:p>
        </w:tc>
        <w:tc>
          <w:tcPr>
            <w:tcW w:w="3980" w:type="dxa"/>
          </w:tcPr>
          <w:p w14:paraId="6557153A" w14:textId="77777777" w:rsidR="00A57583" w:rsidRPr="007F4019" w:rsidRDefault="00A57583" w:rsidP="00423BCD">
            <w:pPr>
              <w:pStyle w:val="ATSNormal"/>
              <w:rPr>
                <w:snapToGrid w:val="0"/>
                <w:sz w:val="20"/>
                <w:szCs w:val="20"/>
              </w:rPr>
            </w:pPr>
            <w:r w:rsidRPr="007F4019">
              <w:rPr>
                <w:snapToGrid w:val="0"/>
                <w:sz w:val="20"/>
                <w:szCs w:val="20"/>
              </w:rPr>
              <w:t>Yes</w:t>
            </w:r>
          </w:p>
        </w:tc>
      </w:tr>
      <w:tr w:rsidR="00A57583" w:rsidRPr="00323C65" w14:paraId="1CB7D8AF" w14:textId="77777777" w:rsidTr="00423BCD">
        <w:tc>
          <w:tcPr>
            <w:tcW w:w="5875" w:type="dxa"/>
          </w:tcPr>
          <w:p w14:paraId="2BE6753D" w14:textId="77777777" w:rsidR="00A57583" w:rsidRPr="004A1897" w:rsidRDefault="00A57583" w:rsidP="00423BCD">
            <w:pPr>
              <w:pStyle w:val="ATSNormal"/>
              <w:jc w:val="center"/>
              <w:rPr>
                <w:i/>
                <w:sz w:val="20"/>
                <w:szCs w:val="20"/>
              </w:rPr>
            </w:pPr>
            <w:r w:rsidRPr="004A1897">
              <w:rPr>
                <w:i/>
                <w:sz w:val="20"/>
                <w:szCs w:val="20"/>
              </w:rPr>
              <w:t>First designation:</w:t>
            </w:r>
          </w:p>
        </w:tc>
        <w:tc>
          <w:tcPr>
            <w:tcW w:w="3980" w:type="dxa"/>
          </w:tcPr>
          <w:p w14:paraId="432C7CAD" w14:textId="77777777" w:rsidR="00A57583" w:rsidRPr="007F4019" w:rsidRDefault="00A57583" w:rsidP="00423BCD">
            <w:pPr>
              <w:pStyle w:val="ATSNormal"/>
              <w:rPr>
                <w:snapToGrid w:val="0"/>
                <w:sz w:val="20"/>
                <w:szCs w:val="20"/>
              </w:rPr>
            </w:pPr>
            <w:r w:rsidRPr="007F4019">
              <w:rPr>
                <w:snapToGrid w:val="0"/>
                <w:sz w:val="20"/>
                <w:szCs w:val="20"/>
              </w:rPr>
              <w:t>Recommendation VIII-4 (1975) SSSI No. 2</w:t>
            </w:r>
          </w:p>
        </w:tc>
      </w:tr>
      <w:tr w:rsidR="00A57583" w:rsidRPr="00323C65" w14:paraId="7146E942" w14:textId="77777777" w:rsidTr="00423BCD">
        <w:tc>
          <w:tcPr>
            <w:tcW w:w="5875" w:type="dxa"/>
          </w:tcPr>
          <w:p w14:paraId="54007143" w14:textId="77777777" w:rsidR="00A57583" w:rsidRPr="004A1897" w:rsidRDefault="00A57583" w:rsidP="00423BCD">
            <w:pPr>
              <w:pStyle w:val="ATSNormal"/>
              <w:jc w:val="center"/>
              <w:rPr>
                <w:i/>
                <w:sz w:val="20"/>
                <w:szCs w:val="20"/>
              </w:rPr>
            </w:pPr>
            <w:r w:rsidRPr="004A1897">
              <w:rPr>
                <w:i/>
                <w:sz w:val="20"/>
                <w:szCs w:val="20"/>
              </w:rPr>
              <w:t>First adoption of management plan:</w:t>
            </w:r>
          </w:p>
        </w:tc>
        <w:tc>
          <w:tcPr>
            <w:tcW w:w="3980" w:type="dxa"/>
          </w:tcPr>
          <w:p w14:paraId="30060051" w14:textId="77777777" w:rsidR="00A57583" w:rsidRPr="007F4019" w:rsidRDefault="00A57583" w:rsidP="00423BCD">
            <w:pPr>
              <w:pStyle w:val="ATSNormal"/>
              <w:rPr>
                <w:snapToGrid w:val="0"/>
                <w:sz w:val="20"/>
                <w:szCs w:val="20"/>
              </w:rPr>
            </w:pPr>
            <w:r w:rsidRPr="007F4019">
              <w:rPr>
                <w:snapToGrid w:val="0"/>
                <w:sz w:val="20"/>
                <w:szCs w:val="20"/>
                <w:lang w:val="en-US" w:eastAsia="en-US"/>
              </w:rPr>
              <w:t>Recommendation VIII-4 (1975) SSSI No. 2</w:t>
            </w:r>
          </w:p>
        </w:tc>
      </w:tr>
      <w:tr w:rsidR="00A57583" w:rsidRPr="00323C65" w14:paraId="00E487AA" w14:textId="77777777" w:rsidTr="00423BCD">
        <w:tc>
          <w:tcPr>
            <w:tcW w:w="5875" w:type="dxa"/>
          </w:tcPr>
          <w:p w14:paraId="486F6DE8" w14:textId="77777777" w:rsidR="00A57583" w:rsidRPr="004A1897" w:rsidRDefault="00A57583" w:rsidP="00423BCD">
            <w:pPr>
              <w:pStyle w:val="ATSNormal"/>
              <w:jc w:val="center"/>
              <w:rPr>
                <w:i/>
                <w:sz w:val="20"/>
                <w:szCs w:val="20"/>
              </w:rPr>
            </w:pPr>
            <w:r w:rsidRPr="004A1897">
              <w:rPr>
                <w:i/>
                <w:sz w:val="20"/>
                <w:szCs w:val="20"/>
              </w:rPr>
              <w:t>Any revisions to management plan:</w:t>
            </w:r>
          </w:p>
        </w:tc>
        <w:tc>
          <w:tcPr>
            <w:tcW w:w="3980" w:type="dxa"/>
          </w:tcPr>
          <w:p w14:paraId="75D82A88" w14:textId="77777777" w:rsidR="00A57583" w:rsidRPr="007F4019" w:rsidRDefault="00A57583" w:rsidP="00423BCD">
            <w:pPr>
              <w:pStyle w:val="ATSNormal"/>
              <w:rPr>
                <w:sz w:val="20"/>
                <w:szCs w:val="20"/>
              </w:rPr>
            </w:pPr>
            <w:r w:rsidRPr="007F4019">
              <w:rPr>
                <w:snapToGrid w:val="0"/>
                <w:sz w:val="20"/>
                <w:szCs w:val="20"/>
                <w:lang w:val="en-US" w:eastAsia="en-US"/>
              </w:rPr>
              <w:t xml:space="preserve">Measure 2 (2004), </w:t>
            </w:r>
            <w:r w:rsidRPr="007F4019">
              <w:rPr>
                <w:sz w:val="20"/>
                <w:szCs w:val="20"/>
              </w:rPr>
              <w:t>Measure 3 (2011), Measure 3 (2016), Measure 8 (2022)</w:t>
            </w:r>
          </w:p>
        </w:tc>
      </w:tr>
      <w:tr w:rsidR="00A57583" w:rsidRPr="00323C65" w14:paraId="32665143" w14:textId="77777777" w:rsidTr="00423BCD">
        <w:tc>
          <w:tcPr>
            <w:tcW w:w="5875" w:type="dxa"/>
          </w:tcPr>
          <w:p w14:paraId="5A3539BB" w14:textId="77777777" w:rsidR="00A57583" w:rsidRPr="004A1897" w:rsidRDefault="00A57583" w:rsidP="00423BCD">
            <w:pPr>
              <w:pStyle w:val="ATSNormal"/>
              <w:jc w:val="center"/>
              <w:rPr>
                <w:i/>
                <w:sz w:val="20"/>
                <w:szCs w:val="20"/>
              </w:rPr>
            </w:pPr>
            <w:r w:rsidRPr="004A1897">
              <w:rPr>
                <w:i/>
                <w:sz w:val="20"/>
                <w:szCs w:val="20"/>
              </w:rPr>
              <w:t>Current management plan:</w:t>
            </w:r>
          </w:p>
        </w:tc>
        <w:tc>
          <w:tcPr>
            <w:tcW w:w="3980" w:type="dxa"/>
          </w:tcPr>
          <w:p w14:paraId="46F4A4E2" w14:textId="56192F86" w:rsidR="00A57583" w:rsidRPr="007F4019" w:rsidRDefault="00863356" w:rsidP="00423BCD">
            <w:pPr>
              <w:pStyle w:val="ATSNormal"/>
              <w:rPr>
                <w:snapToGrid w:val="0"/>
                <w:sz w:val="20"/>
                <w:szCs w:val="20"/>
              </w:rPr>
            </w:pPr>
            <w:r>
              <w:rPr>
                <w:snapToGrid w:val="0"/>
                <w:sz w:val="20"/>
                <w:szCs w:val="20"/>
                <w:lang w:val="en-US" w:eastAsia="en-US"/>
              </w:rPr>
              <w:t>Measure 8 (2022)</w:t>
            </w:r>
          </w:p>
        </w:tc>
      </w:tr>
      <w:tr w:rsidR="00A57583" w:rsidRPr="00323C65" w14:paraId="0B4E3DB5" w14:textId="77777777" w:rsidTr="00423BCD">
        <w:tc>
          <w:tcPr>
            <w:tcW w:w="5875" w:type="dxa"/>
          </w:tcPr>
          <w:p w14:paraId="1A48450B" w14:textId="77777777" w:rsidR="00A57583" w:rsidRPr="004A1897" w:rsidRDefault="00A57583" w:rsidP="00423BCD">
            <w:pPr>
              <w:pStyle w:val="ATSNormal"/>
              <w:jc w:val="center"/>
              <w:rPr>
                <w:i/>
                <w:sz w:val="20"/>
                <w:szCs w:val="20"/>
              </w:rPr>
            </w:pPr>
            <w:r w:rsidRPr="004A1897">
              <w:rPr>
                <w:i/>
                <w:sz w:val="20"/>
                <w:szCs w:val="20"/>
              </w:rPr>
              <w:t>Any extensions of expiry dates of management plan:</w:t>
            </w:r>
          </w:p>
        </w:tc>
        <w:tc>
          <w:tcPr>
            <w:tcW w:w="3980" w:type="dxa"/>
          </w:tcPr>
          <w:p w14:paraId="618D7855" w14:textId="77777777" w:rsidR="00A57583" w:rsidRPr="007F4019" w:rsidRDefault="00A57583" w:rsidP="00423BCD">
            <w:pPr>
              <w:pStyle w:val="ATSNormal"/>
              <w:rPr>
                <w:snapToGrid w:val="0"/>
                <w:sz w:val="20"/>
                <w:szCs w:val="20"/>
                <w:highlight w:val="yellow"/>
              </w:rPr>
            </w:pPr>
            <w:r w:rsidRPr="007F4019">
              <w:rPr>
                <w:snapToGrid w:val="0"/>
                <w:sz w:val="20"/>
                <w:szCs w:val="20"/>
                <w:lang w:val="en-US" w:eastAsia="en-US"/>
              </w:rPr>
              <w:t xml:space="preserve">Recommendation X-6 (1979), Recommendation XII-5 (1983), Recommendation XIII-7 (1985), Recommendation XIV-4 (1987), Resolution 3 (1996), Measure 2 (2000) </w:t>
            </w:r>
          </w:p>
        </w:tc>
      </w:tr>
      <w:tr w:rsidR="00A57583" w:rsidRPr="00323C65" w14:paraId="587A8DBF" w14:textId="77777777" w:rsidTr="00423BCD">
        <w:tc>
          <w:tcPr>
            <w:tcW w:w="5875" w:type="dxa"/>
          </w:tcPr>
          <w:p w14:paraId="53A200A6" w14:textId="77777777" w:rsidR="00A57583" w:rsidRPr="004A1897" w:rsidRDefault="00A57583" w:rsidP="00423BCD">
            <w:pPr>
              <w:pStyle w:val="ATSNormal"/>
              <w:jc w:val="center"/>
              <w:rPr>
                <w:i/>
                <w:sz w:val="20"/>
                <w:szCs w:val="20"/>
              </w:rPr>
            </w:pPr>
            <w:r w:rsidRPr="004A1897">
              <w:rPr>
                <w:i/>
                <w:sz w:val="20"/>
                <w:szCs w:val="20"/>
              </w:rPr>
              <w:t>Renamed and renumbered by Decision 1 (2002) as:</w:t>
            </w:r>
          </w:p>
        </w:tc>
        <w:tc>
          <w:tcPr>
            <w:tcW w:w="3980" w:type="dxa"/>
          </w:tcPr>
          <w:p w14:paraId="08FFCD7B" w14:textId="77777777" w:rsidR="00A57583" w:rsidRPr="007F4019" w:rsidRDefault="00A57583" w:rsidP="00423BCD">
            <w:pPr>
              <w:pStyle w:val="ATSNormal"/>
              <w:rPr>
                <w:snapToGrid w:val="0"/>
                <w:sz w:val="20"/>
                <w:szCs w:val="20"/>
                <w:highlight w:val="yellow"/>
              </w:rPr>
            </w:pPr>
            <w:r w:rsidRPr="007F4019">
              <w:rPr>
                <w:snapToGrid w:val="0"/>
                <w:sz w:val="20"/>
                <w:szCs w:val="20"/>
                <w:lang w:val="en-US" w:eastAsia="en-US"/>
              </w:rPr>
              <w:t>ASPA No. 122, Arrival Heights, Hut Point Peninsula, Ross Island</w:t>
            </w:r>
          </w:p>
        </w:tc>
      </w:tr>
      <w:tr w:rsidR="00A57583" w:rsidRPr="00323C65" w14:paraId="5A393741" w14:textId="77777777" w:rsidTr="00423BCD">
        <w:tc>
          <w:tcPr>
            <w:tcW w:w="5875" w:type="dxa"/>
          </w:tcPr>
          <w:p w14:paraId="709CBCB7" w14:textId="77777777" w:rsidR="00A57583" w:rsidRPr="004A1897" w:rsidRDefault="00A57583" w:rsidP="00423BCD">
            <w:pPr>
              <w:pStyle w:val="ATSNormal"/>
              <w:jc w:val="center"/>
              <w:rPr>
                <w:i/>
                <w:sz w:val="20"/>
                <w:szCs w:val="20"/>
              </w:rPr>
            </w:pPr>
            <w:r w:rsidRPr="004A1897">
              <w:rPr>
                <w:i/>
                <w:sz w:val="20"/>
                <w:szCs w:val="20"/>
              </w:rPr>
              <w:t>Other relevant measures:</w:t>
            </w:r>
          </w:p>
        </w:tc>
        <w:tc>
          <w:tcPr>
            <w:tcW w:w="3980" w:type="dxa"/>
          </w:tcPr>
          <w:p w14:paraId="48009AA3" w14:textId="77777777" w:rsidR="00A57583" w:rsidRPr="007F4019" w:rsidRDefault="00A57583" w:rsidP="00423BCD">
            <w:pPr>
              <w:pStyle w:val="ATSNormal"/>
              <w:rPr>
                <w:snapToGrid w:val="0"/>
                <w:sz w:val="20"/>
                <w:szCs w:val="20"/>
                <w:highlight w:val="yellow"/>
              </w:rPr>
            </w:pPr>
            <w:r w:rsidRPr="007F4019">
              <w:rPr>
                <w:sz w:val="20"/>
                <w:szCs w:val="20"/>
                <w:lang w:val="en-US" w:eastAsia="en-US"/>
              </w:rPr>
              <w:t xml:space="preserve">SCAR Recommendation XXIII-6 (1994), </w:t>
            </w:r>
            <w:r w:rsidRPr="007F4019">
              <w:rPr>
                <w:snapToGrid w:val="0"/>
                <w:sz w:val="20"/>
                <w:szCs w:val="20"/>
                <w:lang w:val="en-US" w:eastAsia="en-US"/>
              </w:rPr>
              <w:t>Resolution 1 (1998)</w:t>
            </w:r>
          </w:p>
        </w:tc>
      </w:tr>
      <w:tr w:rsidR="00A57583" w:rsidRPr="00323C65" w14:paraId="6CB9C17D" w14:textId="77777777" w:rsidTr="00423BCD">
        <w:trPr>
          <w:cantSplit/>
        </w:trPr>
        <w:tc>
          <w:tcPr>
            <w:tcW w:w="9855" w:type="dxa"/>
            <w:gridSpan w:val="2"/>
          </w:tcPr>
          <w:p w14:paraId="6009A2DC" w14:textId="77777777" w:rsidR="00A57583" w:rsidRPr="004A1897" w:rsidRDefault="00A57583" w:rsidP="00423BCD">
            <w:pPr>
              <w:pStyle w:val="ATSNormal"/>
              <w:rPr>
                <w:b/>
                <w:snapToGrid w:val="0"/>
                <w:sz w:val="20"/>
                <w:szCs w:val="20"/>
              </w:rPr>
            </w:pPr>
            <w:r w:rsidRPr="004A1897">
              <w:rPr>
                <w:b/>
                <w:snapToGrid w:val="0"/>
                <w:sz w:val="20"/>
                <w:szCs w:val="20"/>
              </w:rPr>
              <w:t>4. If the proposal contains a revision of an existing management plan, please indicate the types of amendment:</w:t>
            </w:r>
          </w:p>
        </w:tc>
      </w:tr>
      <w:tr w:rsidR="00A57583" w:rsidRPr="00323C65" w14:paraId="7629C935" w14:textId="77777777" w:rsidTr="00423BCD">
        <w:tc>
          <w:tcPr>
            <w:tcW w:w="5875" w:type="dxa"/>
          </w:tcPr>
          <w:p w14:paraId="2D40C402" w14:textId="77777777" w:rsidR="00A57583" w:rsidRPr="004A1897" w:rsidRDefault="00A57583" w:rsidP="00423BCD">
            <w:pPr>
              <w:pStyle w:val="ATSNormal"/>
              <w:jc w:val="center"/>
              <w:rPr>
                <w:i/>
                <w:sz w:val="20"/>
                <w:szCs w:val="20"/>
              </w:rPr>
            </w:pPr>
            <w:r w:rsidRPr="004A1897">
              <w:rPr>
                <w:i/>
                <w:sz w:val="20"/>
                <w:szCs w:val="20"/>
              </w:rPr>
              <w:t>(i) major or minor?</w:t>
            </w:r>
          </w:p>
        </w:tc>
        <w:tc>
          <w:tcPr>
            <w:tcW w:w="3980" w:type="dxa"/>
          </w:tcPr>
          <w:p w14:paraId="28AC5446" w14:textId="77777777" w:rsidR="00A57583" w:rsidRPr="007F4019" w:rsidRDefault="00A57583" w:rsidP="00423BCD">
            <w:pPr>
              <w:pStyle w:val="ATSNormal"/>
              <w:rPr>
                <w:snapToGrid w:val="0"/>
                <w:sz w:val="20"/>
                <w:szCs w:val="20"/>
              </w:rPr>
            </w:pPr>
            <w:r w:rsidRPr="007F4019">
              <w:rPr>
                <w:snapToGrid w:val="0"/>
                <w:sz w:val="20"/>
                <w:szCs w:val="20"/>
              </w:rPr>
              <w:t>Minor.</w:t>
            </w:r>
          </w:p>
        </w:tc>
      </w:tr>
      <w:tr w:rsidR="00A57583" w:rsidRPr="00323C65" w14:paraId="3356CAF4" w14:textId="77777777" w:rsidTr="00423BCD">
        <w:tc>
          <w:tcPr>
            <w:tcW w:w="5875" w:type="dxa"/>
          </w:tcPr>
          <w:p w14:paraId="3C18F6E8" w14:textId="77777777" w:rsidR="00A57583" w:rsidRPr="004A1897" w:rsidRDefault="00A57583" w:rsidP="00423BCD">
            <w:pPr>
              <w:pStyle w:val="ATSNormal"/>
              <w:jc w:val="center"/>
              <w:rPr>
                <w:i/>
                <w:sz w:val="20"/>
                <w:szCs w:val="20"/>
              </w:rPr>
            </w:pPr>
            <w:r w:rsidRPr="004A1897">
              <w:rPr>
                <w:i/>
                <w:sz w:val="20"/>
                <w:szCs w:val="20"/>
              </w:rPr>
              <w:t>(ii) any changes to the boundaries or co-ordinates?</w:t>
            </w:r>
          </w:p>
        </w:tc>
        <w:tc>
          <w:tcPr>
            <w:tcW w:w="3980" w:type="dxa"/>
          </w:tcPr>
          <w:p w14:paraId="24C4F77A" w14:textId="77777777" w:rsidR="00A57583" w:rsidRPr="007F4019" w:rsidRDefault="00A57583" w:rsidP="00423BCD">
            <w:pPr>
              <w:pStyle w:val="ATSNormal"/>
              <w:rPr>
                <w:snapToGrid w:val="0"/>
                <w:sz w:val="20"/>
                <w:szCs w:val="20"/>
              </w:rPr>
            </w:pPr>
            <w:r w:rsidRPr="007F4019">
              <w:rPr>
                <w:snapToGrid w:val="0"/>
                <w:sz w:val="20"/>
                <w:szCs w:val="20"/>
              </w:rPr>
              <w:t>No</w:t>
            </w:r>
          </w:p>
        </w:tc>
      </w:tr>
      <w:tr w:rsidR="00A57583" w:rsidRPr="00323C65" w14:paraId="47027421" w14:textId="77777777" w:rsidTr="00423BCD">
        <w:tc>
          <w:tcPr>
            <w:tcW w:w="5875" w:type="dxa"/>
          </w:tcPr>
          <w:p w14:paraId="23B4BEFF" w14:textId="77777777" w:rsidR="00A57583" w:rsidRPr="004A1897" w:rsidRDefault="00A57583" w:rsidP="00423BCD">
            <w:pPr>
              <w:pStyle w:val="ATSNormal"/>
              <w:jc w:val="center"/>
              <w:rPr>
                <w:i/>
                <w:sz w:val="20"/>
                <w:szCs w:val="20"/>
              </w:rPr>
            </w:pPr>
            <w:r w:rsidRPr="004A1897">
              <w:rPr>
                <w:i/>
                <w:sz w:val="20"/>
                <w:szCs w:val="20"/>
              </w:rPr>
              <w:t>(iii) any changes to the maps? If yes, are the changes in the captions only or also in the graphics?</w:t>
            </w:r>
          </w:p>
        </w:tc>
        <w:tc>
          <w:tcPr>
            <w:tcW w:w="3980" w:type="dxa"/>
          </w:tcPr>
          <w:p w14:paraId="680FF3A2" w14:textId="77777777" w:rsidR="00A57583" w:rsidRPr="007F4019" w:rsidRDefault="00A57583" w:rsidP="00423BCD">
            <w:pPr>
              <w:pStyle w:val="ATSNormal"/>
              <w:rPr>
                <w:sz w:val="20"/>
                <w:szCs w:val="20"/>
              </w:rPr>
            </w:pPr>
            <w:r w:rsidRPr="007F4019">
              <w:rPr>
                <w:snapToGrid w:val="0"/>
                <w:sz w:val="20"/>
                <w:szCs w:val="20"/>
              </w:rPr>
              <w:t>Yes. Map 1 incorrectly labelled an area of the McMurdo Ice Shelf as the Ross Ice Shelf and this has been corrected.</w:t>
            </w:r>
          </w:p>
        </w:tc>
      </w:tr>
      <w:tr w:rsidR="00A57583" w:rsidRPr="00323C65" w14:paraId="009A8BB8" w14:textId="77777777" w:rsidTr="00423BCD">
        <w:tc>
          <w:tcPr>
            <w:tcW w:w="5875" w:type="dxa"/>
          </w:tcPr>
          <w:p w14:paraId="442DED81" w14:textId="77777777" w:rsidR="00A57583" w:rsidRPr="004A1897" w:rsidRDefault="00A57583" w:rsidP="00423BCD">
            <w:pPr>
              <w:pStyle w:val="ATSNormal"/>
              <w:jc w:val="center"/>
              <w:rPr>
                <w:i/>
                <w:sz w:val="20"/>
                <w:szCs w:val="20"/>
              </w:rPr>
            </w:pPr>
            <w:r w:rsidRPr="004A1897">
              <w:rPr>
                <w:i/>
                <w:sz w:val="20"/>
                <w:szCs w:val="20"/>
              </w:rPr>
              <w:t>(iv) any change to the description of the area that is relevant to identifying its location or its boundaries?</w:t>
            </w:r>
          </w:p>
        </w:tc>
        <w:tc>
          <w:tcPr>
            <w:tcW w:w="3980" w:type="dxa"/>
          </w:tcPr>
          <w:p w14:paraId="30FD4DB3" w14:textId="77777777" w:rsidR="00A57583" w:rsidRPr="007F4019" w:rsidRDefault="00A57583" w:rsidP="00423BCD">
            <w:pPr>
              <w:pStyle w:val="ATSNormal"/>
              <w:rPr>
                <w:snapToGrid w:val="0"/>
                <w:sz w:val="20"/>
                <w:szCs w:val="20"/>
              </w:rPr>
            </w:pPr>
            <w:r w:rsidRPr="007F4019">
              <w:rPr>
                <w:snapToGrid w:val="0"/>
                <w:sz w:val="20"/>
                <w:szCs w:val="20"/>
              </w:rPr>
              <w:t>No</w:t>
            </w:r>
          </w:p>
        </w:tc>
      </w:tr>
      <w:tr w:rsidR="00A57583" w:rsidRPr="00323C65" w14:paraId="49B89DA2" w14:textId="77777777" w:rsidTr="00423BCD">
        <w:tc>
          <w:tcPr>
            <w:tcW w:w="5875" w:type="dxa"/>
          </w:tcPr>
          <w:p w14:paraId="43EED475" w14:textId="77777777" w:rsidR="00A57583" w:rsidRPr="004A1897" w:rsidRDefault="00A57583" w:rsidP="00423BCD">
            <w:pPr>
              <w:pStyle w:val="ATSNormal"/>
              <w:jc w:val="center"/>
              <w:rPr>
                <w:i/>
                <w:sz w:val="20"/>
                <w:szCs w:val="20"/>
              </w:rPr>
            </w:pPr>
            <w:r w:rsidRPr="004A1897">
              <w:rPr>
                <w:i/>
                <w:sz w:val="20"/>
                <w:szCs w:val="20"/>
              </w:rPr>
              <w:t>(v) any changes that affect any other ASPA, ASMA or HSM within this area or adjacent to it? In particular, please explain any merger with, incorporation of or abolition of any existing area or site.</w:t>
            </w:r>
          </w:p>
        </w:tc>
        <w:tc>
          <w:tcPr>
            <w:tcW w:w="3980" w:type="dxa"/>
          </w:tcPr>
          <w:p w14:paraId="3C595257" w14:textId="77777777" w:rsidR="00A57583" w:rsidRPr="007F4019" w:rsidRDefault="00A57583" w:rsidP="00423BCD">
            <w:pPr>
              <w:pStyle w:val="ATSNormal"/>
              <w:rPr>
                <w:snapToGrid w:val="0"/>
                <w:sz w:val="20"/>
                <w:szCs w:val="20"/>
              </w:rPr>
            </w:pPr>
            <w:r w:rsidRPr="007F4019">
              <w:rPr>
                <w:snapToGrid w:val="0"/>
                <w:sz w:val="20"/>
                <w:szCs w:val="20"/>
              </w:rPr>
              <w:t>No</w:t>
            </w:r>
          </w:p>
        </w:tc>
      </w:tr>
      <w:tr w:rsidR="00A57583" w:rsidRPr="00323C65" w14:paraId="2359940C" w14:textId="77777777" w:rsidTr="00423BCD">
        <w:tc>
          <w:tcPr>
            <w:tcW w:w="5875" w:type="dxa"/>
          </w:tcPr>
          <w:p w14:paraId="4A843B60" w14:textId="77777777" w:rsidR="00A57583" w:rsidRPr="004A1897" w:rsidRDefault="00A57583" w:rsidP="00423BCD">
            <w:pPr>
              <w:pStyle w:val="ATSNormal"/>
              <w:jc w:val="center"/>
              <w:rPr>
                <w:i/>
                <w:sz w:val="20"/>
                <w:szCs w:val="20"/>
              </w:rPr>
            </w:pPr>
            <w:r w:rsidRPr="004A1897">
              <w:rPr>
                <w:i/>
                <w:sz w:val="20"/>
                <w:szCs w:val="20"/>
              </w:rPr>
              <w:t>(vi) Other - brief summary of other types of changes, indicating the paragraphs of the management plan in which these are located.</w:t>
            </w:r>
          </w:p>
        </w:tc>
        <w:tc>
          <w:tcPr>
            <w:tcW w:w="3980" w:type="dxa"/>
          </w:tcPr>
          <w:p w14:paraId="4DE69E74" w14:textId="77777777" w:rsidR="00A57583" w:rsidRPr="007F4019" w:rsidRDefault="00A57583" w:rsidP="00423BCD">
            <w:pPr>
              <w:pStyle w:val="ATSNormal"/>
              <w:rPr>
                <w:sz w:val="20"/>
                <w:szCs w:val="20"/>
              </w:rPr>
            </w:pPr>
            <w:r w:rsidRPr="007F4019">
              <w:rPr>
                <w:sz w:val="20"/>
                <w:szCs w:val="20"/>
              </w:rPr>
              <w:t xml:space="preserve">Section 6(v) Special Zones within the Area. Paragraph (4) listed under </w:t>
            </w:r>
            <w:r w:rsidRPr="007F4019">
              <w:rPr>
                <w:i/>
                <w:sz w:val="20"/>
                <w:szCs w:val="20"/>
              </w:rPr>
              <w:t>Geomagnetic Observatory Restricted Zone: boundary extent and conditions for access and installations</w:t>
            </w:r>
            <w:r w:rsidRPr="007F4019">
              <w:rPr>
                <w:sz w:val="20"/>
                <w:szCs w:val="20"/>
              </w:rPr>
              <w:t xml:space="preserve"> has been replaced by wording to facilitate safe access to the Geomagnetic Observatory during the winter months.</w:t>
            </w:r>
          </w:p>
        </w:tc>
      </w:tr>
      <w:tr w:rsidR="00A57583" w:rsidRPr="00323C65" w14:paraId="6DE837C9" w14:textId="77777777" w:rsidTr="00423BCD">
        <w:tc>
          <w:tcPr>
            <w:tcW w:w="5875" w:type="dxa"/>
          </w:tcPr>
          <w:p w14:paraId="3E9143E9" w14:textId="77777777" w:rsidR="00A57583" w:rsidRPr="004A1897" w:rsidRDefault="00A57583" w:rsidP="00423BCD">
            <w:pPr>
              <w:pStyle w:val="ATSNormal"/>
              <w:rPr>
                <w:b/>
                <w:snapToGrid w:val="0"/>
                <w:sz w:val="20"/>
                <w:szCs w:val="20"/>
              </w:rPr>
            </w:pPr>
            <w:r w:rsidRPr="004A1897">
              <w:rPr>
                <w:b/>
                <w:snapToGrid w:val="0"/>
                <w:sz w:val="20"/>
                <w:szCs w:val="20"/>
              </w:rPr>
              <w:lastRenderedPageBreak/>
              <w:t>5. If a new ASPA or ASMA is proposed, does it contain any marine area?</w:t>
            </w:r>
          </w:p>
        </w:tc>
        <w:tc>
          <w:tcPr>
            <w:tcW w:w="3980" w:type="dxa"/>
          </w:tcPr>
          <w:p w14:paraId="65E71A48" w14:textId="77777777" w:rsidR="00A57583" w:rsidRPr="007F4019" w:rsidRDefault="00A57583" w:rsidP="00423BCD">
            <w:pPr>
              <w:pStyle w:val="ATSNormal"/>
              <w:rPr>
                <w:snapToGrid w:val="0"/>
                <w:sz w:val="20"/>
                <w:szCs w:val="20"/>
              </w:rPr>
            </w:pPr>
            <w:r w:rsidRPr="007F4019">
              <w:rPr>
                <w:snapToGrid w:val="0"/>
                <w:sz w:val="20"/>
                <w:szCs w:val="20"/>
              </w:rPr>
              <w:t>N/A</w:t>
            </w:r>
          </w:p>
        </w:tc>
      </w:tr>
      <w:tr w:rsidR="00A57583" w:rsidRPr="00323C65" w14:paraId="31860CE7" w14:textId="77777777" w:rsidTr="00423BCD">
        <w:tc>
          <w:tcPr>
            <w:tcW w:w="5875" w:type="dxa"/>
          </w:tcPr>
          <w:p w14:paraId="00B10EFD" w14:textId="77777777" w:rsidR="00A57583" w:rsidRPr="004A1897" w:rsidRDefault="00A57583" w:rsidP="00423BCD">
            <w:pPr>
              <w:pStyle w:val="ATSNormal"/>
              <w:rPr>
                <w:b/>
                <w:snapToGrid w:val="0"/>
                <w:sz w:val="20"/>
                <w:szCs w:val="20"/>
              </w:rPr>
            </w:pPr>
            <w:r w:rsidRPr="004A1897">
              <w:rPr>
                <w:b/>
                <w:snapToGrid w:val="0"/>
                <w:sz w:val="20"/>
                <w:szCs w:val="20"/>
              </w:rPr>
              <w:t>6. If yes, does the proposal require the prior approval of CCAMLR in accordance with Decision 9 (2005)?</w:t>
            </w:r>
          </w:p>
        </w:tc>
        <w:tc>
          <w:tcPr>
            <w:tcW w:w="3980" w:type="dxa"/>
          </w:tcPr>
          <w:p w14:paraId="2398A1DB" w14:textId="77777777" w:rsidR="00A57583" w:rsidRPr="007F4019" w:rsidRDefault="00A57583" w:rsidP="00423BCD">
            <w:pPr>
              <w:pStyle w:val="ATSNormal"/>
              <w:rPr>
                <w:snapToGrid w:val="0"/>
                <w:sz w:val="20"/>
                <w:szCs w:val="20"/>
              </w:rPr>
            </w:pPr>
            <w:r w:rsidRPr="007F4019">
              <w:rPr>
                <w:snapToGrid w:val="0"/>
                <w:sz w:val="20"/>
                <w:szCs w:val="20"/>
              </w:rPr>
              <w:t>N/A</w:t>
            </w:r>
          </w:p>
        </w:tc>
      </w:tr>
      <w:tr w:rsidR="00A57583" w:rsidRPr="00323C65" w14:paraId="163F396F" w14:textId="77777777" w:rsidTr="00423BCD">
        <w:tc>
          <w:tcPr>
            <w:tcW w:w="5875" w:type="dxa"/>
          </w:tcPr>
          <w:p w14:paraId="7EA9BDB0" w14:textId="77777777" w:rsidR="00A57583" w:rsidRPr="004A1897" w:rsidRDefault="00A57583" w:rsidP="00423BCD">
            <w:pPr>
              <w:pStyle w:val="ATSNormal"/>
              <w:rPr>
                <w:b/>
                <w:sz w:val="20"/>
                <w:szCs w:val="20"/>
              </w:rPr>
            </w:pPr>
            <w:r w:rsidRPr="004A1897">
              <w:rPr>
                <w:b/>
                <w:sz w:val="20"/>
                <w:szCs w:val="20"/>
              </w:rPr>
              <w:t xml:space="preserve">7. If yes, has the prior approval of CCAMLR been obtained? </w:t>
            </w:r>
          </w:p>
        </w:tc>
        <w:tc>
          <w:tcPr>
            <w:tcW w:w="3980" w:type="dxa"/>
          </w:tcPr>
          <w:p w14:paraId="50DF013C" w14:textId="77777777" w:rsidR="00A57583" w:rsidRPr="007F4019" w:rsidRDefault="00A57583" w:rsidP="00423BCD">
            <w:pPr>
              <w:pStyle w:val="ATSNormal"/>
              <w:rPr>
                <w:snapToGrid w:val="0"/>
                <w:sz w:val="20"/>
                <w:szCs w:val="20"/>
              </w:rPr>
            </w:pPr>
            <w:r w:rsidRPr="007F4019">
              <w:rPr>
                <w:snapToGrid w:val="0"/>
                <w:sz w:val="20"/>
                <w:szCs w:val="20"/>
              </w:rPr>
              <w:t>N/A</w:t>
            </w:r>
          </w:p>
        </w:tc>
      </w:tr>
      <w:tr w:rsidR="00A57583" w:rsidRPr="00323C65" w14:paraId="7FF5A7C2" w14:textId="77777777" w:rsidTr="00423BCD">
        <w:tc>
          <w:tcPr>
            <w:tcW w:w="5875" w:type="dxa"/>
          </w:tcPr>
          <w:p w14:paraId="128B1A9D" w14:textId="77777777" w:rsidR="00A57583" w:rsidRPr="004A1897" w:rsidRDefault="00A57583" w:rsidP="00423BCD">
            <w:pPr>
              <w:pStyle w:val="ATSNormal"/>
              <w:jc w:val="center"/>
              <w:rPr>
                <w:i/>
                <w:sz w:val="20"/>
                <w:szCs w:val="20"/>
              </w:rPr>
            </w:pPr>
            <w:r w:rsidRPr="004A1897">
              <w:rPr>
                <w:i/>
                <w:sz w:val="20"/>
                <w:szCs w:val="20"/>
              </w:rPr>
              <w:t>If yes, please list the CCAMLR Final Report and Paragraph No.</w:t>
            </w:r>
          </w:p>
        </w:tc>
        <w:tc>
          <w:tcPr>
            <w:tcW w:w="3980" w:type="dxa"/>
          </w:tcPr>
          <w:p w14:paraId="7D88B0DA" w14:textId="77777777" w:rsidR="00A57583" w:rsidRPr="007F4019" w:rsidRDefault="00A57583" w:rsidP="00423BCD">
            <w:pPr>
              <w:pStyle w:val="ATSNormal"/>
              <w:rPr>
                <w:snapToGrid w:val="0"/>
                <w:sz w:val="20"/>
                <w:szCs w:val="20"/>
              </w:rPr>
            </w:pPr>
            <w:r w:rsidRPr="007F4019">
              <w:rPr>
                <w:snapToGrid w:val="0"/>
                <w:sz w:val="20"/>
                <w:szCs w:val="20"/>
              </w:rPr>
              <w:t>N/A</w:t>
            </w:r>
          </w:p>
        </w:tc>
      </w:tr>
      <w:tr w:rsidR="00A57583" w14:paraId="64652A33" w14:textId="77777777" w:rsidTr="00423BCD">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E31B464" w14:textId="77777777" w:rsidR="00A57583" w:rsidRPr="004A1897" w:rsidRDefault="00A57583" w:rsidP="00423BCD">
            <w:pPr>
              <w:pStyle w:val="Default"/>
              <w:autoSpaceDE/>
              <w:adjustRightInd/>
              <w:spacing w:before="120" w:after="120"/>
              <w:rPr>
                <w:b/>
                <w:sz w:val="20"/>
                <w:szCs w:val="20"/>
              </w:rPr>
            </w:pPr>
            <w:r w:rsidRPr="004A1897">
              <w:rPr>
                <w:b/>
                <w:sz w:val="20"/>
                <w:szCs w:val="20"/>
              </w:rPr>
              <w:t>8. If the proposal relates to an ASPA, what is the primary reason for designation (</w:t>
            </w:r>
            <w:r w:rsidRPr="004A1897">
              <w:rPr>
                <w:b/>
                <w:i/>
                <w:iCs/>
                <w:sz w:val="20"/>
                <w:szCs w:val="20"/>
              </w:rPr>
              <w:t>i.e.</w:t>
            </w:r>
            <w:r w:rsidRPr="004A1897">
              <w:rPr>
                <w:b/>
                <w:sz w:val="20"/>
                <w:szCs w:val="20"/>
              </w:rPr>
              <w:t>, which part under Article 3.2 of Annex V)?</w:t>
            </w:r>
          </w:p>
        </w:tc>
        <w:tc>
          <w:tcPr>
            <w:tcW w:w="3980" w:type="dxa"/>
            <w:tcBorders>
              <w:top w:val="single" w:sz="4" w:space="0" w:color="auto"/>
              <w:left w:val="single" w:sz="4" w:space="0" w:color="auto"/>
              <w:bottom w:val="single" w:sz="4" w:space="0" w:color="auto"/>
              <w:right w:val="single" w:sz="4" w:space="0" w:color="auto"/>
            </w:tcBorders>
            <w:hideMark/>
          </w:tcPr>
          <w:p w14:paraId="23E21DFF" w14:textId="77777777" w:rsidR="00A57583" w:rsidRPr="007F4019" w:rsidRDefault="00A57583" w:rsidP="00423BCD">
            <w:pPr>
              <w:pStyle w:val="ATSNormal"/>
              <w:keepNext/>
              <w:rPr>
                <w:sz w:val="20"/>
                <w:szCs w:val="20"/>
              </w:rPr>
            </w:pPr>
            <w:r w:rsidRPr="007F4019">
              <w:rPr>
                <w:snapToGrid w:val="0"/>
                <w:sz w:val="20"/>
                <w:szCs w:val="20"/>
              </w:rPr>
              <w:t xml:space="preserve">The primary reason for designation is the scientific value of the Area as an electromagnetically ‘quiet’ site for study of the upper atmosphere. </w:t>
            </w:r>
            <w:r w:rsidRPr="007F4019">
              <w:rPr>
                <w:sz w:val="20"/>
                <w:szCs w:val="20"/>
              </w:rPr>
              <w:t>Under Article 3.2 of Annex V the main reason for special protection is:</w:t>
            </w:r>
          </w:p>
          <w:p w14:paraId="34A585EC" w14:textId="77777777" w:rsidR="00A57583" w:rsidRPr="007F4019" w:rsidRDefault="00A57583" w:rsidP="00423BCD">
            <w:pPr>
              <w:pStyle w:val="ATSNormal"/>
              <w:keepNext/>
              <w:rPr>
                <w:snapToGrid w:val="0"/>
                <w:sz w:val="20"/>
                <w:szCs w:val="20"/>
              </w:rPr>
            </w:pPr>
            <w:r w:rsidRPr="007F4019">
              <w:rPr>
                <w:snapToGrid w:val="0"/>
                <w:sz w:val="20"/>
                <w:szCs w:val="20"/>
              </w:rPr>
              <w:t>(e) areas of particular interest to on-going or planned scientific research.</w:t>
            </w:r>
          </w:p>
          <w:p w14:paraId="4D0F70BF" w14:textId="77777777" w:rsidR="00A57583" w:rsidRPr="007F4019" w:rsidRDefault="00A57583" w:rsidP="00423BCD">
            <w:pPr>
              <w:pStyle w:val="ATSNormal"/>
              <w:keepNext/>
              <w:rPr>
                <w:snapToGrid w:val="0"/>
                <w:sz w:val="20"/>
                <w:szCs w:val="20"/>
              </w:rPr>
            </w:pPr>
            <w:r w:rsidRPr="007F4019">
              <w:rPr>
                <w:snapToGrid w:val="0"/>
                <w:sz w:val="20"/>
                <w:szCs w:val="20"/>
              </w:rPr>
              <w:t>While the Area is not intended to be kept inviolate, compared to the surrounding area it has remained relatively undisturbed and thus has value for ecological comparisons.</w:t>
            </w:r>
          </w:p>
        </w:tc>
      </w:tr>
      <w:tr w:rsidR="00A57583" w14:paraId="320A6C5F" w14:textId="77777777" w:rsidTr="00423BCD">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1810C610" w14:textId="77777777" w:rsidR="00A57583" w:rsidRPr="004A1897" w:rsidRDefault="00A57583" w:rsidP="00423BCD">
            <w:pPr>
              <w:pStyle w:val="Default"/>
              <w:autoSpaceDE/>
              <w:adjustRightInd/>
              <w:spacing w:before="120" w:after="120"/>
              <w:rPr>
                <w:b/>
                <w:sz w:val="20"/>
                <w:szCs w:val="20"/>
              </w:rPr>
            </w:pPr>
            <w:r w:rsidRPr="004A1897">
              <w:rPr>
                <w:b/>
                <w:sz w:val="20"/>
                <w:szCs w:val="20"/>
              </w:rPr>
              <w:t>9. Have you identified the main Environmental Domain represented by the ASPA/ASMA (Resolution 3 (2008))?</w:t>
            </w:r>
          </w:p>
        </w:tc>
        <w:tc>
          <w:tcPr>
            <w:tcW w:w="3980" w:type="dxa"/>
            <w:tcBorders>
              <w:top w:val="single" w:sz="4" w:space="0" w:color="auto"/>
              <w:left w:val="single" w:sz="4" w:space="0" w:color="auto"/>
              <w:bottom w:val="single" w:sz="4" w:space="0" w:color="auto"/>
              <w:right w:val="single" w:sz="4" w:space="0" w:color="auto"/>
            </w:tcBorders>
            <w:hideMark/>
          </w:tcPr>
          <w:p w14:paraId="568B1DFE" w14:textId="77777777" w:rsidR="00A57583" w:rsidRPr="007F4019" w:rsidRDefault="00A57583" w:rsidP="00423BCD">
            <w:pPr>
              <w:pStyle w:val="ATSNormal"/>
              <w:rPr>
                <w:snapToGrid w:val="0"/>
                <w:color w:val="000000" w:themeColor="text1"/>
                <w:sz w:val="20"/>
                <w:szCs w:val="20"/>
              </w:rPr>
            </w:pPr>
            <w:r w:rsidRPr="007F4019">
              <w:rPr>
                <w:snapToGrid w:val="0"/>
                <w:sz w:val="20"/>
                <w:szCs w:val="20"/>
              </w:rPr>
              <w:t>Yes. Environment S – McMurdo – South Victoria Land Geologic.</w:t>
            </w:r>
          </w:p>
        </w:tc>
      </w:tr>
      <w:tr w:rsidR="00A57583" w14:paraId="0E62F0EC" w14:textId="77777777" w:rsidTr="00423BCD">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54EC3CD8" w14:textId="77777777" w:rsidR="00A57583" w:rsidRPr="004A1897" w:rsidRDefault="00A57583" w:rsidP="00423BCD">
            <w:pPr>
              <w:pStyle w:val="Default"/>
              <w:autoSpaceDE/>
              <w:adjustRightInd/>
              <w:spacing w:before="120" w:after="120"/>
              <w:rPr>
                <w:b/>
                <w:sz w:val="20"/>
                <w:szCs w:val="20"/>
              </w:rPr>
            </w:pPr>
            <w:r w:rsidRPr="004A1897">
              <w:rPr>
                <w:b/>
                <w:sz w:val="20"/>
                <w:szCs w:val="20"/>
              </w:rPr>
              <w:t>10. Have you identified the main Antarctic Conservation Biogeographic Region represented by the ASPA/ASMA (Resolution 3 (2017))?</w:t>
            </w:r>
          </w:p>
        </w:tc>
        <w:tc>
          <w:tcPr>
            <w:tcW w:w="3980" w:type="dxa"/>
            <w:tcBorders>
              <w:top w:val="single" w:sz="4" w:space="0" w:color="auto"/>
              <w:left w:val="single" w:sz="4" w:space="0" w:color="auto"/>
              <w:bottom w:val="single" w:sz="4" w:space="0" w:color="auto"/>
              <w:right w:val="single" w:sz="4" w:space="0" w:color="auto"/>
            </w:tcBorders>
            <w:hideMark/>
          </w:tcPr>
          <w:p w14:paraId="05E71D7D" w14:textId="77777777" w:rsidR="00A57583" w:rsidRPr="007F4019" w:rsidRDefault="00A57583" w:rsidP="00423BCD">
            <w:pPr>
              <w:pStyle w:val="ATSNormal"/>
              <w:rPr>
                <w:snapToGrid w:val="0"/>
                <w:color w:val="000000" w:themeColor="text1"/>
                <w:sz w:val="20"/>
                <w:szCs w:val="20"/>
              </w:rPr>
            </w:pPr>
            <w:r w:rsidRPr="007F4019">
              <w:rPr>
                <w:snapToGrid w:val="0"/>
                <w:sz w:val="20"/>
                <w:szCs w:val="20"/>
              </w:rPr>
              <w:t>Yes. ACBR9 – South Victoria Land.</w:t>
            </w:r>
          </w:p>
        </w:tc>
      </w:tr>
      <w:tr w:rsidR="00A57583" w14:paraId="3125482D" w14:textId="77777777" w:rsidTr="00423BCD">
        <w:tblPrEx>
          <w:tblLook w:val="04A0" w:firstRow="1" w:lastRow="0" w:firstColumn="1" w:lastColumn="0" w:noHBand="0" w:noVBand="1"/>
        </w:tblPrEx>
        <w:tc>
          <w:tcPr>
            <w:tcW w:w="5875" w:type="dxa"/>
            <w:tcBorders>
              <w:top w:val="single" w:sz="4" w:space="0" w:color="auto"/>
              <w:left w:val="single" w:sz="4" w:space="0" w:color="auto"/>
              <w:bottom w:val="single" w:sz="4" w:space="0" w:color="auto"/>
              <w:right w:val="single" w:sz="4" w:space="0" w:color="auto"/>
            </w:tcBorders>
            <w:hideMark/>
          </w:tcPr>
          <w:p w14:paraId="04C13D2B" w14:textId="77777777" w:rsidR="00A57583" w:rsidRPr="004A1897" w:rsidRDefault="00A57583" w:rsidP="00423BCD">
            <w:pPr>
              <w:pStyle w:val="Default"/>
              <w:autoSpaceDE/>
              <w:adjustRightInd/>
              <w:spacing w:before="120" w:after="120"/>
              <w:rPr>
                <w:b/>
                <w:sz w:val="20"/>
                <w:szCs w:val="20"/>
              </w:rPr>
            </w:pPr>
            <w:r>
              <w:rPr>
                <w:b/>
                <w:sz w:val="20"/>
                <w:szCs w:val="20"/>
              </w:rPr>
              <w:t>11.</w:t>
            </w:r>
            <w:r w:rsidRPr="004A1897">
              <w:rPr>
                <w:b/>
                <w:sz w:val="20"/>
                <w:szCs w:val="20"/>
              </w:rPr>
              <w:t xml:space="preserve"> Have you identified any Antarctic Important Bird Areas represented by the ASPA/ASMA (Resolution 5 (2015))? </w:t>
            </w:r>
          </w:p>
        </w:tc>
        <w:tc>
          <w:tcPr>
            <w:tcW w:w="3980" w:type="dxa"/>
            <w:tcBorders>
              <w:top w:val="single" w:sz="4" w:space="0" w:color="auto"/>
              <w:left w:val="single" w:sz="4" w:space="0" w:color="auto"/>
              <w:bottom w:val="single" w:sz="4" w:space="0" w:color="auto"/>
              <w:right w:val="single" w:sz="4" w:space="0" w:color="auto"/>
            </w:tcBorders>
            <w:hideMark/>
          </w:tcPr>
          <w:p w14:paraId="04544D47" w14:textId="77777777" w:rsidR="00A57583" w:rsidRPr="007F4019" w:rsidRDefault="00A57583" w:rsidP="00423BCD">
            <w:pPr>
              <w:pStyle w:val="ATSNormal"/>
              <w:rPr>
                <w:snapToGrid w:val="0"/>
                <w:sz w:val="20"/>
                <w:szCs w:val="20"/>
              </w:rPr>
            </w:pPr>
            <w:r w:rsidRPr="007F4019">
              <w:rPr>
                <w:snapToGrid w:val="0"/>
                <w:color w:val="000000" w:themeColor="text1"/>
                <w:sz w:val="20"/>
                <w:szCs w:val="20"/>
              </w:rPr>
              <w:t xml:space="preserve">No. </w:t>
            </w:r>
          </w:p>
        </w:tc>
      </w:tr>
    </w:tbl>
    <w:p w14:paraId="6CA2812D" w14:textId="76C569BB" w:rsidR="004B4A60" w:rsidRDefault="00863356" w:rsidP="00952E9F"/>
    <w:p w14:paraId="0E76218C" w14:textId="64F1C003" w:rsidR="00A57583" w:rsidRDefault="00A57583" w:rsidP="00952E9F"/>
    <w:p w14:paraId="29603039" w14:textId="6AE93C3E" w:rsidR="00A57583" w:rsidRDefault="00A57583" w:rsidP="00952E9F">
      <w:r>
        <w:br w:type="page"/>
      </w:r>
    </w:p>
    <w:p w14:paraId="239EDDE0" w14:textId="77777777" w:rsidR="00A57583" w:rsidRPr="001B4892" w:rsidRDefault="00A57583" w:rsidP="00A57583">
      <w:pPr>
        <w:pStyle w:val="ATSHeading1"/>
      </w:pPr>
      <w:r w:rsidRPr="001B4892">
        <w:lastRenderedPageBreak/>
        <w:t xml:space="preserve">ASPA No. </w:t>
      </w:r>
      <w:r>
        <w:t>122 Arrival Heights, Hut Point Peninsula, Ross Island</w:t>
      </w:r>
    </w:p>
    <w:p w14:paraId="20B2AE26" w14:textId="77777777" w:rsidR="00A57583" w:rsidRDefault="00A57583" w:rsidP="00A57583">
      <w:pPr>
        <w:pStyle w:val="ATSNumber1"/>
        <w:numPr>
          <w:ilvl w:val="0"/>
          <w:numId w:val="21"/>
        </w:numPr>
      </w:pPr>
      <w:r w:rsidRPr="005F358A">
        <w:t>The Management Plan for ASPA No. 1</w:t>
      </w:r>
      <w:r>
        <w:t>22</w:t>
      </w:r>
      <w:r w:rsidRPr="001B4892">
        <w:t xml:space="preserve"> </w:t>
      </w:r>
      <w:r>
        <w:t>Arrival Heights, Hut Point Peninsula, Ross Island</w:t>
      </w:r>
      <w:r w:rsidRPr="005F358A">
        <w:t xml:space="preserve"> was last reviewed in 20</w:t>
      </w:r>
      <w:r>
        <w:t>22</w:t>
      </w:r>
      <w:r w:rsidRPr="005F358A">
        <w:t>.</w:t>
      </w:r>
      <w:r>
        <w:t xml:space="preserve"> Changes were made in particular because of construction of a new Geomagnetic Observatory within the Area, which required special access provisions. As a result, a new Restricted Zone applying to the </w:t>
      </w:r>
      <w:r w:rsidRPr="00151771">
        <w:t>Geomagnetic Observatory</w:t>
      </w:r>
      <w:r>
        <w:t xml:space="preserve"> was adopted.</w:t>
      </w:r>
    </w:p>
    <w:p w14:paraId="01CF9E22" w14:textId="77777777" w:rsidR="00A57583" w:rsidRDefault="00A57583" w:rsidP="00A57583">
      <w:pPr>
        <w:pStyle w:val="ATSNumber1"/>
        <w:numPr>
          <w:ilvl w:val="0"/>
          <w:numId w:val="21"/>
        </w:numPr>
      </w:pPr>
      <w:r>
        <w:t xml:space="preserve">In light of practical experience over the winter following adoption of the new plan, scientists raised concerns about the new access provisions for the Restricted Zone, and in particular implications for safe access and operations at the </w:t>
      </w:r>
      <w:r w:rsidRPr="00151771">
        <w:t xml:space="preserve">Geomagnetic Observatory </w:t>
      </w:r>
      <w:r>
        <w:t>in the dark and cold winter months.</w:t>
      </w:r>
    </w:p>
    <w:p w14:paraId="14F225EB" w14:textId="77777777" w:rsidR="00A57583" w:rsidRDefault="00A57583" w:rsidP="00A57583">
      <w:pPr>
        <w:pStyle w:val="ATSNumber1"/>
        <w:numPr>
          <w:ilvl w:val="0"/>
          <w:numId w:val="21"/>
        </w:numPr>
      </w:pPr>
      <w:r>
        <w:t>Scientists working within the Area recommended that provisions for access to the Geomagnetic Observatory be changed so vehicles could approach closer to the facility</w:t>
      </w:r>
      <w:r w:rsidRPr="00557055">
        <w:t xml:space="preserve"> </w:t>
      </w:r>
      <w:r>
        <w:t>in winter months.</w:t>
      </w:r>
    </w:p>
    <w:p w14:paraId="28A55841" w14:textId="77777777" w:rsidR="00A57583" w:rsidRDefault="00A57583" w:rsidP="00A57583">
      <w:pPr>
        <w:pStyle w:val="ATSNumber1"/>
        <w:numPr>
          <w:ilvl w:val="0"/>
          <w:numId w:val="21"/>
        </w:numPr>
      </w:pPr>
      <w:r>
        <w:t>New Zealand and the United States consulted together and with scientists working within the Area to agree a revised provision for winter access to the Restricted Zone.</w:t>
      </w:r>
    </w:p>
    <w:p w14:paraId="6A3782B6" w14:textId="77777777" w:rsidR="00A57583" w:rsidRPr="0056235F" w:rsidRDefault="00A57583" w:rsidP="00A57583">
      <w:pPr>
        <w:pStyle w:val="ATSNumber1"/>
        <w:numPr>
          <w:ilvl w:val="0"/>
          <w:numId w:val="13"/>
        </w:numPr>
        <w:rPr>
          <w:lang w:val="en-US"/>
        </w:rPr>
      </w:pPr>
      <w:r>
        <w:t>The proposed change</w:t>
      </w:r>
      <w:r w:rsidRPr="0056235F">
        <w:t xml:space="preserve"> to </w:t>
      </w:r>
      <w:r>
        <w:t xml:space="preserve">the </w:t>
      </w:r>
      <w:r w:rsidRPr="0056235F">
        <w:t>existing Management Plan</w:t>
      </w:r>
      <w:r>
        <w:t xml:space="preserve"> is</w:t>
      </w:r>
      <w:r w:rsidRPr="0056235F">
        <w:t>:</w:t>
      </w:r>
    </w:p>
    <w:p w14:paraId="6E9E7CCC" w14:textId="77777777" w:rsidR="00A57583" w:rsidRPr="007A2098" w:rsidRDefault="00A57583" w:rsidP="00A57583">
      <w:pPr>
        <w:pStyle w:val="ATSNumber2"/>
        <w:numPr>
          <w:ilvl w:val="1"/>
          <w:numId w:val="13"/>
        </w:numPr>
      </w:pPr>
      <w:r w:rsidRPr="007A2098">
        <w:rPr>
          <w:b/>
        </w:rPr>
        <w:t>Section 6(v) Special zones within the Area.</w:t>
      </w:r>
      <w:r w:rsidRPr="007A2098">
        <w:t xml:space="preserve"> Under </w:t>
      </w:r>
      <w:r w:rsidRPr="007A2098">
        <w:rPr>
          <w:i/>
        </w:rPr>
        <w:t>Geomagnetic Observatory Restricted Zone: boundary extent and conditions for access and installations</w:t>
      </w:r>
      <w:r w:rsidRPr="007A2098">
        <w:t xml:space="preserve"> Paragraph (4):</w:t>
      </w:r>
    </w:p>
    <w:p w14:paraId="5126818A" w14:textId="77777777" w:rsidR="00A57583" w:rsidRDefault="00A57583" w:rsidP="00A57583">
      <w:pPr>
        <w:pStyle w:val="ATSNumber2"/>
        <w:numPr>
          <w:ilvl w:val="2"/>
          <w:numId w:val="13"/>
        </w:numPr>
      </w:pPr>
      <w:r>
        <w:rPr>
          <w:b/>
          <w:bCs/>
        </w:rPr>
        <w:t xml:space="preserve">Existing wording - to be deleted – </w:t>
      </w:r>
      <w:r>
        <w:t>4) Vehicles and machinery are prohibited within the inner part of the Restricted Zone, except as required for essential scientific or maintenance purposes specified by a permit. Access into the inner part of the Restricted Zone shall generally be on foot.</w:t>
      </w:r>
    </w:p>
    <w:p w14:paraId="4D446678" w14:textId="77777777" w:rsidR="00A57583" w:rsidRPr="00FF40C9" w:rsidRDefault="00A57583" w:rsidP="00A57583">
      <w:pPr>
        <w:pStyle w:val="ATSNumber2"/>
        <w:numPr>
          <w:ilvl w:val="2"/>
          <w:numId w:val="13"/>
        </w:numPr>
      </w:pPr>
      <w:r>
        <w:rPr>
          <w:b/>
          <w:bCs/>
        </w:rPr>
        <w:t>Revised wording - to replace existing wording</w:t>
      </w:r>
      <w:r>
        <w:t xml:space="preserve"> – </w:t>
      </w:r>
      <w:r>
        <w:rPr>
          <w:color w:val="000000"/>
        </w:rPr>
        <w:t>4)</w:t>
      </w:r>
      <w:r>
        <w:rPr>
          <w:color w:val="000000"/>
          <w:sz w:val="14"/>
          <w:szCs w:val="14"/>
        </w:rPr>
        <w:t xml:space="preserve"> </w:t>
      </w:r>
      <w:r>
        <w:t>Vehicles and machinery are generally prohibited within the inner part of the Restricted Zone, except as required for essential scientific or maintenance purposes specified by a permit. Access into the inner part of the Restricted Zone shall thus generally be on foot. However, in winter (01 Mar – 31 Oct) vehicles may approach the Observatory along the designated foot access route (Map 2) to within 50 m of the huts to facilitate safe access. Winter visitors should observe all restrictions on use of headlights and radios as specified in other sections of the Management Plan.</w:t>
      </w:r>
    </w:p>
    <w:p w14:paraId="541BF38B" w14:textId="77777777" w:rsidR="00A57583" w:rsidRDefault="00A57583" w:rsidP="00A57583">
      <w:pPr>
        <w:pStyle w:val="ATSHeading3"/>
      </w:pPr>
      <w:r>
        <w:t>Recommendation</w:t>
      </w:r>
    </w:p>
    <w:p w14:paraId="4F5AEF31" w14:textId="77777777" w:rsidR="00A57583" w:rsidRDefault="00A57583" w:rsidP="00A57583">
      <w:pPr>
        <w:pStyle w:val="ATSNormal"/>
      </w:pPr>
      <w:r w:rsidRPr="002453EC">
        <w:t>The revised Management Plan is attached for consideration by the Committee for Environmental Protection</w:t>
      </w:r>
      <w:r>
        <w:t xml:space="preserve"> for recommendation for adoption by the Antarctic Treaty Consultative Meeting</w:t>
      </w:r>
      <w:r w:rsidRPr="002453EC">
        <w:t>.</w:t>
      </w:r>
    </w:p>
    <w:p w14:paraId="10B8FBC1" w14:textId="77777777" w:rsidR="00A57583" w:rsidRDefault="00A57583" w:rsidP="00952E9F"/>
    <w:sectPr w:rsidR="00A57583"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CE26E" w14:textId="77777777" w:rsidR="005C520D" w:rsidRDefault="00A57583">
      <w:r>
        <w:separator/>
      </w:r>
    </w:p>
  </w:endnote>
  <w:endnote w:type="continuationSeparator" w:id="0">
    <w:p w14:paraId="4030690B" w14:textId="77777777" w:rsidR="005C520D" w:rsidRDefault="00A5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E1C4" w14:textId="77777777" w:rsidR="00FA0B9F" w:rsidRDefault="00A57583" w:rsidP="00CF5C82">
    <w:pPr>
      <w:framePr w:wrap="around" w:vAnchor="text" w:hAnchor="margin" w:xAlign="right" w:y="1"/>
    </w:pPr>
    <w:r>
      <w:fldChar w:fldCharType="begin"/>
    </w:r>
    <w:r>
      <w:instrText xml:space="preserve">PAGE  </w:instrText>
    </w:r>
    <w:r w:rsidR="00863356">
      <w:fldChar w:fldCharType="separate"/>
    </w:r>
    <w:r>
      <w:fldChar w:fldCharType="end"/>
    </w:r>
  </w:p>
  <w:p w14:paraId="1B131FEE" w14:textId="77777777" w:rsidR="00FA0B9F" w:rsidRDefault="0086335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D322" w14:textId="77777777" w:rsidR="00FA0B9F" w:rsidRDefault="00A5758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D0596F2" w14:textId="54258D06" w:rsidR="00FA0B9F" w:rsidRDefault="00A57583" w:rsidP="00FA0B9F">
    <w:pPr>
      <w:ind w:right="360"/>
    </w:pPr>
    <w:r>
      <w:t xml:space="preserve">Attachments: </w:t>
    </w:r>
  </w:p>
  <w:p w14:paraId="3F9FFB6B" w14:textId="73AA903A" w:rsidR="00A57583" w:rsidRDefault="00A57583" w:rsidP="00FA0B9F">
    <w:pPr>
      <w:ind w:right="360"/>
    </w:pPr>
    <w:r>
      <w:t>Atcm45_att005_e.docx: ASPA 122 Revised Management Plan</w:t>
    </w:r>
  </w:p>
  <w:p w14:paraId="74AB5525" w14:textId="35E0DF24" w:rsidR="00A57583" w:rsidRDefault="00A57583" w:rsidP="00FA0B9F">
    <w:pPr>
      <w:ind w:right="360"/>
    </w:pPr>
    <w:r>
      <w:t>Atcm45_att006_e.pdf: ASPA 122 Map 1</w:t>
    </w:r>
  </w:p>
  <w:p w14:paraId="31EACC45" w14:textId="4B34B0A9" w:rsidR="00A57583" w:rsidRDefault="00A57583" w:rsidP="00FA0B9F">
    <w:pPr>
      <w:ind w:right="360"/>
    </w:pPr>
    <w:r>
      <w:t>Atcm45_att007_e.pdf: ASPA 122 Map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082EB" w14:textId="77777777" w:rsidR="00E311C9" w:rsidRDefault="00A57583"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21B2AB1" w14:textId="77777777" w:rsidR="00E311C9" w:rsidRDefault="0086335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8C0B" w14:textId="77777777" w:rsidR="005C520D" w:rsidRDefault="00A57583">
      <w:r>
        <w:separator/>
      </w:r>
    </w:p>
  </w:footnote>
  <w:footnote w:type="continuationSeparator" w:id="0">
    <w:p w14:paraId="543B2836" w14:textId="77777777" w:rsidR="005C520D" w:rsidRDefault="00A5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516A54" w14:paraId="034F76F4" w14:textId="77777777" w:rsidTr="002E12EC">
      <w:trPr>
        <w:trHeight w:val="344"/>
        <w:jc w:val="center"/>
      </w:trPr>
      <w:tc>
        <w:tcPr>
          <w:tcW w:w="5495" w:type="dxa"/>
        </w:tcPr>
        <w:p w14:paraId="3ECEF666" w14:textId="77777777" w:rsidR="00DB7C09" w:rsidRDefault="00863356" w:rsidP="00F968D4"/>
      </w:tc>
      <w:tc>
        <w:tcPr>
          <w:tcW w:w="4253" w:type="dxa"/>
          <w:gridSpan w:val="2"/>
        </w:tcPr>
        <w:p w14:paraId="24CF750F" w14:textId="77777777" w:rsidR="00DB7C09" w:rsidRPr="00BD47E4" w:rsidRDefault="00A57583" w:rsidP="002A07BC">
          <w:pPr>
            <w:jc w:val="right"/>
            <w:rPr>
              <w:b/>
              <w:sz w:val="32"/>
              <w:szCs w:val="32"/>
            </w:rPr>
          </w:pPr>
          <w:bookmarkStart w:id="2" w:name="type"/>
          <w:r w:rsidRPr="00BD47E4">
            <w:rPr>
              <w:b/>
              <w:sz w:val="32"/>
              <w:szCs w:val="32"/>
            </w:rPr>
            <w:t>WP</w:t>
          </w:r>
          <w:bookmarkEnd w:id="2"/>
        </w:p>
      </w:tc>
      <w:tc>
        <w:tcPr>
          <w:tcW w:w="1524" w:type="dxa"/>
          <w:gridSpan w:val="2"/>
        </w:tcPr>
        <w:p w14:paraId="45CA774C" w14:textId="37B4008D" w:rsidR="00DB7C09" w:rsidRPr="00BD47E4" w:rsidRDefault="00A57583" w:rsidP="00DB7C09">
          <w:pPr>
            <w:rPr>
              <w:b/>
              <w:sz w:val="32"/>
              <w:szCs w:val="32"/>
            </w:rPr>
          </w:pPr>
          <w:bookmarkStart w:id="3" w:name="number"/>
          <w:r w:rsidRPr="00BD47E4">
            <w:rPr>
              <w:b/>
              <w:sz w:val="32"/>
              <w:szCs w:val="32"/>
            </w:rPr>
            <w:t>2</w:t>
          </w:r>
          <w:bookmarkEnd w:id="3"/>
          <w:r w:rsidR="00863356">
            <w:rPr>
              <w:b/>
              <w:sz w:val="32"/>
              <w:szCs w:val="32"/>
            </w:rPr>
            <w:t xml:space="preserve"> rev.1</w:t>
          </w:r>
        </w:p>
      </w:tc>
    </w:tr>
    <w:tr w:rsidR="00516A54" w14:paraId="65A740CB" w14:textId="77777777" w:rsidTr="002E12EC">
      <w:trPr>
        <w:trHeight w:val="2165"/>
        <w:jc w:val="center"/>
      </w:trPr>
      <w:tc>
        <w:tcPr>
          <w:tcW w:w="5495" w:type="dxa"/>
        </w:tcPr>
        <w:p w14:paraId="1A93280A" w14:textId="77777777" w:rsidR="00490760" w:rsidRPr="00EE4D48" w:rsidRDefault="00A57583" w:rsidP="002A07BC">
          <w:pPr>
            <w:rPr>
              <w:b/>
              <w:sz w:val="28"/>
              <w:szCs w:val="28"/>
            </w:rPr>
          </w:pPr>
          <w:r>
            <w:rPr>
              <w:noProof/>
            </w:rPr>
            <w:drawing>
              <wp:inline distT="0" distB="0" distL="0" distR="0" wp14:anchorId="3199EBBB" wp14:editId="78F53182">
                <wp:extent cx="2763277" cy="1612900"/>
                <wp:effectExtent l="0" t="0" r="0" b="6350"/>
                <wp:docPr id="3" name="Imagen 3"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436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1A73C05C" w14:textId="77777777" w:rsidR="00490760" w:rsidRPr="00FE5146" w:rsidRDefault="00A57583" w:rsidP="00490760">
          <w:pPr>
            <w:jc w:val="right"/>
            <w:rPr>
              <w:sz w:val="144"/>
              <w:szCs w:val="144"/>
            </w:rPr>
          </w:pPr>
          <w:r w:rsidRPr="00FE5146">
            <w:rPr>
              <w:sz w:val="144"/>
              <w:szCs w:val="144"/>
            </w:rPr>
            <w:t>ENG</w:t>
          </w:r>
        </w:p>
      </w:tc>
    </w:tr>
    <w:tr w:rsidR="00516A54" w14:paraId="5FC94FA8" w14:textId="77777777" w:rsidTr="002E12EC">
      <w:trPr>
        <w:trHeight w:val="409"/>
        <w:jc w:val="center"/>
      </w:trPr>
      <w:tc>
        <w:tcPr>
          <w:tcW w:w="8500" w:type="dxa"/>
          <w:gridSpan w:val="2"/>
        </w:tcPr>
        <w:p w14:paraId="5C6D8E80" w14:textId="77777777" w:rsidR="00BD47E4" w:rsidRDefault="00A57583" w:rsidP="002C30DA">
          <w:pPr>
            <w:jc w:val="right"/>
          </w:pPr>
          <w:r>
            <w:t>Agenda Item:</w:t>
          </w:r>
        </w:p>
      </w:tc>
      <w:tc>
        <w:tcPr>
          <w:tcW w:w="2382" w:type="dxa"/>
          <w:gridSpan w:val="2"/>
        </w:tcPr>
        <w:p w14:paraId="7200ADC6" w14:textId="77777777" w:rsidR="00BD47E4" w:rsidRDefault="00A57583" w:rsidP="002C30DA">
          <w:pPr>
            <w:jc w:val="right"/>
          </w:pPr>
          <w:bookmarkStart w:id="4" w:name="agenda"/>
          <w:r>
            <w:t>CEP 9a</w:t>
          </w:r>
          <w:bookmarkEnd w:id="4"/>
        </w:p>
      </w:tc>
      <w:tc>
        <w:tcPr>
          <w:tcW w:w="390" w:type="dxa"/>
        </w:tcPr>
        <w:p w14:paraId="1F1766A3" w14:textId="77777777" w:rsidR="00BD47E4" w:rsidRDefault="00863356" w:rsidP="00387A65">
          <w:pPr>
            <w:jc w:val="right"/>
          </w:pPr>
        </w:p>
      </w:tc>
    </w:tr>
    <w:tr w:rsidR="00516A54" w14:paraId="706ECE8F" w14:textId="77777777" w:rsidTr="002E12EC">
      <w:trPr>
        <w:trHeight w:val="397"/>
        <w:jc w:val="center"/>
      </w:trPr>
      <w:tc>
        <w:tcPr>
          <w:tcW w:w="8500" w:type="dxa"/>
          <w:gridSpan w:val="2"/>
        </w:tcPr>
        <w:p w14:paraId="4901D512" w14:textId="77777777" w:rsidR="00BD47E4" w:rsidRDefault="00A57583" w:rsidP="002C30DA">
          <w:pPr>
            <w:jc w:val="right"/>
          </w:pPr>
          <w:r>
            <w:t>Presented by:</w:t>
          </w:r>
        </w:p>
      </w:tc>
      <w:tc>
        <w:tcPr>
          <w:tcW w:w="2382" w:type="dxa"/>
          <w:gridSpan w:val="2"/>
        </w:tcPr>
        <w:p w14:paraId="6657E2BC" w14:textId="77777777" w:rsidR="00BD47E4" w:rsidRDefault="00A57583" w:rsidP="002C30DA">
          <w:pPr>
            <w:jc w:val="right"/>
          </w:pPr>
          <w:bookmarkStart w:id="5" w:name="party"/>
          <w:r>
            <w:t>United States</w:t>
          </w:r>
          <w:bookmarkEnd w:id="5"/>
        </w:p>
      </w:tc>
      <w:tc>
        <w:tcPr>
          <w:tcW w:w="390" w:type="dxa"/>
        </w:tcPr>
        <w:p w14:paraId="54A24646" w14:textId="77777777" w:rsidR="00BD47E4" w:rsidRDefault="00863356" w:rsidP="00387A65">
          <w:pPr>
            <w:jc w:val="right"/>
          </w:pPr>
        </w:p>
      </w:tc>
    </w:tr>
    <w:tr w:rsidR="00516A54" w14:paraId="51B74491" w14:textId="77777777" w:rsidTr="002E12EC">
      <w:trPr>
        <w:trHeight w:val="409"/>
        <w:jc w:val="center"/>
      </w:trPr>
      <w:tc>
        <w:tcPr>
          <w:tcW w:w="8500" w:type="dxa"/>
          <w:gridSpan w:val="2"/>
        </w:tcPr>
        <w:p w14:paraId="65F729B3" w14:textId="77777777" w:rsidR="00BD47E4" w:rsidRDefault="00A57583" w:rsidP="002C30DA">
          <w:pPr>
            <w:jc w:val="right"/>
          </w:pPr>
          <w:r>
            <w:t>Original:</w:t>
          </w:r>
        </w:p>
      </w:tc>
      <w:tc>
        <w:tcPr>
          <w:tcW w:w="2382" w:type="dxa"/>
          <w:gridSpan w:val="2"/>
        </w:tcPr>
        <w:p w14:paraId="5607ABA4" w14:textId="77777777" w:rsidR="00BD47E4" w:rsidRDefault="00A57583" w:rsidP="002C30DA">
          <w:pPr>
            <w:jc w:val="right"/>
          </w:pPr>
          <w:bookmarkStart w:id="6" w:name="language"/>
          <w:r>
            <w:t>English</w:t>
          </w:r>
          <w:bookmarkEnd w:id="6"/>
        </w:p>
      </w:tc>
      <w:tc>
        <w:tcPr>
          <w:tcW w:w="390" w:type="dxa"/>
        </w:tcPr>
        <w:p w14:paraId="7F5096D4" w14:textId="77777777" w:rsidR="00BD47E4" w:rsidRDefault="00863356" w:rsidP="00387A65">
          <w:pPr>
            <w:jc w:val="right"/>
          </w:pPr>
        </w:p>
      </w:tc>
    </w:tr>
    <w:tr w:rsidR="00516A54" w14:paraId="50992C43" w14:textId="77777777" w:rsidTr="002E12EC">
      <w:trPr>
        <w:trHeight w:val="409"/>
        <w:jc w:val="center"/>
      </w:trPr>
      <w:tc>
        <w:tcPr>
          <w:tcW w:w="8500" w:type="dxa"/>
          <w:gridSpan w:val="2"/>
        </w:tcPr>
        <w:p w14:paraId="7ECE4AC2" w14:textId="77777777" w:rsidR="0097629D" w:rsidRDefault="00A57583" w:rsidP="002C30DA">
          <w:pPr>
            <w:jc w:val="right"/>
          </w:pPr>
          <w:r>
            <w:t>Submitted:</w:t>
          </w:r>
        </w:p>
      </w:tc>
      <w:tc>
        <w:tcPr>
          <w:tcW w:w="2382" w:type="dxa"/>
          <w:gridSpan w:val="2"/>
        </w:tcPr>
        <w:p w14:paraId="4B16FDBF" w14:textId="77777777" w:rsidR="0097629D" w:rsidRDefault="00A57583" w:rsidP="0097629D">
          <w:pPr>
            <w:jc w:val="right"/>
          </w:pPr>
          <w:bookmarkStart w:id="7" w:name="date_submission"/>
          <w:r>
            <w:t>27 Mar 2023</w:t>
          </w:r>
          <w:bookmarkEnd w:id="7"/>
        </w:p>
      </w:tc>
      <w:tc>
        <w:tcPr>
          <w:tcW w:w="390" w:type="dxa"/>
        </w:tcPr>
        <w:p w14:paraId="4C11593C" w14:textId="77777777" w:rsidR="0097629D" w:rsidRDefault="00863356" w:rsidP="00387A65">
          <w:pPr>
            <w:jc w:val="right"/>
          </w:pPr>
        </w:p>
      </w:tc>
    </w:tr>
  </w:tbl>
  <w:p w14:paraId="1F43DB89" w14:textId="77777777" w:rsidR="00AE5DD0" w:rsidRDefault="008633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516A54" w14:paraId="2DF7864F" w14:textId="77777777">
      <w:trPr>
        <w:trHeight w:val="354"/>
        <w:jc w:val="center"/>
      </w:trPr>
      <w:tc>
        <w:tcPr>
          <w:tcW w:w="9694" w:type="dxa"/>
        </w:tcPr>
        <w:p w14:paraId="33DD4966" w14:textId="181C0338" w:rsidR="00AE5DD0" w:rsidRPr="00BD47E4" w:rsidRDefault="00A57583" w:rsidP="00C26F2D">
          <w:pPr>
            <w:jc w:val="right"/>
            <w:rPr>
              <w:b/>
              <w:sz w:val="32"/>
              <w:szCs w:val="32"/>
            </w:rPr>
          </w:pPr>
          <w:r>
            <w:rPr>
              <w:b/>
              <w:sz w:val="32"/>
              <w:szCs w:val="32"/>
            </w:rPr>
            <w:t>WP</w:t>
          </w:r>
        </w:p>
      </w:tc>
      <w:tc>
        <w:tcPr>
          <w:tcW w:w="1332" w:type="dxa"/>
        </w:tcPr>
        <w:p w14:paraId="4B5599BB" w14:textId="292F9F9F" w:rsidR="00AE5DD0" w:rsidRPr="00BD47E4" w:rsidRDefault="00A57583" w:rsidP="00080F4C">
          <w:pPr>
            <w:rPr>
              <w:b/>
              <w:sz w:val="32"/>
              <w:szCs w:val="32"/>
            </w:rPr>
          </w:pPr>
          <w:r>
            <w:rPr>
              <w:b/>
              <w:sz w:val="32"/>
              <w:szCs w:val="32"/>
            </w:rPr>
            <w:t>2</w:t>
          </w:r>
          <w:r w:rsidR="00863356">
            <w:rPr>
              <w:b/>
              <w:sz w:val="32"/>
              <w:szCs w:val="32"/>
            </w:rPr>
            <w:t xml:space="preserve"> rev.1</w:t>
          </w:r>
        </w:p>
      </w:tc>
    </w:tr>
  </w:tbl>
  <w:p w14:paraId="0BE84358" w14:textId="77777777" w:rsidR="00AE5DD0" w:rsidRDefault="008633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C8B6959A">
      <w:start w:val="1"/>
      <w:numFmt w:val="bullet"/>
      <w:pStyle w:val="ATSBullet1"/>
      <w:lvlText w:val=""/>
      <w:lvlJc w:val="left"/>
      <w:pPr>
        <w:tabs>
          <w:tab w:val="num" w:pos="360"/>
        </w:tabs>
        <w:ind w:left="360" w:hanging="360"/>
      </w:pPr>
      <w:rPr>
        <w:rFonts w:ascii="Symbol" w:hAnsi="Symbol" w:hint="default"/>
        <w:color w:val="auto"/>
      </w:rPr>
    </w:lvl>
    <w:lvl w:ilvl="1" w:tplc="BD5C133E" w:tentative="1">
      <w:start w:val="1"/>
      <w:numFmt w:val="bullet"/>
      <w:lvlText w:val="o"/>
      <w:lvlJc w:val="left"/>
      <w:pPr>
        <w:tabs>
          <w:tab w:val="num" w:pos="1440"/>
        </w:tabs>
        <w:ind w:left="1440" w:hanging="360"/>
      </w:pPr>
      <w:rPr>
        <w:rFonts w:ascii="Courier New" w:hAnsi="Courier New" w:cs="Courier New" w:hint="default"/>
      </w:rPr>
    </w:lvl>
    <w:lvl w:ilvl="2" w:tplc="A1327BCE" w:tentative="1">
      <w:start w:val="1"/>
      <w:numFmt w:val="bullet"/>
      <w:lvlText w:val=""/>
      <w:lvlJc w:val="left"/>
      <w:pPr>
        <w:tabs>
          <w:tab w:val="num" w:pos="2160"/>
        </w:tabs>
        <w:ind w:left="2160" w:hanging="360"/>
      </w:pPr>
      <w:rPr>
        <w:rFonts w:ascii="Wingdings" w:hAnsi="Wingdings" w:hint="default"/>
      </w:rPr>
    </w:lvl>
    <w:lvl w:ilvl="3" w:tplc="334A1800" w:tentative="1">
      <w:start w:val="1"/>
      <w:numFmt w:val="bullet"/>
      <w:lvlText w:val=""/>
      <w:lvlJc w:val="left"/>
      <w:pPr>
        <w:tabs>
          <w:tab w:val="num" w:pos="2880"/>
        </w:tabs>
        <w:ind w:left="2880" w:hanging="360"/>
      </w:pPr>
      <w:rPr>
        <w:rFonts w:ascii="Symbol" w:hAnsi="Symbol" w:hint="default"/>
      </w:rPr>
    </w:lvl>
    <w:lvl w:ilvl="4" w:tplc="1BDE6226" w:tentative="1">
      <w:start w:val="1"/>
      <w:numFmt w:val="bullet"/>
      <w:lvlText w:val="o"/>
      <w:lvlJc w:val="left"/>
      <w:pPr>
        <w:tabs>
          <w:tab w:val="num" w:pos="3600"/>
        </w:tabs>
        <w:ind w:left="3600" w:hanging="360"/>
      </w:pPr>
      <w:rPr>
        <w:rFonts w:ascii="Courier New" w:hAnsi="Courier New" w:cs="Courier New" w:hint="default"/>
      </w:rPr>
    </w:lvl>
    <w:lvl w:ilvl="5" w:tplc="D318E920" w:tentative="1">
      <w:start w:val="1"/>
      <w:numFmt w:val="bullet"/>
      <w:lvlText w:val=""/>
      <w:lvlJc w:val="left"/>
      <w:pPr>
        <w:tabs>
          <w:tab w:val="num" w:pos="4320"/>
        </w:tabs>
        <w:ind w:left="4320" w:hanging="360"/>
      </w:pPr>
      <w:rPr>
        <w:rFonts w:ascii="Wingdings" w:hAnsi="Wingdings" w:hint="default"/>
      </w:rPr>
    </w:lvl>
    <w:lvl w:ilvl="6" w:tplc="FB28D698" w:tentative="1">
      <w:start w:val="1"/>
      <w:numFmt w:val="bullet"/>
      <w:lvlText w:val=""/>
      <w:lvlJc w:val="left"/>
      <w:pPr>
        <w:tabs>
          <w:tab w:val="num" w:pos="5040"/>
        </w:tabs>
        <w:ind w:left="5040" w:hanging="360"/>
      </w:pPr>
      <w:rPr>
        <w:rFonts w:ascii="Symbol" w:hAnsi="Symbol" w:hint="default"/>
      </w:rPr>
    </w:lvl>
    <w:lvl w:ilvl="7" w:tplc="33CA1FCA" w:tentative="1">
      <w:start w:val="1"/>
      <w:numFmt w:val="bullet"/>
      <w:lvlText w:val="o"/>
      <w:lvlJc w:val="left"/>
      <w:pPr>
        <w:tabs>
          <w:tab w:val="num" w:pos="5760"/>
        </w:tabs>
        <w:ind w:left="5760" w:hanging="360"/>
      </w:pPr>
      <w:rPr>
        <w:rFonts w:ascii="Courier New" w:hAnsi="Courier New" w:cs="Courier New" w:hint="default"/>
      </w:rPr>
    </w:lvl>
    <w:lvl w:ilvl="8" w:tplc="13564CB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974CD12">
      <w:start w:val="1"/>
      <w:numFmt w:val="decimal"/>
      <w:lvlText w:val="%1)"/>
      <w:lvlJc w:val="left"/>
      <w:pPr>
        <w:tabs>
          <w:tab w:val="num" w:pos="340"/>
        </w:tabs>
        <w:ind w:left="340" w:hanging="340"/>
      </w:pPr>
      <w:rPr>
        <w:rFonts w:hint="default"/>
      </w:rPr>
    </w:lvl>
    <w:lvl w:ilvl="1" w:tplc="B37E8852" w:tentative="1">
      <w:start w:val="1"/>
      <w:numFmt w:val="lowerLetter"/>
      <w:lvlText w:val="%2."/>
      <w:lvlJc w:val="left"/>
      <w:pPr>
        <w:tabs>
          <w:tab w:val="num" w:pos="1440"/>
        </w:tabs>
        <w:ind w:left="1440" w:hanging="360"/>
      </w:pPr>
    </w:lvl>
    <w:lvl w:ilvl="2" w:tplc="3D429DE0" w:tentative="1">
      <w:start w:val="1"/>
      <w:numFmt w:val="lowerRoman"/>
      <w:lvlText w:val="%3."/>
      <w:lvlJc w:val="right"/>
      <w:pPr>
        <w:tabs>
          <w:tab w:val="num" w:pos="2160"/>
        </w:tabs>
        <w:ind w:left="2160" w:hanging="180"/>
      </w:pPr>
    </w:lvl>
    <w:lvl w:ilvl="3" w:tplc="43208052" w:tentative="1">
      <w:start w:val="1"/>
      <w:numFmt w:val="decimal"/>
      <w:lvlText w:val="%4."/>
      <w:lvlJc w:val="left"/>
      <w:pPr>
        <w:tabs>
          <w:tab w:val="num" w:pos="2880"/>
        </w:tabs>
        <w:ind w:left="2880" w:hanging="360"/>
      </w:pPr>
    </w:lvl>
    <w:lvl w:ilvl="4" w:tplc="68ACF752" w:tentative="1">
      <w:start w:val="1"/>
      <w:numFmt w:val="lowerLetter"/>
      <w:lvlText w:val="%5."/>
      <w:lvlJc w:val="left"/>
      <w:pPr>
        <w:tabs>
          <w:tab w:val="num" w:pos="3600"/>
        </w:tabs>
        <w:ind w:left="3600" w:hanging="360"/>
      </w:pPr>
    </w:lvl>
    <w:lvl w:ilvl="5" w:tplc="C4C43486" w:tentative="1">
      <w:start w:val="1"/>
      <w:numFmt w:val="lowerRoman"/>
      <w:lvlText w:val="%6."/>
      <w:lvlJc w:val="right"/>
      <w:pPr>
        <w:tabs>
          <w:tab w:val="num" w:pos="4320"/>
        </w:tabs>
        <w:ind w:left="4320" w:hanging="180"/>
      </w:pPr>
    </w:lvl>
    <w:lvl w:ilvl="6" w:tplc="7882B44E" w:tentative="1">
      <w:start w:val="1"/>
      <w:numFmt w:val="decimal"/>
      <w:lvlText w:val="%7."/>
      <w:lvlJc w:val="left"/>
      <w:pPr>
        <w:tabs>
          <w:tab w:val="num" w:pos="5040"/>
        </w:tabs>
        <w:ind w:left="5040" w:hanging="360"/>
      </w:pPr>
    </w:lvl>
    <w:lvl w:ilvl="7" w:tplc="C636B0AC" w:tentative="1">
      <w:start w:val="1"/>
      <w:numFmt w:val="lowerLetter"/>
      <w:lvlText w:val="%8."/>
      <w:lvlJc w:val="left"/>
      <w:pPr>
        <w:tabs>
          <w:tab w:val="num" w:pos="5760"/>
        </w:tabs>
        <w:ind w:left="5760" w:hanging="360"/>
      </w:pPr>
    </w:lvl>
    <w:lvl w:ilvl="8" w:tplc="58FE669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E54C0FA">
      <w:start w:val="1"/>
      <w:numFmt w:val="decimal"/>
      <w:lvlText w:val="%1."/>
      <w:lvlJc w:val="left"/>
      <w:pPr>
        <w:tabs>
          <w:tab w:val="num" w:pos="1057"/>
        </w:tabs>
        <w:ind w:left="1057" w:hanging="360"/>
      </w:pPr>
      <w:rPr>
        <w:rFonts w:hint="default"/>
      </w:rPr>
    </w:lvl>
    <w:lvl w:ilvl="1" w:tplc="A9046A9E" w:tentative="1">
      <w:start w:val="1"/>
      <w:numFmt w:val="lowerLetter"/>
      <w:lvlText w:val="%2."/>
      <w:lvlJc w:val="left"/>
      <w:pPr>
        <w:tabs>
          <w:tab w:val="num" w:pos="2137"/>
        </w:tabs>
        <w:ind w:left="2137" w:hanging="360"/>
      </w:pPr>
    </w:lvl>
    <w:lvl w:ilvl="2" w:tplc="BEECE3C2" w:tentative="1">
      <w:start w:val="1"/>
      <w:numFmt w:val="lowerRoman"/>
      <w:lvlText w:val="%3."/>
      <w:lvlJc w:val="right"/>
      <w:pPr>
        <w:tabs>
          <w:tab w:val="num" w:pos="2857"/>
        </w:tabs>
        <w:ind w:left="2857" w:hanging="180"/>
      </w:pPr>
    </w:lvl>
    <w:lvl w:ilvl="3" w:tplc="12A0D724" w:tentative="1">
      <w:start w:val="1"/>
      <w:numFmt w:val="decimal"/>
      <w:lvlText w:val="%4."/>
      <w:lvlJc w:val="left"/>
      <w:pPr>
        <w:tabs>
          <w:tab w:val="num" w:pos="3577"/>
        </w:tabs>
        <w:ind w:left="3577" w:hanging="360"/>
      </w:pPr>
    </w:lvl>
    <w:lvl w:ilvl="4" w:tplc="16AAFD26" w:tentative="1">
      <w:start w:val="1"/>
      <w:numFmt w:val="lowerLetter"/>
      <w:lvlText w:val="%5."/>
      <w:lvlJc w:val="left"/>
      <w:pPr>
        <w:tabs>
          <w:tab w:val="num" w:pos="4297"/>
        </w:tabs>
        <w:ind w:left="4297" w:hanging="360"/>
      </w:pPr>
    </w:lvl>
    <w:lvl w:ilvl="5" w:tplc="63A08232" w:tentative="1">
      <w:start w:val="1"/>
      <w:numFmt w:val="lowerRoman"/>
      <w:lvlText w:val="%6."/>
      <w:lvlJc w:val="right"/>
      <w:pPr>
        <w:tabs>
          <w:tab w:val="num" w:pos="5017"/>
        </w:tabs>
        <w:ind w:left="5017" w:hanging="180"/>
      </w:pPr>
    </w:lvl>
    <w:lvl w:ilvl="6" w:tplc="3AFA03CA" w:tentative="1">
      <w:start w:val="1"/>
      <w:numFmt w:val="decimal"/>
      <w:lvlText w:val="%7."/>
      <w:lvlJc w:val="left"/>
      <w:pPr>
        <w:tabs>
          <w:tab w:val="num" w:pos="5737"/>
        </w:tabs>
        <w:ind w:left="5737" w:hanging="360"/>
      </w:pPr>
    </w:lvl>
    <w:lvl w:ilvl="7" w:tplc="C3A05C46" w:tentative="1">
      <w:start w:val="1"/>
      <w:numFmt w:val="lowerLetter"/>
      <w:lvlText w:val="%8."/>
      <w:lvlJc w:val="left"/>
      <w:pPr>
        <w:tabs>
          <w:tab w:val="num" w:pos="6457"/>
        </w:tabs>
        <w:ind w:left="6457" w:hanging="360"/>
      </w:pPr>
    </w:lvl>
    <w:lvl w:ilvl="8" w:tplc="712AC2A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282D8A4">
      <w:start w:val="1"/>
      <w:numFmt w:val="decimal"/>
      <w:pStyle w:val="ATSNumber1"/>
      <w:lvlText w:val="%1)"/>
      <w:lvlJc w:val="left"/>
      <w:pPr>
        <w:tabs>
          <w:tab w:val="num" w:pos="720"/>
        </w:tabs>
        <w:ind w:left="720" w:hanging="360"/>
      </w:pPr>
    </w:lvl>
    <w:lvl w:ilvl="1" w:tplc="8EF6F460">
      <w:start w:val="1"/>
      <w:numFmt w:val="lowerLetter"/>
      <w:lvlText w:val="%2."/>
      <w:lvlJc w:val="left"/>
      <w:pPr>
        <w:tabs>
          <w:tab w:val="num" w:pos="1440"/>
        </w:tabs>
        <w:ind w:left="1440" w:hanging="360"/>
      </w:pPr>
    </w:lvl>
    <w:lvl w:ilvl="2" w:tplc="A7060B1C">
      <w:start w:val="1"/>
      <w:numFmt w:val="lowerRoman"/>
      <w:lvlText w:val="%3."/>
      <w:lvlJc w:val="right"/>
      <w:pPr>
        <w:tabs>
          <w:tab w:val="num" w:pos="2160"/>
        </w:tabs>
        <w:ind w:left="2160" w:hanging="180"/>
      </w:pPr>
    </w:lvl>
    <w:lvl w:ilvl="3" w:tplc="91A05592" w:tentative="1">
      <w:start w:val="1"/>
      <w:numFmt w:val="decimal"/>
      <w:lvlText w:val="%4."/>
      <w:lvlJc w:val="left"/>
      <w:pPr>
        <w:tabs>
          <w:tab w:val="num" w:pos="2880"/>
        </w:tabs>
        <w:ind w:left="2880" w:hanging="360"/>
      </w:pPr>
    </w:lvl>
    <w:lvl w:ilvl="4" w:tplc="3DF41ABE" w:tentative="1">
      <w:start w:val="1"/>
      <w:numFmt w:val="lowerLetter"/>
      <w:lvlText w:val="%5."/>
      <w:lvlJc w:val="left"/>
      <w:pPr>
        <w:tabs>
          <w:tab w:val="num" w:pos="3600"/>
        </w:tabs>
        <w:ind w:left="3600" w:hanging="360"/>
      </w:pPr>
    </w:lvl>
    <w:lvl w:ilvl="5" w:tplc="49824F5A" w:tentative="1">
      <w:start w:val="1"/>
      <w:numFmt w:val="lowerRoman"/>
      <w:lvlText w:val="%6."/>
      <w:lvlJc w:val="right"/>
      <w:pPr>
        <w:tabs>
          <w:tab w:val="num" w:pos="4320"/>
        </w:tabs>
        <w:ind w:left="4320" w:hanging="180"/>
      </w:pPr>
    </w:lvl>
    <w:lvl w:ilvl="6" w:tplc="8C8C3D26" w:tentative="1">
      <w:start w:val="1"/>
      <w:numFmt w:val="decimal"/>
      <w:lvlText w:val="%7."/>
      <w:lvlJc w:val="left"/>
      <w:pPr>
        <w:tabs>
          <w:tab w:val="num" w:pos="5040"/>
        </w:tabs>
        <w:ind w:left="5040" w:hanging="360"/>
      </w:pPr>
    </w:lvl>
    <w:lvl w:ilvl="7" w:tplc="34BC88F6" w:tentative="1">
      <w:start w:val="1"/>
      <w:numFmt w:val="lowerLetter"/>
      <w:lvlText w:val="%8."/>
      <w:lvlJc w:val="left"/>
      <w:pPr>
        <w:tabs>
          <w:tab w:val="num" w:pos="5760"/>
        </w:tabs>
        <w:ind w:left="5760" w:hanging="360"/>
      </w:pPr>
    </w:lvl>
    <w:lvl w:ilvl="8" w:tplc="E12E522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B2ED57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FBED93E" w:tentative="1">
      <w:start w:val="1"/>
      <w:numFmt w:val="bullet"/>
      <w:lvlText w:val="o"/>
      <w:lvlJc w:val="left"/>
      <w:pPr>
        <w:tabs>
          <w:tab w:val="num" w:pos="2517"/>
        </w:tabs>
        <w:ind w:left="2517" w:hanging="360"/>
      </w:pPr>
      <w:rPr>
        <w:rFonts w:ascii="Courier New" w:hAnsi="Courier New" w:cs="Courier New" w:hint="default"/>
      </w:rPr>
    </w:lvl>
    <w:lvl w:ilvl="2" w:tplc="992E199C" w:tentative="1">
      <w:start w:val="1"/>
      <w:numFmt w:val="bullet"/>
      <w:lvlText w:val=""/>
      <w:lvlJc w:val="left"/>
      <w:pPr>
        <w:tabs>
          <w:tab w:val="num" w:pos="3237"/>
        </w:tabs>
        <w:ind w:left="3237" w:hanging="360"/>
      </w:pPr>
      <w:rPr>
        <w:rFonts w:ascii="Wingdings" w:hAnsi="Wingdings" w:hint="default"/>
      </w:rPr>
    </w:lvl>
    <w:lvl w:ilvl="3" w:tplc="FC724092" w:tentative="1">
      <w:start w:val="1"/>
      <w:numFmt w:val="bullet"/>
      <w:lvlText w:val=""/>
      <w:lvlJc w:val="left"/>
      <w:pPr>
        <w:tabs>
          <w:tab w:val="num" w:pos="3957"/>
        </w:tabs>
        <w:ind w:left="3957" w:hanging="360"/>
      </w:pPr>
      <w:rPr>
        <w:rFonts w:ascii="Symbol" w:hAnsi="Symbol" w:hint="default"/>
      </w:rPr>
    </w:lvl>
    <w:lvl w:ilvl="4" w:tplc="B6CC1FEC" w:tentative="1">
      <w:start w:val="1"/>
      <w:numFmt w:val="bullet"/>
      <w:lvlText w:val="o"/>
      <w:lvlJc w:val="left"/>
      <w:pPr>
        <w:tabs>
          <w:tab w:val="num" w:pos="4677"/>
        </w:tabs>
        <w:ind w:left="4677" w:hanging="360"/>
      </w:pPr>
      <w:rPr>
        <w:rFonts w:ascii="Courier New" w:hAnsi="Courier New" w:cs="Courier New" w:hint="default"/>
      </w:rPr>
    </w:lvl>
    <w:lvl w:ilvl="5" w:tplc="FB7ECC08" w:tentative="1">
      <w:start w:val="1"/>
      <w:numFmt w:val="bullet"/>
      <w:lvlText w:val=""/>
      <w:lvlJc w:val="left"/>
      <w:pPr>
        <w:tabs>
          <w:tab w:val="num" w:pos="5397"/>
        </w:tabs>
        <w:ind w:left="5397" w:hanging="360"/>
      </w:pPr>
      <w:rPr>
        <w:rFonts w:ascii="Wingdings" w:hAnsi="Wingdings" w:hint="default"/>
      </w:rPr>
    </w:lvl>
    <w:lvl w:ilvl="6" w:tplc="E4B2147C" w:tentative="1">
      <w:start w:val="1"/>
      <w:numFmt w:val="bullet"/>
      <w:lvlText w:val=""/>
      <w:lvlJc w:val="left"/>
      <w:pPr>
        <w:tabs>
          <w:tab w:val="num" w:pos="6117"/>
        </w:tabs>
        <w:ind w:left="6117" w:hanging="360"/>
      </w:pPr>
      <w:rPr>
        <w:rFonts w:ascii="Symbol" w:hAnsi="Symbol" w:hint="default"/>
      </w:rPr>
    </w:lvl>
    <w:lvl w:ilvl="7" w:tplc="5CEE955A" w:tentative="1">
      <w:start w:val="1"/>
      <w:numFmt w:val="bullet"/>
      <w:lvlText w:val="o"/>
      <w:lvlJc w:val="left"/>
      <w:pPr>
        <w:tabs>
          <w:tab w:val="num" w:pos="6837"/>
        </w:tabs>
        <w:ind w:left="6837" w:hanging="360"/>
      </w:pPr>
      <w:rPr>
        <w:rFonts w:ascii="Courier New" w:hAnsi="Courier New" w:cs="Courier New" w:hint="default"/>
      </w:rPr>
    </w:lvl>
    <w:lvl w:ilvl="8" w:tplc="1DE8A79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2ECC8DF6">
      <w:start w:val="1"/>
      <w:numFmt w:val="decimal"/>
      <w:pStyle w:val="ATSNumber2"/>
      <w:lvlText w:val="%1."/>
      <w:lvlJc w:val="left"/>
      <w:pPr>
        <w:tabs>
          <w:tab w:val="num" w:pos="720"/>
        </w:tabs>
        <w:ind w:left="720" w:hanging="360"/>
      </w:pPr>
      <w:rPr>
        <w:rFonts w:hint="default"/>
      </w:rPr>
    </w:lvl>
    <w:lvl w:ilvl="1" w:tplc="B62C4C3E" w:tentative="1">
      <w:start w:val="1"/>
      <w:numFmt w:val="lowerLetter"/>
      <w:lvlText w:val="%2."/>
      <w:lvlJc w:val="left"/>
      <w:pPr>
        <w:tabs>
          <w:tab w:val="num" w:pos="1440"/>
        </w:tabs>
        <w:ind w:left="1440" w:hanging="360"/>
      </w:pPr>
    </w:lvl>
    <w:lvl w:ilvl="2" w:tplc="41B0615A" w:tentative="1">
      <w:start w:val="1"/>
      <w:numFmt w:val="lowerRoman"/>
      <w:lvlText w:val="%3."/>
      <w:lvlJc w:val="right"/>
      <w:pPr>
        <w:tabs>
          <w:tab w:val="num" w:pos="2160"/>
        </w:tabs>
        <w:ind w:left="2160" w:hanging="180"/>
      </w:pPr>
    </w:lvl>
    <w:lvl w:ilvl="3" w:tplc="389E5A24" w:tentative="1">
      <w:start w:val="1"/>
      <w:numFmt w:val="decimal"/>
      <w:lvlText w:val="%4."/>
      <w:lvlJc w:val="left"/>
      <w:pPr>
        <w:tabs>
          <w:tab w:val="num" w:pos="2880"/>
        </w:tabs>
        <w:ind w:left="2880" w:hanging="360"/>
      </w:pPr>
    </w:lvl>
    <w:lvl w:ilvl="4" w:tplc="A7061CAC" w:tentative="1">
      <w:start w:val="1"/>
      <w:numFmt w:val="lowerLetter"/>
      <w:lvlText w:val="%5."/>
      <w:lvlJc w:val="left"/>
      <w:pPr>
        <w:tabs>
          <w:tab w:val="num" w:pos="3600"/>
        </w:tabs>
        <w:ind w:left="3600" w:hanging="360"/>
      </w:pPr>
    </w:lvl>
    <w:lvl w:ilvl="5" w:tplc="61CC4446" w:tentative="1">
      <w:start w:val="1"/>
      <w:numFmt w:val="lowerRoman"/>
      <w:lvlText w:val="%6."/>
      <w:lvlJc w:val="right"/>
      <w:pPr>
        <w:tabs>
          <w:tab w:val="num" w:pos="4320"/>
        </w:tabs>
        <w:ind w:left="4320" w:hanging="180"/>
      </w:pPr>
    </w:lvl>
    <w:lvl w:ilvl="6" w:tplc="8C645558" w:tentative="1">
      <w:start w:val="1"/>
      <w:numFmt w:val="decimal"/>
      <w:lvlText w:val="%7."/>
      <w:lvlJc w:val="left"/>
      <w:pPr>
        <w:tabs>
          <w:tab w:val="num" w:pos="5040"/>
        </w:tabs>
        <w:ind w:left="5040" w:hanging="360"/>
      </w:pPr>
    </w:lvl>
    <w:lvl w:ilvl="7" w:tplc="A8A06CAE" w:tentative="1">
      <w:start w:val="1"/>
      <w:numFmt w:val="lowerLetter"/>
      <w:lvlText w:val="%8."/>
      <w:lvlJc w:val="left"/>
      <w:pPr>
        <w:tabs>
          <w:tab w:val="num" w:pos="5760"/>
        </w:tabs>
        <w:ind w:left="5760" w:hanging="360"/>
      </w:pPr>
    </w:lvl>
    <w:lvl w:ilvl="8" w:tplc="DFC887B0" w:tentative="1">
      <w:start w:val="1"/>
      <w:numFmt w:val="lowerRoman"/>
      <w:lvlText w:val="%9."/>
      <w:lvlJc w:val="right"/>
      <w:pPr>
        <w:tabs>
          <w:tab w:val="num" w:pos="6480"/>
        </w:tabs>
        <w:ind w:left="6480" w:hanging="180"/>
      </w:pPr>
    </w:lvl>
  </w:abstractNum>
  <w:num w:numId="1" w16cid:durableId="1928229315">
    <w:abstractNumId w:val="9"/>
  </w:num>
  <w:num w:numId="2" w16cid:durableId="522204546">
    <w:abstractNumId w:val="7"/>
  </w:num>
  <w:num w:numId="3" w16cid:durableId="1813063658">
    <w:abstractNumId w:val="6"/>
  </w:num>
  <w:num w:numId="4" w16cid:durableId="1983002717">
    <w:abstractNumId w:val="5"/>
  </w:num>
  <w:num w:numId="5" w16cid:durableId="2079747445">
    <w:abstractNumId w:val="4"/>
  </w:num>
  <w:num w:numId="6" w16cid:durableId="656151946">
    <w:abstractNumId w:val="8"/>
  </w:num>
  <w:num w:numId="7" w16cid:durableId="438913506">
    <w:abstractNumId w:val="3"/>
  </w:num>
  <w:num w:numId="8" w16cid:durableId="1196886294">
    <w:abstractNumId w:val="2"/>
  </w:num>
  <w:num w:numId="9" w16cid:durableId="1191339197">
    <w:abstractNumId w:val="1"/>
  </w:num>
  <w:num w:numId="10" w16cid:durableId="239799478">
    <w:abstractNumId w:val="0"/>
  </w:num>
  <w:num w:numId="11" w16cid:durableId="1152873150">
    <w:abstractNumId w:val="11"/>
  </w:num>
  <w:num w:numId="12" w16cid:durableId="1384983609">
    <w:abstractNumId w:val="15"/>
  </w:num>
  <w:num w:numId="13" w16cid:durableId="1750271225">
    <w:abstractNumId w:val="14"/>
  </w:num>
  <w:num w:numId="14" w16cid:durableId="887960319">
    <w:abstractNumId w:val="12"/>
  </w:num>
  <w:num w:numId="15" w16cid:durableId="687145226">
    <w:abstractNumId w:val="13"/>
  </w:num>
  <w:num w:numId="16" w16cid:durableId="1811707381">
    <w:abstractNumId w:val="10"/>
  </w:num>
  <w:num w:numId="17" w16cid:durableId="855196515">
    <w:abstractNumId w:val="11"/>
  </w:num>
  <w:num w:numId="18" w16cid:durableId="1635015623">
    <w:abstractNumId w:val="15"/>
  </w:num>
  <w:num w:numId="19" w16cid:durableId="1823427173">
    <w:abstractNumId w:val="14"/>
  </w:num>
  <w:num w:numId="20" w16cid:durableId="1979989517">
    <w:abstractNumId w:val="16"/>
  </w:num>
  <w:num w:numId="21" w16cid:durableId="1794866395">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54"/>
    <w:rsid w:val="00516A54"/>
    <w:rsid w:val="005C520D"/>
    <w:rsid w:val="00863356"/>
    <w:rsid w:val="00A575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5CDC3"/>
  <w15:chartTrackingRefBased/>
  <w15:docId w15:val="{C98DCFAD-3C0C-42C8-BAB4-B56B0EF6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A57583"/>
    <w:rPr>
      <w:sz w:val="22"/>
      <w:szCs w:val="24"/>
      <w:lang w:val="en-GB" w:eastAsia="en-GB"/>
    </w:rPr>
  </w:style>
  <w:style w:type="paragraph" w:customStyle="1" w:styleId="Default">
    <w:name w:val="Default"/>
    <w:rsid w:val="00A57583"/>
    <w:pPr>
      <w:autoSpaceDE w:val="0"/>
      <w:autoSpaceDN w:val="0"/>
      <w:adjustRightInd w:val="0"/>
    </w:pPr>
    <w:rPr>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936</Words>
  <Characters>4994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2023-05-22T19:42:00Z</dcterms:modified>
</cp:coreProperties>
</file>