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2599" w14:textId="77777777" w:rsidR="00C26F2D" w:rsidRPr="00BF077B" w:rsidRDefault="00CC1521" w:rsidP="00BF077B">
      <w:pPr>
        <w:pStyle w:val="ATSNormal"/>
        <w:rPr>
          <w:rStyle w:val="Ttulodellibro"/>
        </w:rPr>
      </w:pPr>
    </w:p>
    <w:p w14:paraId="2FDD3101" w14:textId="77777777" w:rsidR="002F0A13" w:rsidRDefault="00CC1521" w:rsidP="004B4A60">
      <w:pPr>
        <w:rPr>
          <w:b/>
          <w:u w:val="single"/>
          <w:lang w:val="es-ES_tradnl"/>
        </w:rPr>
      </w:pPr>
    </w:p>
    <w:p w14:paraId="53ADC5B5" w14:textId="77777777" w:rsidR="002F0A13" w:rsidRDefault="00CC1521" w:rsidP="004B4A60">
      <w:pPr>
        <w:rPr>
          <w:b/>
          <w:u w:val="single"/>
          <w:lang w:val="es-ES_tradnl"/>
        </w:rPr>
      </w:pPr>
    </w:p>
    <w:p w14:paraId="4C86A27F" w14:textId="77777777" w:rsidR="002F0A13" w:rsidRDefault="00CC1521" w:rsidP="004B4A60">
      <w:pPr>
        <w:rPr>
          <w:b/>
          <w:u w:val="single"/>
          <w:lang w:val="es-ES_tradnl"/>
        </w:rPr>
      </w:pPr>
    </w:p>
    <w:p w14:paraId="6414B1A2" w14:textId="77777777" w:rsidR="002F0A13" w:rsidRDefault="00CC1521" w:rsidP="004B4A60">
      <w:pPr>
        <w:rPr>
          <w:b/>
          <w:u w:val="single"/>
          <w:lang w:val="es-ES_tradnl"/>
        </w:rPr>
      </w:pPr>
    </w:p>
    <w:p w14:paraId="08EF8958" w14:textId="77777777" w:rsidR="00C26F2D" w:rsidRDefault="00CC1521" w:rsidP="004B4A60">
      <w:pPr>
        <w:rPr>
          <w:b/>
          <w:u w:val="single"/>
          <w:lang w:val="es-ES_tradnl"/>
        </w:rPr>
      </w:pPr>
    </w:p>
    <w:p w14:paraId="6874A140" w14:textId="77777777" w:rsidR="004B4A60" w:rsidRPr="0057246E" w:rsidRDefault="00CC1521" w:rsidP="001B789F">
      <w:pPr>
        <w:pStyle w:val="ATSTitle"/>
      </w:pPr>
      <w:bookmarkStart w:id="0" w:name="name"/>
      <w:r>
        <w:t>Infrastructure supporting tourism and other non-governmental activities in Antarctica</w:t>
      </w:r>
      <w:bookmarkEnd w:id="0"/>
    </w:p>
    <w:p w14:paraId="5D5AFB80" w14:textId="77777777" w:rsidR="004B4A60" w:rsidRPr="0057246E" w:rsidRDefault="00CC1521" w:rsidP="00F75424">
      <w:pPr>
        <w:jc w:val="center"/>
      </w:pPr>
    </w:p>
    <w:p w14:paraId="066F42E2" w14:textId="77777777" w:rsidR="004B4A60" w:rsidRPr="002F0A13" w:rsidRDefault="00CC1521" w:rsidP="002F0A13"/>
    <w:p w14:paraId="7565825C" w14:textId="77777777" w:rsidR="004B4A60" w:rsidRDefault="00CC1521" w:rsidP="00F75424">
      <w:pPr>
        <w:jc w:val="center"/>
      </w:pPr>
      <w:bookmarkStart w:id="1" w:name="memo"/>
      <w:bookmarkEnd w:id="1"/>
    </w:p>
    <w:p w14:paraId="5246EE58" w14:textId="77777777" w:rsidR="0097629D" w:rsidRDefault="00CC1521" w:rsidP="00F75424">
      <w:pPr>
        <w:jc w:val="center"/>
      </w:pPr>
    </w:p>
    <w:p w14:paraId="0632879B" w14:textId="77777777" w:rsidR="0097629D" w:rsidRDefault="00CC1521" w:rsidP="00F75424">
      <w:pPr>
        <w:jc w:val="center"/>
      </w:pPr>
    </w:p>
    <w:p w14:paraId="5B88EC6B" w14:textId="77777777" w:rsidR="0097629D" w:rsidRDefault="00CC1521" w:rsidP="00F75424">
      <w:pPr>
        <w:jc w:val="center"/>
      </w:pPr>
    </w:p>
    <w:p w14:paraId="2EE2BE08" w14:textId="77777777" w:rsidR="0097629D" w:rsidRPr="00C26F2D" w:rsidRDefault="00CC1521" w:rsidP="00F75424">
      <w:pPr>
        <w:jc w:val="center"/>
      </w:pPr>
    </w:p>
    <w:p w14:paraId="4BA107BB" w14:textId="77777777" w:rsidR="004B4A60" w:rsidRPr="0057246E" w:rsidRDefault="00CC1521" w:rsidP="004B4A60"/>
    <w:p w14:paraId="7BB26E11" w14:textId="77777777" w:rsidR="00C26F2D" w:rsidRDefault="00CC1521" w:rsidP="00952E9F">
      <w:pPr>
        <w:sectPr w:rsidR="00C26F2D" w:rsidSect="00D5023C">
          <w:headerReference w:type="default" r:id="rId8"/>
          <w:footerReference w:type="even" r:id="rId9"/>
          <w:footerReference w:type="default" r:id="rId10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073579EA" w14:textId="683B3321" w:rsidR="004B4A60" w:rsidRDefault="00CC1521" w:rsidP="00952E9F"/>
    <w:p w14:paraId="5454E3B0" w14:textId="77777777" w:rsidR="00CC1521" w:rsidRPr="00DE77E5" w:rsidRDefault="00CC1521" w:rsidP="00CC1521">
      <w:pPr>
        <w:pStyle w:val="ATSHeading1"/>
      </w:pPr>
      <w:r>
        <w:t xml:space="preserve">Infrastructure supporting tourism and other non-governmental activities in </w:t>
      </w:r>
      <w:proofErr w:type="gramStart"/>
      <w:r>
        <w:t>Antarctica</w:t>
      </w:r>
      <w:proofErr w:type="gramEnd"/>
    </w:p>
    <w:p w14:paraId="57AFB5CC" w14:textId="77777777" w:rsidR="00CC1521" w:rsidRDefault="00CC1521" w:rsidP="00CC1521">
      <w:pPr>
        <w:pStyle w:val="ATSHeading2"/>
      </w:pPr>
    </w:p>
    <w:p w14:paraId="0ADE2B4E" w14:textId="59DAC736" w:rsidR="00CC1521" w:rsidRPr="00CC1521" w:rsidRDefault="00CC1521" w:rsidP="00CC1521">
      <w:pPr>
        <w:spacing w:line="276" w:lineRule="auto"/>
        <w:ind w:left="360"/>
        <w:contextualSpacing/>
        <w:jc w:val="both"/>
        <w:rPr>
          <w:b/>
          <w:szCs w:val="22"/>
        </w:rPr>
      </w:pPr>
      <w:bookmarkStart w:id="8" w:name="_Toc240949337"/>
      <w:bookmarkStart w:id="9" w:name="_Toc95477549"/>
      <w:r w:rsidRPr="00CC1521">
        <w:rPr>
          <w:b/>
          <w:szCs w:val="22"/>
        </w:rPr>
        <w:t>Summary</w:t>
      </w:r>
    </w:p>
    <w:p w14:paraId="391952A3" w14:textId="77777777" w:rsidR="00CC1521" w:rsidRPr="00B15172" w:rsidRDefault="00CC1521" w:rsidP="00CC1521">
      <w:pPr>
        <w:spacing w:line="276" w:lineRule="auto"/>
        <w:rPr>
          <w:b/>
          <w:bCs/>
          <w:szCs w:val="22"/>
          <w:lang w:val="en-US"/>
        </w:rPr>
      </w:pPr>
    </w:p>
    <w:p w14:paraId="082FFACC" w14:textId="77777777" w:rsidR="00CC1521" w:rsidRPr="00880D72" w:rsidRDefault="00CC1521" w:rsidP="00CC1521">
      <w:pPr>
        <w:spacing w:line="276" w:lineRule="auto"/>
        <w:rPr>
          <w:szCs w:val="22"/>
          <w:lang w:val="en-US"/>
        </w:rPr>
      </w:pPr>
      <w:r w:rsidRPr="00880D72">
        <w:rPr>
          <w:szCs w:val="22"/>
          <w:lang w:val="en-US"/>
        </w:rPr>
        <w:t xml:space="preserve">ATCM XLIV (§ 229 of the Final Report) agreed to continue an Intersessional Contact Group (ICG) on permanent facilities for tourism and other non-governmental activities in Antarctica. In three rounds of discussions, the ICG made an inventory of existing permanent and semi-permanent infrastructure currently used or co-used for tourism and other non-governmental activities, exchanged views on possible concerns relating to such facilities and discussed the question of whether the ATCM should </w:t>
      </w:r>
      <w:proofErr w:type="gramStart"/>
      <w:r w:rsidRPr="00880D72">
        <w:rPr>
          <w:szCs w:val="22"/>
          <w:lang w:val="en-US"/>
        </w:rPr>
        <w:t>take action</w:t>
      </w:r>
      <w:proofErr w:type="gramEnd"/>
      <w:r w:rsidRPr="00880D72">
        <w:rPr>
          <w:szCs w:val="22"/>
          <w:lang w:val="en-US"/>
        </w:rPr>
        <w:t xml:space="preserve"> on the issue. Th</w:t>
      </w:r>
      <w:r>
        <w:rPr>
          <w:szCs w:val="22"/>
          <w:lang w:val="en-US"/>
        </w:rPr>
        <w:t>e</w:t>
      </w:r>
      <w:r w:rsidRPr="00880D72">
        <w:rPr>
          <w:szCs w:val="22"/>
          <w:lang w:val="en-US"/>
        </w:rPr>
        <w:t xml:space="preserve"> report </w:t>
      </w:r>
      <w:r>
        <w:rPr>
          <w:szCs w:val="22"/>
          <w:lang w:val="en-US"/>
        </w:rPr>
        <w:t>of the ICG is an attachment to this WP and should be considered together with the proposal for a</w:t>
      </w:r>
      <w:r w:rsidRPr="00880D72">
        <w:rPr>
          <w:szCs w:val="22"/>
          <w:lang w:val="en-US"/>
        </w:rPr>
        <w:t xml:space="preserve"> draft Resolution text </w:t>
      </w:r>
      <w:r>
        <w:rPr>
          <w:szCs w:val="22"/>
          <w:lang w:val="en-US"/>
        </w:rPr>
        <w:t>in this WP</w:t>
      </w:r>
      <w:r w:rsidRPr="00880D72">
        <w:rPr>
          <w:szCs w:val="22"/>
          <w:lang w:val="en-US"/>
        </w:rPr>
        <w:t>.</w:t>
      </w:r>
    </w:p>
    <w:p w14:paraId="33B52513" w14:textId="77777777" w:rsidR="00CC1521" w:rsidRPr="00880D72" w:rsidRDefault="00CC1521" w:rsidP="00CC1521">
      <w:pPr>
        <w:spacing w:line="276" w:lineRule="auto"/>
        <w:rPr>
          <w:szCs w:val="22"/>
          <w:lang w:val="en-US"/>
        </w:rPr>
      </w:pPr>
    </w:p>
    <w:p w14:paraId="475C0FE3" w14:textId="77777777" w:rsidR="00CC1521" w:rsidRPr="00880D72" w:rsidRDefault="00CC1521" w:rsidP="00CC1521">
      <w:pPr>
        <w:pStyle w:val="Prrafodelista"/>
        <w:numPr>
          <w:ilvl w:val="0"/>
          <w:numId w:val="21"/>
        </w:numPr>
        <w:spacing w:line="276" w:lineRule="auto"/>
        <w:contextualSpacing/>
        <w:jc w:val="both"/>
        <w:rPr>
          <w:b/>
          <w:szCs w:val="22"/>
        </w:rPr>
      </w:pPr>
      <w:r w:rsidRPr="00880D72">
        <w:rPr>
          <w:b/>
          <w:szCs w:val="22"/>
        </w:rPr>
        <w:t>Introduction</w:t>
      </w:r>
    </w:p>
    <w:p w14:paraId="31DA43F8" w14:textId="77777777" w:rsidR="00CC1521" w:rsidRPr="00880D72" w:rsidRDefault="00CC1521" w:rsidP="00CC1521">
      <w:pPr>
        <w:spacing w:line="276" w:lineRule="auto"/>
        <w:contextualSpacing/>
        <w:jc w:val="both"/>
        <w:rPr>
          <w:b/>
          <w:szCs w:val="22"/>
        </w:rPr>
      </w:pPr>
    </w:p>
    <w:p w14:paraId="1D6E4608" w14:textId="77777777" w:rsidR="00CC1521" w:rsidRDefault="00CC1521" w:rsidP="00CC1521">
      <w:pPr>
        <w:spacing w:line="276" w:lineRule="auto"/>
        <w:rPr>
          <w:szCs w:val="22"/>
          <w:lang w:val="en-US"/>
        </w:rPr>
      </w:pPr>
      <w:r w:rsidRPr="00880D72">
        <w:rPr>
          <w:szCs w:val="22"/>
          <w:lang w:val="en-US"/>
        </w:rPr>
        <w:t xml:space="preserve">During the 2021-22 ICG and ATCM XLIV several Parties and experts noted, that where Resolution 5 (2022) focuses on preventing the construction and/or exploitation of permanent infrastructure used exclusively for tourism and other non-governmental activities </w:t>
      </w:r>
      <w:r w:rsidRPr="00880D72">
        <w:rPr>
          <w:iCs/>
          <w:szCs w:val="22"/>
          <w:lang w:val="en-US"/>
        </w:rPr>
        <w:t>over multiple</w:t>
      </w:r>
      <w:r w:rsidRPr="00880D72">
        <w:rPr>
          <w:szCs w:val="22"/>
          <w:lang w:val="en-US"/>
        </w:rPr>
        <w:t xml:space="preserve"> seasons, the broader issue </w:t>
      </w:r>
      <w:proofErr w:type="gramStart"/>
      <w:r w:rsidRPr="00880D72">
        <w:rPr>
          <w:szCs w:val="22"/>
          <w:lang w:val="en-US"/>
        </w:rPr>
        <w:t>of  infrastructure</w:t>
      </w:r>
      <w:proofErr w:type="gramEnd"/>
      <w:r w:rsidRPr="00880D72">
        <w:rPr>
          <w:szCs w:val="22"/>
          <w:lang w:val="en-US"/>
        </w:rPr>
        <w:t xml:space="preserve"> supporting tourism and other non-governmental activities deserves further discussion. Therefore, ATCM XLIV decided that the ICG should continue its work to address this issue</w:t>
      </w:r>
      <w:r>
        <w:rPr>
          <w:szCs w:val="22"/>
          <w:lang w:val="en-US"/>
        </w:rPr>
        <w:t>.</w:t>
      </w:r>
    </w:p>
    <w:p w14:paraId="2A815894" w14:textId="77777777" w:rsidR="00CC1521" w:rsidRDefault="00CC1521" w:rsidP="00CC1521">
      <w:pPr>
        <w:spacing w:line="276" w:lineRule="auto"/>
        <w:rPr>
          <w:szCs w:val="22"/>
          <w:lang w:val="en-US"/>
        </w:rPr>
      </w:pPr>
    </w:p>
    <w:p w14:paraId="3F2FFE08" w14:textId="77777777" w:rsidR="00CC1521" w:rsidRDefault="00CC1521" w:rsidP="00CC1521">
      <w:pPr>
        <w:spacing w:line="276" w:lineRule="auto"/>
        <w:rPr>
          <w:color w:val="000000" w:themeColor="text1"/>
          <w:szCs w:val="22"/>
          <w:lang w:eastAsia="nl-NL"/>
        </w:rPr>
      </w:pPr>
      <w:r w:rsidRPr="00880D72">
        <w:rPr>
          <w:color w:val="000000" w:themeColor="text1"/>
          <w:szCs w:val="22"/>
        </w:rPr>
        <w:t>Th</w:t>
      </w:r>
      <w:r>
        <w:rPr>
          <w:color w:val="000000" w:themeColor="text1"/>
          <w:szCs w:val="22"/>
        </w:rPr>
        <w:t>e</w:t>
      </w:r>
      <w:r w:rsidRPr="00880D72">
        <w:rPr>
          <w:color w:val="000000" w:themeColor="text1"/>
          <w:szCs w:val="22"/>
        </w:rPr>
        <w:t xml:space="preserve"> report</w:t>
      </w:r>
      <w:r>
        <w:rPr>
          <w:color w:val="000000" w:themeColor="text1"/>
          <w:szCs w:val="22"/>
        </w:rPr>
        <w:t xml:space="preserve"> attached to this WP </w:t>
      </w:r>
      <w:r w:rsidRPr="00880D72">
        <w:rPr>
          <w:color w:val="000000" w:themeColor="text1"/>
          <w:szCs w:val="22"/>
        </w:rPr>
        <w:t xml:space="preserve">summarises the lively and productive discussions, to which a large number of </w:t>
      </w:r>
      <w:r>
        <w:rPr>
          <w:color w:val="000000" w:themeColor="text1"/>
          <w:szCs w:val="22"/>
        </w:rPr>
        <w:t xml:space="preserve">Parties and experts </w:t>
      </w:r>
      <w:proofErr w:type="gramStart"/>
      <w:r w:rsidRPr="00880D72">
        <w:rPr>
          <w:color w:val="000000" w:themeColor="text1"/>
          <w:szCs w:val="22"/>
        </w:rPr>
        <w:t>contributed</w:t>
      </w:r>
      <w:r>
        <w:rPr>
          <w:color w:val="000000" w:themeColor="text1"/>
          <w:szCs w:val="22"/>
        </w:rPr>
        <w:t xml:space="preserve"> :</w:t>
      </w:r>
      <w:proofErr w:type="gramEnd"/>
      <w:r>
        <w:rPr>
          <w:color w:val="000000" w:themeColor="text1"/>
          <w:szCs w:val="22"/>
        </w:rPr>
        <w:t xml:space="preserve"> Argentina, </w:t>
      </w:r>
      <w:r w:rsidRPr="00880D72">
        <w:rPr>
          <w:color w:val="000000" w:themeColor="text1"/>
          <w:szCs w:val="22"/>
          <w:lang w:eastAsia="nl-NL"/>
        </w:rPr>
        <w:t xml:space="preserve">Australia, Belgium, </w:t>
      </w:r>
      <w:r>
        <w:rPr>
          <w:color w:val="000000" w:themeColor="text1"/>
          <w:szCs w:val="22"/>
          <w:lang w:eastAsia="nl-NL"/>
        </w:rPr>
        <w:t xml:space="preserve">Chile, </w:t>
      </w:r>
      <w:r w:rsidRPr="00880D72">
        <w:rPr>
          <w:color w:val="000000" w:themeColor="text1"/>
          <w:szCs w:val="22"/>
          <w:lang w:eastAsia="nl-NL"/>
        </w:rPr>
        <w:t xml:space="preserve">France, Germany, Norway, United Kingdom, United States of America, ASOC and IAATO. </w:t>
      </w:r>
    </w:p>
    <w:p w14:paraId="2F3151B3" w14:textId="77777777" w:rsidR="00CC1521" w:rsidRDefault="00CC1521" w:rsidP="00CC1521">
      <w:pPr>
        <w:spacing w:line="276" w:lineRule="auto"/>
        <w:rPr>
          <w:color w:val="000000" w:themeColor="text1"/>
          <w:szCs w:val="22"/>
          <w:lang w:eastAsia="nl-NL"/>
        </w:rPr>
      </w:pPr>
    </w:p>
    <w:p w14:paraId="1217FCDF" w14:textId="77777777" w:rsidR="00CC1521" w:rsidRPr="00880D72" w:rsidRDefault="00CC1521" w:rsidP="00CC1521">
      <w:pPr>
        <w:spacing w:line="276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  <w:lang w:eastAsia="nl-NL"/>
        </w:rPr>
        <w:t>Discussions focused on developing an inventory of infrastructure supporting tourism and other non-governmental activities, discussing potential concerns as well as potential policy responses for consideration by ATCM XLV.</w:t>
      </w:r>
    </w:p>
    <w:p w14:paraId="3D4CBD5F" w14:textId="77777777" w:rsidR="00CC1521" w:rsidRPr="00880D72" w:rsidRDefault="00CC1521" w:rsidP="00CC1521">
      <w:pPr>
        <w:spacing w:line="276" w:lineRule="auto"/>
        <w:contextualSpacing/>
        <w:jc w:val="both"/>
        <w:rPr>
          <w:b/>
          <w:szCs w:val="22"/>
          <w:lang w:val="en-US"/>
        </w:rPr>
      </w:pPr>
    </w:p>
    <w:p w14:paraId="4409AE7E" w14:textId="77777777" w:rsidR="00CC1521" w:rsidRPr="00880D72" w:rsidRDefault="00CC1521" w:rsidP="00CC1521">
      <w:pPr>
        <w:pStyle w:val="Prrafodelista"/>
        <w:numPr>
          <w:ilvl w:val="0"/>
          <w:numId w:val="21"/>
        </w:numPr>
        <w:spacing w:line="276" w:lineRule="auto"/>
        <w:contextualSpacing/>
        <w:rPr>
          <w:b/>
          <w:szCs w:val="22"/>
        </w:rPr>
      </w:pPr>
      <w:r w:rsidRPr="00880D72">
        <w:rPr>
          <w:b/>
          <w:color w:val="000000" w:themeColor="text1"/>
          <w:szCs w:val="22"/>
        </w:rPr>
        <w:t>An inventory of infrastructure supporting tourism and other non-governmental activities in Antarctica</w:t>
      </w:r>
      <w:r w:rsidRPr="00880D72">
        <w:rPr>
          <w:b/>
          <w:szCs w:val="22"/>
        </w:rPr>
        <w:t xml:space="preserve"> </w:t>
      </w:r>
    </w:p>
    <w:p w14:paraId="4277EE77" w14:textId="77777777" w:rsidR="00CC1521" w:rsidRPr="00880D72" w:rsidRDefault="00CC1521" w:rsidP="00CC1521">
      <w:pPr>
        <w:spacing w:line="276" w:lineRule="auto"/>
        <w:contextualSpacing/>
        <w:jc w:val="both"/>
        <w:rPr>
          <w:b/>
          <w:szCs w:val="22"/>
          <w:lang w:val="en-US"/>
        </w:rPr>
      </w:pPr>
    </w:p>
    <w:p w14:paraId="0E042B24" w14:textId="77777777" w:rsidR="00CC1521" w:rsidRPr="00880D72" w:rsidRDefault="00CC1521" w:rsidP="00CC1521">
      <w:pPr>
        <w:spacing w:line="276" w:lineRule="auto"/>
        <w:rPr>
          <w:szCs w:val="22"/>
        </w:rPr>
      </w:pPr>
      <w:r w:rsidRPr="00880D72">
        <w:rPr>
          <w:szCs w:val="22"/>
        </w:rPr>
        <w:t>Generally, participants indicated that they would welcome the establishment of an inventory of permanent and semi-permanent or temporary infrastructure in Antarctica.</w:t>
      </w:r>
    </w:p>
    <w:p w14:paraId="50F7CABC" w14:textId="77777777" w:rsidR="00CC1521" w:rsidRDefault="00CC1521" w:rsidP="00CC1521">
      <w:pPr>
        <w:spacing w:line="276" w:lineRule="auto"/>
        <w:rPr>
          <w:szCs w:val="22"/>
          <w:lang w:val="en-US"/>
        </w:rPr>
      </w:pPr>
    </w:p>
    <w:p w14:paraId="4D297326" w14:textId="77777777" w:rsidR="00CC1521" w:rsidRPr="00880D72" w:rsidRDefault="00CC1521" w:rsidP="00CC1521">
      <w:pPr>
        <w:spacing w:line="276" w:lineRule="auto"/>
        <w:rPr>
          <w:szCs w:val="22"/>
          <w:lang w:val="en-US"/>
        </w:rPr>
      </w:pPr>
      <w:r w:rsidRPr="00880D72">
        <w:rPr>
          <w:szCs w:val="22"/>
          <w:lang w:val="en-US"/>
        </w:rPr>
        <w:t xml:space="preserve">Based on </w:t>
      </w:r>
      <w:r>
        <w:rPr>
          <w:szCs w:val="22"/>
          <w:lang w:val="en-US"/>
        </w:rPr>
        <w:t xml:space="preserve">the </w:t>
      </w:r>
      <w:r w:rsidRPr="00880D72">
        <w:rPr>
          <w:szCs w:val="22"/>
          <w:lang w:val="en-US"/>
        </w:rPr>
        <w:t>ICG discussions, the following categories of infrastructure have been distinguished for the purpose of making the inventory</w:t>
      </w:r>
      <w:r>
        <w:rPr>
          <w:szCs w:val="22"/>
          <w:lang w:val="en-US"/>
        </w:rPr>
        <w:t>, attached to the ICG-report as an annex</w:t>
      </w:r>
      <w:r w:rsidRPr="00880D72">
        <w:rPr>
          <w:szCs w:val="22"/>
          <w:lang w:val="en-US"/>
        </w:rPr>
        <w:t>:</w:t>
      </w:r>
    </w:p>
    <w:p w14:paraId="4A336560" w14:textId="77777777" w:rsidR="00CC1521" w:rsidRPr="00880D72" w:rsidRDefault="00CC1521" w:rsidP="00CC1521">
      <w:pPr>
        <w:spacing w:line="276" w:lineRule="auto"/>
        <w:rPr>
          <w:szCs w:val="22"/>
          <w:lang w:val="en-US"/>
        </w:rPr>
      </w:pPr>
    </w:p>
    <w:p w14:paraId="30C4F548" w14:textId="77777777" w:rsidR="00CC1521" w:rsidRPr="00880D72" w:rsidRDefault="00CC1521" w:rsidP="00CC1521">
      <w:pPr>
        <w:pStyle w:val="Prrafodelista"/>
        <w:numPr>
          <w:ilvl w:val="0"/>
          <w:numId w:val="22"/>
        </w:numPr>
        <w:spacing w:line="276" w:lineRule="auto"/>
        <w:rPr>
          <w:szCs w:val="22"/>
        </w:rPr>
      </w:pPr>
      <w:r w:rsidRPr="00880D72">
        <w:rPr>
          <w:szCs w:val="22"/>
        </w:rPr>
        <w:t xml:space="preserve">Permanent infrastructure, originally and currently primarily dedicated to </w:t>
      </w:r>
      <w:r w:rsidRPr="00880D72">
        <w:rPr>
          <w:b/>
          <w:bCs/>
          <w:szCs w:val="22"/>
        </w:rPr>
        <w:t>science</w:t>
      </w:r>
      <w:r w:rsidRPr="00880D72">
        <w:rPr>
          <w:szCs w:val="22"/>
        </w:rPr>
        <w:t xml:space="preserve"> (e.g., research stations, set up and run under the auspices of a National Program), which is </w:t>
      </w:r>
      <w:r w:rsidRPr="00880D72">
        <w:rPr>
          <w:b/>
          <w:szCs w:val="22"/>
        </w:rPr>
        <w:t>co-</w:t>
      </w:r>
      <w:r w:rsidRPr="00880D72">
        <w:rPr>
          <w:b/>
          <w:szCs w:val="22"/>
        </w:rPr>
        <w:lastRenderedPageBreak/>
        <w:t>used</w:t>
      </w:r>
      <w:r w:rsidRPr="00880D72">
        <w:rPr>
          <w:szCs w:val="22"/>
        </w:rPr>
        <w:t xml:space="preserve"> to any extent</w:t>
      </w:r>
      <w:r w:rsidRPr="00880D72">
        <w:rPr>
          <w:rStyle w:val="Refdenotaalpie"/>
          <w:b/>
          <w:szCs w:val="22"/>
        </w:rPr>
        <w:footnoteReference w:id="1"/>
      </w:r>
      <w:r w:rsidRPr="00880D72">
        <w:rPr>
          <w:szCs w:val="22"/>
        </w:rPr>
        <w:t xml:space="preserve"> to support tourism and other non-governmental activities and </w:t>
      </w:r>
      <w:r w:rsidRPr="00880D72">
        <w:rPr>
          <w:b/>
          <w:szCs w:val="22"/>
        </w:rPr>
        <w:t>allowing for overnight stays</w:t>
      </w:r>
      <w:r w:rsidRPr="00880D72">
        <w:rPr>
          <w:szCs w:val="22"/>
        </w:rPr>
        <w:t>;</w:t>
      </w:r>
    </w:p>
    <w:p w14:paraId="0F02AA18" w14:textId="77777777" w:rsidR="00CC1521" w:rsidRPr="00880D72" w:rsidRDefault="00CC1521" w:rsidP="00CC1521">
      <w:pPr>
        <w:pStyle w:val="Prrafodelista"/>
        <w:numPr>
          <w:ilvl w:val="0"/>
          <w:numId w:val="22"/>
        </w:numPr>
        <w:spacing w:line="276" w:lineRule="auto"/>
        <w:rPr>
          <w:szCs w:val="22"/>
        </w:rPr>
      </w:pPr>
      <w:r w:rsidRPr="00880D72">
        <w:rPr>
          <w:szCs w:val="22"/>
        </w:rPr>
        <w:t xml:space="preserve">Permanent infrastructure, originally and currently or formerly primarily dedicated to </w:t>
      </w:r>
      <w:r w:rsidRPr="00880D72">
        <w:rPr>
          <w:b/>
          <w:bCs/>
          <w:szCs w:val="22"/>
        </w:rPr>
        <w:t>science</w:t>
      </w:r>
      <w:r w:rsidRPr="00880D72">
        <w:rPr>
          <w:szCs w:val="22"/>
        </w:rPr>
        <w:t xml:space="preserve"> (e.g., research stations, set up and run under the auspices of a National Program), which </w:t>
      </w:r>
      <w:r w:rsidRPr="00880D72">
        <w:rPr>
          <w:b/>
          <w:szCs w:val="22"/>
        </w:rPr>
        <w:t>only allows for limited number of guided tours</w:t>
      </w:r>
      <w:r w:rsidRPr="00880D72">
        <w:rPr>
          <w:szCs w:val="22"/>
        </w:rPr>
        <w:t xml:space="preserve"> of the facility and/or for </w:t>
      </w:r>
      <w:r w:rsidRPr="00880D72">
        <w:rPr>
          <w:b/>
          <w:szCs w:val="22"/>
        </w:rPr>
        <w:t>providing information</w:t>
      </w:r>
      <w:r w:rsidRPr="00880D72">
        <w:rPr>
          <w:szCs w:val="22"/>
        </w:rPr>
        <w:t xml:space="preserve"> to tourists;</w:t>
      </w:r>
    </w:p>
    <w:p w14:paraId="74441383" w14:textId="77777777" w:rsidR="00CC1521" w:rsidRPr="00880D72" w:rsidRDefault="00CC1521" w:rsidP="00CC1521">
      <w:pPr>
        <w:pStyle w:val="Prrafodelista"/>
        <w:numPr>
          <w:ilvl w:val="0"/>
          <w:numId w:val="22"/>
        </w:numPr>
        <w:spacing w:line="276" w:lineRule="auto"/>
        <w:rPr>
          <w:szCs w:val="22"/>
        </w:rPr>
      </w:pPr>
      <w:r w:rsidRPr="00880D72">
        <w:rPr>
          <w:szCs w:val="22"/>
        </w:rPr>
        <w:t xml:space="preserve">Permanent and semi-permanent/temporary infrastructure for </w:t>
      </w:r>
      <w:r w:rsidRPr="00880D72">
        <w:rPr>
          <w:b/>
          <w:bCs/>
          <w:szCs w:val="22"/>
        </w:rPr>
        <w:t>logistical support</w:t>
      </w:r>
      <w:r w:rsidRPr="00880D72">
        <w:rPr>
          <w:szCs w:val="22"/>
        </w:rPr>
        <w:t>, used or co-used to any extent to support tourism and other non-governmental activities (e.g., logistical facilities set up and run either under the auspices of a National Program, or by a non-governmental actor);</w:t>
      </w:r>
    </w:p>
    <w:p w14:paraId="72AD7CA7" w14:textId="77777777" w:rsidR="00CC1521" w:rsidRPr="00880D72" w:rsidRDefault="00CC1521" w:rsidP="00CC1521">
      <w:pPr>
        <w:pStyle w:val="Prrafodelista"/>
        <w:numPr>
          <w:ilvl w:val="0"/>
          <w:numId w:val="22"/>
        </w:numPr>
        <w:spacing w:line="276" w:lineRule="auto"/>
        <w:rPr>
          <w:szCs w:val="22"/>
        </w:rPr>
      </w:pPr>
      <w:r w:rsidRPr="00880D72">
        <w:rPr>
          <w:b/>
          <w:bCs/>
          <w:szCs w:val="22"/>
        </w:rPr>
        <w:t xml:space="preserve">Permanent </w:t>
      </w:r>
      <w:r w:rsidRPr="00880D72">
        <w:rPr>
          <w:szCs w:val="22"/>
        </w:rPr>
        <w:t xml:space="preserve">infrastructure originally </w:t>
      </w:r>
      <w:r w:rsidRPr="00880D72">
        <w:rPr>
          <w:b/>
          <w:szCs w:val="22"/>
        </w:rPr>
        <w:t xml:space="preserve">destined </w:t>
      </w:r>
      <w:r w:rsidRPr="00880D72">
        <w:rPr>
          <w:szCs w:val="22"/>
        </w:rPr>
        <w:t xml:space="preserve">for tourism and other non-governmental activities and not falling within categories A to C. </w:t>
      </w:r>
    </w:p>
    <w:p w14:paraId="0493FA73" w14:textId="77777777" w:rsidR="00CC1521" w:rsidRPr="00880D72" w:rsidRDefault="00CC1521" w:rsidP="00CC1521">
      <w:pPr>
        <w:pStyle w:val="Prrafodelista"/>
        <w:numPr>
          <w:ilvl w:val="0"/>
          <w:numId w:val="22"/>
        </w:numPr>
        <w:spacing w:line="276" w:lineRule="auto"/>
        <w:rPr>
          <w:szCs w:val="22"/>
        </w:rPr>
      </w:pPr>
      <w:r w:rsidRPr="00880D72">
        <w:rPr>
          <w:b/>
          <w:szCs w:val="22"/>
        </w:rPr>
        <w:t>Semi-permanent and temporary</w:t>
      </w:r>
      <w:r w:rsidRPr="00880D72">
        <w:rPr>
          <w:szCs w:val="22"/>
        </w:rPr>
        <w:t xml:space="preserve"> infrastructure, originally </w:t>
      </w:r>
      <w:r w:rsidRPr="00880D72">
        <w:rPr>
          <w:b/>
          <w:szCs w:val="22"/>
        </w:rPr>
        <w:t xml:space="preserve">destined </w:t>
      </w:r>
      <w:r w:rsidRPr="00880D72">
        <w:rPr>
          <w:szCs w:val="22"/>
        </w:rPr>
        <w:t>for tourism and other non-governmental activities (e.g., land based, deep field camps and associated logistical infrastructure that are run by a non-governmental actor).</w:t>
      </w:r>
    </w:p>
    <w:p w14:paraId="3BFBB0EB" w14:textId="77777777" w:rsidR="00CC1521" w:rsidRPr="00880D72" w:rsidRDefault="00CC1521" w:rsidP="00CC1521">
      <w:pPr>
        <w:spacing w:line="276" w:lineRule="auto"/>
        <w:rPr>
          <w:szCs w:val="22"/>
          <w:lang w:val="en-US"/>
        </w:rPr>
      </w:pPr>
    </w:p>
    <w:p w14:paraId="41BF087A" w14:textId="77777777" w:rsidR="00CC1521" w:rsidRPr="00880D72" w:rsidRDefault="00CC1521" w:rsidP="00CC1521">
      <w:pPr>
        <w:spacing w:line="276" w:lineRule="auto"/>
        <w:rPr>
          <w:szCs w:val="22"/>
        </w:rPr>
      </w:pPr>
      <w:r w:rsidRPr="00880D72">
        <w:rPr>
          <w:szCs w:val="22"/>
        </w:rPr>
        <w:t xml:space="preserve">ICG participants suggested different approaches for updating the overview with the aim of avoiding a static, </w:t>
      </w:r>
      <w:proofErr w:type="gramStart"/>
      <w:r w:rsidRPr="00880D72">
        <w:rPr>
          <w:szCs w:val="22"/>
        </w:rPr>
        <w:t>one off</w:t>
      </w:r>
      <w:proofErr w:type="gramEnd"/>
      <w:r w:rsidRPr="00880D72">
        <w:rPr>
          <w:szCs w:val="22"/>
        </w:rPr>
        <w:t xml:space="preserve"> inventory. The conveners have followed suggestions and consulted the Secretariat on this issue. It was confirmed that </w:t>
      </w:r>
      <w:r>
        <w:rPr>
          <w:szCs w:val="22"/>
        </w:rPr>
        <w:t xml:space="preserve">all </w:t>
      </w:r>
      <w:r w:rsidRPr="00880D72">
        <w:rPr>
          <w:szCs w:val="22"/>
        </w:rPr>
        <w:t xml:space="preserve">the necessary information can be </w:t>
      </w:r>
      <w:r>
        <w:rPr>
          <w:szCs w:val="22"/>
        </w:rPr>
        <w:t>included in the EIES and that the repository may be updated</w:t>
      </w:r>
      <w:r w:rsidRPr="00880D72">
        <w:rPr>
          <w:szCs w:val="22"/>
        </w:rPr>
        <w:t xml:space="preserve"> </w:t>
      </w:r>
      <w:proofErr w:type="gramStart"/>
      <w:r>
        <w:rPr>
          <w:szCs w:val="22"/>
        </w:rPr>
        <w:t>on the basis of</w:t>
      </w:r>
      <w:proofErr w:type="gramEnd"/>
      <w:r w:rsidRPr="00880D72">
        <w:rPr>
          <w:szCs w:val="22"/>
        </w:rPr>
        <w:t xml:space="preserve"> </w:t>
      </w:r>
      <w:r>
        <w:rPr>
          <w:szCs w:val="22"/>
        </w:rPr>
        <w:t xml:space="preserve">the </w:t>
      </w:r>
      <w:r w:rsidRPr="00880D72">
        <w:rPr>
          <w:szCs w:val="22"/>
        </w:rPr>
        <w:t xml:space="preserve">EIES. </w:t>
      </w:r>
    </w:p>
    <w:p w14:paraId="58B519BE" w14:textId="77777777" w:rsidR="00CC1521" w:rsidRPr="00880D72" w:rsidRDefault="00CC1521" w:rsidP="00CC1521">
      <w:pPr>
        <w:spacing w:line="276" w:lineRule="auto"/>
        <w:rPr>
          <w:szCs w:val="22"/>
          <w:lang w:val="en-US"/>
        </w:rPr>
      </w:pPr>
    </w:p>
    <w:p w14:paraId="36A97DAB" w14:textId="77777777" w:rsidR="00CC1521" w:rsidRPr="00880D72" w:rsidRDefault="00CC1521" w:rsidP="00CC1521">
      <w:pPr>
        <w:spacing w:line="276" w:lineRule="auto"/>
        <w:contextualSpacing/>
        <w:jc w:val="both"/>
        <w:rPr>
          <w:b/>
          <w:szCs w:val="22"/>
          <w:lang w:val="en-US"/>
        </w:rPr>
      </w:pPr>
    </w:p>
    <w:p w14:paraId="1F46D553" w14:textId="77777777" w:rsidR="00CC1521" w:rsidRPr="00880D72" w:rsidRDefault="00CC1521" w:rsidP="00CC1521">
      <w:pPr>
        <w:pStyle w:val="Prrafodelista"/>
        <w:numPr>
          <w:ilvl w:val="0"/>
          <w:numId w:val="21"/>
        </w:numPr>
        <w:spacing w:line="276" w:lineRule="auto"/>
        <w:contextualSpacing/>
        <w:rPr>
          <w:b/>
          <w:szCs w:val="22"/>
        </w:rPr>
      </w:pPr>
      <w:r w:rsidRPr="00880D72">
        <w:rPr>
          <w:b/>
          <w:color w:val="000000" w:themeColor="text1"/>
          <w:szCs w:val="22"/>
        </w:rPr>
        <w:t xml:space="preserve">Concerns relating to such infrastructure, including, for instance, environmental concerns and pressure on the search and rescue capacity of national </w:t>
      </w:r>
      <w:proofErr w:type="gramStart"/>
      <w:r w:rsidRPr="00880D72">
        <w:rPr>
          <w:b/>
          <w:color w:val="000000" w:themeColor="text1"/>
          <w:szCs w:val="22"/>
        </w:rPr>
        <w:t>programs</w:t>
      </w:r>
      <w:proofErr w:type="gramEnd"/>
      <w:r w:rsidRPr="00880D72">
        <w:rPr>
          <w:b/>
          <w:color w:val="000000" w:themeColor="text1"/>
          <w:szCs w:val="22"/>
        </w:rPr>
        <w:t xml:space="preserve"> </w:t>
      </w:r>
    </w:p>
    <w:p w14:paraId="7B72A093" w14:textId="77777777" w:rsidR="00CC1521" w:rsidRPr="00880D72" w:rsidRDefault="00CC1521" w:rsidP="00CC1521">
      <w:pPr>
        <w:spacing w:line="276" w:lineRule="auto"/>
        <w:contextualSpacing/>
        <w:jc w:val="both"/>
        <w:rPr>
          <w:b/>
          <w:szCs w:val="22"/>
          <w:lang w:val="en-US"/>
        </w:rPr>
      </w:pPr>
    </w:p>
    <w:p w14:paraId="778715EB" w14:textId="77777777" w:rsidR="00CC1521" w:rsidRDefault="00CC1521" w:rsidP="00CC1521">
      <w:pPr>
        <w:pStyle w:val="Sinespaciado"/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C</w:t>
      </w:r>
      <w:r w:rsidRPr="006058AC">
        <w:rPr>
          <w:rFonts w:ascii="Times New Roman" w:hAnsi="Times New Roman"/>
          <w:sz w:val="22"/>
          <w:szCs w:val="22"/>
          <w:lang w:val="en-US"/>
        </w:rPr>
        <w:t>ontributions to the ICG indicated that participants are keen to engage in developing more coherent and robust policies in relation to tourism and NGO land-based infrastructure in Antarctica.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</w:p>
    <w:p w14:paraId="1460D594" w14:textId="77777777" w:rsidR="00CC1521" w:rsidRPr="006058AC" w:rsidRDefault="00CC1521" w:rsidP="00CC1521">
      <w:pPr>
        <w:pStyle w:val="Sinespaciado"/>
        <w:spacing w:line="276" w:lineRule="auto"/>
        <w:rPr>
          <w:rFonts w:ascii="Times New Roman" w:hAnsi="Times New Roman"/>
          <w:iCs/>
          <w:sz w:val="22"/>
          <w:szCs w:val="22"/>
          <w:lang w:val="en-US"/>
        </w:rPr>
      </w:pPr>
    </w:p>
    <w:p w14:paraId="61EE5652" w14:textId="77777777" w:rsidR="00CC1521" w:rsidRDefault="00CC1521" w:rsidP="00CC1521">
      <w:pPr>
        <w:spacing w:line="276" w:lineRule="auto"/>
        <w:rPr>
          <w:color w:val="000000" w:themeColor="text1"/>
          <w:szCs w:val="22"/>
        </w:rPr>
      </w:pPr>
      <w:r w:rsidRPr="00880D72">
        <w:rPr>
          <w:iCs/>
          <w:szCs w:val="22"/>
          <w:lang w:val="en-US"/>
        </w:rPr>
        <w:t xml:space="preserve">In the final report of the ICG to ATCM XLIV (WP36), </w:t>
      </w:r>
      <w:proofErr w:type="gramStart"/>
      <w:r w:rsidRPr="00880D72">
        <w:rPr>
          <w:iCs/>
          <w:szCs w:val="22"/>
          <w:lang w:val="en-US"/>
        </w:rPr>
        <w:t>a number of</w:t>
      </w:r>
      <w:proofErr w:type="gramEnd"/>
      <w:r w:rsidRPr="00880D72">
        <w:rPr>
          <w:iCs/>
          <w:szCs w:val="22"/>
          <w:lang w:val="en-US"/>
        </w:rPr>
        <w:t xml:space="preserve"> concerns relating to permanent infrastructure for tourism and other non-governmental activities have been identified. </w:t>
      </w:r>
      <w:r w:rsidRPr="00880D72">
        <w:rPr>
          <w:color w:val="000000" w:themeColor="text1"/>
          <w:szCs w:val="22"/>
        </w:rPr>
        <w:t>Most participants in the current ICG 2022-23 expressed the view that these concerns also apply to infrastructures</w:t>
      </w:r>
      <w:r>
        <w:rPr>
          <w:color w:val="000000" w:themeColor="text1"/>
          <w:szCs w:val="22"/>
        </w:rPr>
        <w:t xml:space="preserve">, and some additional concerns have been raised. </w:t>
      </w:r>
    </w:p>
    <w:p w14:paraId="0F72738A" w14:textId="77777777" w:rsidR="00CC1521" w:rsidRPr="006058AC" w:rsidRDefault="00CC1521" w:rsidP="00CC1521">
      <w:pPr>
        <w:spacing w:line="276" w:lineRule="auto"/>
        <w:rPr>
          <w:iCs/>
          <w:szCs w:val="22"/>
          <w:lang w:val="en-US"/>
        </w:rPr>
      </w:pPr>
      <w:r>
        <w:rPr>
          <w:iCs/>
          <w:szCs w:val="22"/>
          <w:lang w:val="en-US"/>
        </w:rPr>
        <w:t xml:space="preserve">These additional concerns </w:t>
      </w:r>
      <w:r w:rsidRPr="00880D72">
        <w:rPr>
          <w:color w:val="000000" w:themeColor="text1"/>
          <w:szCs w:val="22"/>
        </w:rPr>
        <w:t xml:space="preserve">relate to the level of activity (e.g., skiing, hiking, etc.) and ‘potential civilization problems’ (waste, sewage, </w:t>
      </w:r>
      <w:proofErr w:type="gramStart"/>
      <w:r w:rsidRPr="00880D72">
        <w:rPr>
          <w:color w:val="000000" w:themeColor="text1"/>
          <w:szCs w:val="22"/>
        </w:rPr>
        <w:t>emissions</w:t>
      </w:r>
      <w:proofErr w:type="gramEnd"/>
      <w:r w:rsidRPr="00880D72">
        <w:rPr>
          <w:color w:val="000000" w:themeColor="text1"/>
          <w:szCs w:val="22"/>
        </w:rPr>
        <w:t xml:space="preserve"> and noise) that permanent and </w:t>
      </w:r>
      <w:r w:rsidRPr="00880D72">
        <w:rPr>
          <w:szCs w:val="22"/>
          <w:lang w:val="en-US"/>
        </w:rPr>
        <w:t>semi-permanent/ temporary</w:t>
      </w:r>
      <w:r w:rsidRPr="00880D72">
        <w:rPr>
          <w:color w:val="000000" w:themeColor="text1"/>
          <w:szCs w:val="22"/>
        </w:rPr>
        <w:t xml:space="preserve"> infrastructure for tourism implies. It was also noted that concerns did not only relate to new infrastructure for tourism and other non-governmental activities but also to already existing infrastructure originally designed </w:t>
      </w:r>
      <w:r w:rsidRPr="009B3970">
        <w:rPr>
          <w:color w:val="000000" w:themeColor="text1"/>
          <w:szCs w:val="22"/>
        </w:rPr>
        <w:t>for the support of National Programs</w:t>
      </w:r>
      <w:r w:rsidRPr="00880D72">
        <w:rPr>
          <w:color w:val="000000" w:themeColor="text1"/>
          <w:szCs w:val="22"/>
        </w:rPr>
        <w:t xml:space="preserve"> and currently also supporting </w:t>
      </w:r>
      <w:proofErr w:type="gramStart"/>
      <w:r w:rsidRPr="00880D72">
        <w:rPr>
          <w:color w:val="000000" w:themeColor="text1"/>
          <w:szCs w:val="22"/>
        </w:rPr>
        <w:t>tourism .</w:t>
      </w:r>
      <w:proofErr w:type="gramEnd"/>
      <w:r w:rsidRPr="00880D72">
        <w:rPr>
          <w:color w:val="000000" w:themeColor="text1"/>
          <w:szCs w:val="22"/>
        </w:rPr>
        <w:t xml:space="preserve"> </w:t>
      </w:r>
    </w:p>
    <w:p w14:paraId="34C73041" w14:textId="77777777" w:rsidR="00CC1521" w:rsidRPr="00880D72" w:rsidRDefault="00CC1521" w:rsidP="00CC1521">
      <w:pPr>
        <w:spacing w:line="276" w:lineRule="auto"/>
        <w:rPr>
          <w:color w:val="000000" w:themeColor="text1"/>
          <w:szCs w:val="22"/>
        </w:rPr>
      </w:pPr>
    </w:p>
    <w:p w14:paraId="5892ED27" w14:textId="77777777" w:rsidR="00CC1521" w:rsidRDefault="00CC1521" w:rsidP="00CC1521">
      <w:pPr>
        <w:spacing w:line="276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From the discussion, it became apparent that in current situations there is often a </w:t>
      </w:r>
      <w:r w:rsidRPr="00880D72">
        <w:rPr>
          <w:color w:val="000000" w:themeColor="text1"/>
          <w:szCs w:val="22"/>
        </w:rPr>
        <w:t xml:space="preserve">mix of governmental and NGO activities, which may hinder governance responses. </w:t>
      </w:r>
    </w:p>
    <w:p w14:paraId="17A0CC35" w14:textId="77777777" w:rsidR="00CC1521" w:rsidRDefault="00CC1521" w:rsidP="00CC1521">
      <w:pPr>
        <w:spacing w:line="276" w:lineRule="auto"/>
        <w:rPr>
          <w:color w:val="000000" w:themeColor="text1"/>
          <w:szCs w:val="22"/>
        </w:rPr>
      </w:pPr>
    </w:p>
    <w:p w14:paraId="0EC6DB55" w14:textId="77777777" w:rsidR="00CC1521" w:rsidRPr="009B3970" w:rsidRDefault="00CC1521" w:rsidP="00CC1521">
      <w:pPr>
        <w:spacing w:line="276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A number of concerns that should be dealt with as a matter of priority have been proposed in the ICG, including on </w:t>
      </w:r>
      <w:r w:rsidRPr="009B3970">
        <w:rPr>
          <w:bCs/>
          <w:color w:val="000000" w:themeColor="text1"/>
          <w:szCs w:val="22"/>
        </w:rPr>
        <w:t>cumulative impacts</w:t>
      </w:r>
      <w:r w:rsidRPr="00880D72">
        <w:rPr>
          <w:color w:val="000000" w:themeColor="text1"/>
          <w:szCs w:val="22"/>
        </w:rPr>
        <w:t xml:space="preserve"> on ecosystems and wilderness values, </w:t>
      </w:r>
      <w:r>
        <w:rPr>
          <w:color w:val="000000" w:themeColor="text1"/>
          <w:szCs w:val="22"/>
        </w:rPr>
        <w:t xml:space="preserve">a </w:t>
      </w:r>
      <w:r w:rsidRPr="009B3970">
        <w:rPr>
          <w:bCs/>
          <w:color w:val="000000" w:themeColor="text1"/>
          <w:szCs w:val="22"/>
        </w:rPr>
        <w:t>lack of spatial planning to prevent expansion</w:t>
      </w:r>
      <w:r>
        <w:rPr>
          <w:color w:val="000000" w:themeColor="text1"/>
          <w:szCs w:val="22"/>
        </w:rPr>
        <w:t>, r</w:t>
      </w:r>
      <w:r w:rsidRPr="009B3970">
        <w:rPr>
          <w:color w:val="000000" w:themeColor="text1"/>
          <w:szCs w:val="22"/>
        </w:rPr>
        <w:t xml:space="preserve">isks of negative effects on </w:t>
      </w:r>
      <w:r w:rsidRPr="009B3970">
        <w:rPr>
          <w:bCs/>
          <w:color w:val="000000" w:themeColor="text1"/>
          <w:szCs w:val="22"/>
        </w:rPr>
        <w:t xml:space="preserve">scientific research and/or scientific </w:t>
      </w:r>
      <w:r w:rsidRPr="009B3970">
        <w:rPr>
          <w:bCs/>
          <w:color w:val="000000" w:themeColor="text1"/>
          <w:szCs w:val="22"/>
        </w:rPr>
        <w:lastRenderedPageBreak/>
        <w:t>values of Antarctica</w:t>
      </w:r>
      <w:r>
        <w:rPr>
          <w:bCs/>
          <w:color w:val="000000" w:themeColor="text1"/>
          <w:szCs w:val="22"/>
        </w:rPr>
        <w:t xml:space="preserve">, </w:t>
      </w:r>
      <w:r>
        <w:rPr>
          <w:color w:val="000000" w:themeColor="text1"/>
          <w:szCs w:val="22"/>
        </w:rPr>
        <w:t>t</w:t>
      </w:r>
      <w:r w:rsidRPr="00880D72">
        <w:rPr>
          <w:color w:val="000000" w:themeColor="text1"/>
          <w:szCs w:val="22"/>
        </w:rPr>
        <w:t xml:space="preserve">he potential assertion of </w:t>
      </w:r>
      <w:r w:rsidRPr="009B3970">
        <w:rPr>
          <w:bCs/>
          <w:color w:val="000000" w:themeColor="text1"/>
          <w:szCs w:val="22"/>
        </w:rPr>
        <w:t>property rights</w:t>
      </w:r>
      <w:r>
        <w:rPr>
          <w:color w:val="000000" w:themeColor="text1"/>
          <w:szCs w:val="22"/>
        </w:rPr>
        <w:t xml:space="preserve"> or ‘</w:t>
      </w:r>
      <w:r w:rsidRPr="00880D72">
        <w:rPr>
          <w:color w:val="000000" w:themeColor="text1"/>
          <w:szCs w:val="22"/>
        </w:rPr>
        <w:t xml:space="preserve">rights to use’ and related concepts (e.g., lease), </w:t>
      </w:r>
      <w:r w:rsidRPr="009B3970">
        <w:rPr>
          <w:color w:val="000000" w:themeColor="text1"/>
          <w:szCs w:val="22"/>
        </w:rPr>
        <w:t xml:space="preserve">the increase of </w:t>
      </w:r>
      <w:r w:rsidRPr="009B3970">
        <w:rPr>
          <w:bCs/>
          <w:color w:val="000000" w:themeColor="text1"/>
          <w:szCs w:val="22"/>
        </w:rPr>
        <w:t>complexity of ownership structures</w:t>
      </w:r>
      <w:r w:rsidRPr="009B3970">
        <w:rPr>
          <w:color w:val="000000" w:themeColor="text1"/>
          <w:szCs w:val="22"/>
        </w:rPr>
        <w:t xml:space="preserve"> and related questions, for instance in relation to liability</w:t>
      </w:r>
      <w:r>
        <w:rPr>
          <w:color w:val="000000" w:themeColor="text1"/>
          <w:szCs w:val="22"/>
        </w:rPr>
        <w:t>, and i</w:t>
      </w:r>
      <w:r w:rsidRPr="009B3970">
        <w:rPr>
          <w:bCs/>
          <w:color w:val="000000" w:themeColor="text1"/>
          <w:szCs w:val="22"/>
        </w:rPr>
        <w:t>ncreasing air traffic and related emissions to and from Antarctica, as well as related concerns on Search &amp; Rescue capacity</w:t>
      </w:r>
      <w:r w:rsidRPr="009B3970">
        <w:rPr>
          <w:color w:val="000000" w:themeColor="text1"/>
          <w:szCs w:val="22"/>
        </w:rPr>
        <w:t xml:space="preserve">. </w:t>
      </w:r>
    </w:p>
    <w:p w14:paraId="7DD909B1" w14:textId="77777777" w:rsidR="00CC1521" w:rsidRPr="00880D72" w:rsidRDefault="00CC1521" w:rsidP="00CC1521">
      <w:pPr>
        <w:spacing w:line="276" w:lineRule="auto"/>
        <w:contextualSpacing/>
        <w:rPr>
          <w:color w:val="000000" w:themeColor="text1"/>
          <w:szCs w:val="22"/>
          <w:lang w:val="en-US"/>
        </w:rPr>
      </w:pPr>
    </w:p>
    <w:p w14:paraId="0A55C5E3" w14:textId="77777777" w:rsidR="00CC1521" w:rsidRPr="00880D72" w:rsidRDefault="00CC1521" w:rsidP="00CC1521">
      <w:pPr>
        <w:pStyle w:val="Prrafodelista"/>
        <w:numPr>
          <w:ilvl w:val="0"/>
          <w:numId w:val="21"/>
        </w:numPr>
        <w:spacing w:line="276" w:lineRule="auto"/>
        <w:contextualSpacing/>
        <w:rPr>
          <w:b/>
          <w:szCs w:val="22"/>
        </w:rPr>
      </w:pPr>
      <w:r>
        <w:rPr>
          <w:b/>
          <w:color w:val="000000" w:themeColor="text1"/>
          <w:szCs w:val="22"/>
        </w:rPr>
        <w:t>P</w:t>
      </w:r>
      <w:r w:rsidRPr="00880D72">
        <w:rPr>
          <w:b/>
          <w:color w:val="000000" w:themeColor="text1"/>
          <w:szCs w:val="22"/>
        </w:rPr>
        <w:t>roposals for the ATCM</w:t>
      </w:r>
    </w:p>
    <w:p w14:paraId="17954F3D" w14:textId="77777777" w:rsidR="00CC1521" w:rsidRPr="00880D72" w:rsidRDefault="00CC1521" w:rsidP="00CC1521">
      <w:pPr>
        <w:spacing w:line="276" w:lineRule="auto"/>
        <w:rPr>
          <w:b/>
          <w:i/>
          <w:color w:val="000000" w:themeColor="text1"/>
          <w:szCs w:val="22"/>
        </w:rPr>
      </w:pPr>
    </w:p>
    <w:p w14:paraId="560D8C5C" w14:textId="77777777" w:rsidR="00CC1521" w:rsidRPr="009C524C" w:rsidRDefault="00CC1521" w:rsidP="00CC1521">
      <w:pPr>
        <w:spacing w:line="276" w:lineRule="auto"/>
        <w:rPr>
          <w:b/>
          <w:i/>
          <w:szCs w:val="22"/>
        </w:rPr>
      </w:pPr>
      <w:r w:rsidRPr="00880D72">
        <w:rPr>
          <w:color w:val="000000" w:themeColor="text1"/>
          <w:szCs w:val="22"/>
        </w:rPr>
        <w:t>Based on the very constructive ICG discussions</w:t>
      </w:r>
      <w:r>
        <w:rPr>
          <w:color w:val="000000" w:themeColor="text1"/>
          <w:szCs w:val="22"/>
        </w:rPr>
        <w:t xml:space="preserve"> and on the conclusions contained in the ICG-report, and with a view to </w:t>
      </w:r>
      <w:r w:rsidRPr="00880D72">
        <w:rPr>
          <w:szCs w:val="22"/>
          <w:lang w:val="en"/>
        </w:rPr>
        <w:t>ensur</w:t>
      </w:r>
      <w:r>
        <w:rPr>
          <w:szCs w:val="22"/>
          <w:lang w:val="en"/>
        </w:rPr>
        <w:t>ing</w:t>
      </w:r>
      <w:r w:rsidRPr="00880D72">
        <w:rPr>
          <w:szCs w:val="22"/>
          <w:lang w:val="en"/>
        </w:rPr>
        <w:t xml:space="preserve"> transparency in tourism developments in Antarctica and to promote progress in Antarctic tourism governance, the </w:t>
      </w:r>
      <w:r>
        <w:rPr>
          <w:szCs w:val="22"/>
          <w:lang w:val="en"/>
        </w:rPr>
        <w:t xml:space="preserve">Netherlands, as </w:t>
      </w:r>
      <w:r w:rsidRPr="00880D72">
        <w:rPr>
          <w:szCs w:val="22"/>
          <w:lang w:val="en"/>
        </w:rPr>
        <w:t xml:space="preserve">convener </w:t>
      </w:r>
      <w:r>
        <w:rPr>
          <w:szCs w:val="22"/>
          <w:lang w:val="en"/>
        </w:rPr>
        <w:t xml:space="preserve">of the ICG </w:t>
      </w:r>
      <w:r w:rsidRPr="00880D72">
        <w:rPr>
          <w:szCs w:val="22"/>
          <w:lang w:val="en"/>
        </w:rPr>
        <w:t xml:space="preserve">has formulated three lines for possible ATCM action: </w:t>
      </w:r>
    </w:p>
    <w:p w14:paraId="60CE7DE9" w14:textId="77777777" w:rsidR="00CC1521" w:rsidRPr="00880D72" w:rsidRDefault="00CC1521" w:rsidP="00CC1521">
      <w:pPr>
        <w:pStyle w:val="Sinespaciado"/>
        <w:spacing w:line="276" w:lineRule="auto"/>
        <w:rPr>
          <w:rFonts w:ascii="Times New Roman" w:hAnsi="Times New Roman"/>
          <w:sz w:val="22"/>
          <w:szCs w:val="22"/>
          <w:lang w:val="en"/>
        </w:rPr>
      </w:pPr>
    </w:p>
    <w:p w14:paraId="6CC14156" w14:textId="77777777" w:rsidR="00CC1521" w:rsidRPr="00880D72" w:rsidRDefault="00CC1521" w:rsidP="00CC1521">
      <w:pPr>
        <w:pStyle w:val="Sinespaciado"/>
        <w:numPr>
          <w:ilvl w:val="0"/>
          <w:numId w:val="25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880D72">
        <w:rPr>
          <w:rFonts w:ascii="Times New Roman" w:hAnsi="Times New Roman"/>
          <w:sz w:val="22"/>
          <w:szCs w:val="22"/>
          <w:lang w:val="en"/>
        </w:rPr>
        <w:t>Initiating further research and discussion on a number of sub-</w:t>
      </w:r>
      <w:proofErr w:type="gramStart"/>
      <w:r w:rsidRPr="00880D72">
        <w:rPr>
          <w:rFonts w:ascii="Times New Roman" w:hAnsi="Times New Roman"/>
          <w:sz w:val="22"/>
          <w:szCs w:val="22"/>
          <w:lang w:val="en"/>
        </w:rPr>
        <w:t>topics;</w:t>
      </w:r>
      <w:proofErr w:type="gramEnd"/>
    </w:p>
    <w:p w14:paraId="4CF47D72" w14:textId="77777777" w:rsidR="00CC1521" w:rsidRPr="00880D72" w:rsidRDefault="00CC1521" w:rsidP="00CC1521">
      <w:pPr>
        <w:pStyle w:val="Sinespaciado"/>
        <w:numPr>
          <w:ilvl w:val="0"/>
          <w:numId w:val="25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880D72">
        <w:rPr>
          <w:rFonts w:ascii="Times New Roman" w:hAnsi="Times New Roman"/>
          <w:sz w:val="22"/>
          <w:szCs w:val="22"/>
          <w:lang w:val="en"/>
        </w:rPr>
        <w:t xml:space="preserve">The establishment of an inventory of infrastructure for tourism and other non-governmental activities in Antarctica </w:t>
      </w:r>
      <w:r w:rsidRPr="00662E5B">
        <w:rPr>
          <w:rFonts w:ascii="Times New Roman" w:hAnsi="Times New Roman"/>
          <w:sz w:val="22"/>
          <w:szCs w:val="22"/>
          <w:lang w:val="en"/>
        </w:rPr>
        <w:t>to increase transparency regarding developments</w:t>
      </w:r>
      <w:r>
        <w:rPr>
          <w:rFonts w:ascii="Times New Roman" w:hAnsi="Times New Roman"/>
          <w:sz w:val="22"/>
          <w:szCs w:val="22"/>
          <w:lang w:val="en"/>
        </w:rPr>
        <w:t xml:space="preserve"> (component of a Resolution</w:t>
      </w:r>
      <w:proofErr w:type="gramStart"/>
      <w:r>
        <w:rPr>
          <w:rFonts w:ascii="Times New Roman" w:hAnsi="Times New Roman"/>
          <w:sz w:val="22"/>
          <w:szCs w:val="22"/>
          <w:lang w:val="en"/>
        </w:rPr>
        <w:t>)</w:t>
      </w:r>
      <w:r w:rsidRPr="00880D72">
        <w:rPr>
          <w:rFonts w:ascii="Times New Roman" w:hAnsi="Times New Roman"/>
          <w:sz w:val="22"/>
          <w:szCs w:val="22"/>
          <w:lang w:val="en"/>
        </w:rPr>
        <w:t>;</w:t>
      </w:r>
      <w:proofErr w:type="gramEnd"/>
    </w:p>
    <w:p w14:paraId="5A7D6C55" w14:textId="77777777" w:rsidR="00CC1521" w:rsidRPr="00880D72" w:rsidRDefault="00CC1521" w:rsidP="00CC1521">
      <w:pPr>
        <w:pStyle w:val="Sinespaciado"/>
        <w:numPr>
          <w:ilvl w:val="0"/>
          <w:numId w:val="25"/>
        </w:numPr>
        <w:spacing w:line="276" w:lineRule="auto"/>
        <w:rPr>
          <w:rFonts w:ascii="Times New Roman" w:hAnsi="Times New Roman"/>
          <w:sz w:val="22"/>
          <w:szCs w:val="22"/>
          <w:lang w:val="en-US"/>
        </w:rPr>
      </w:pPr>
      <w:r w:rsidRPr="00880D72">
        <w:rPr>
          <w:rFonts w:ascii="Times New Roman" w:hAnsi="Times New Roman"/>
          <w:sz w:val="22"/>
          <w:szCs w:val="22"/>
          <w:lang w:val="en"/>
        </w:rPr>
        <w:t xml:space="preserve">Taking non-legally binding action that on the one hand sets certain limits to the further increase of (co-)use of infrastructure (either originally designed for science, logistics or tourism) for tourism and other non-governmental activities in Antarctica, while allowing space for governments to develop their own policy, regarding (co-)use of infrastructure for science, e.g.  in the context of National </w:t>
      </w:r>
      <w:proofErr w:type="gramStart"/>
      <w:r w:rsidRPr="00880D72">
        <w:rPr>
          <w:rFonts w:ascii="Times New Roman" w:hAnsi="Times New Roman"/>
          <w:sz w:val="22"/>
          <w:szCs w:val="22"/>
          <w:lang w:val="en"/>
        </w:rPr>
        <w:t>Programs..</w:t>
      </w:r>
      <w:proofErr w:type="gramEnd"/>
    </w:p>
    <w:p w14:paraId="18B1E4A1" w14:textId="77777777" w:rsidR="00CC1521" w:rsidRDefault="00CC1521" w:rsidP="00CC1521">
      <w:pPr>
        <w:spacing w:line="276" w:lineRule="auto"/>
        <w:rPr>
          <w:rFonts w:ascii="Book Antiqua" w:hAnsi="Book Antiqua"/>
          <w:b/>
          <w:color w:val="000000" w:themeColor="text1"/>
        </w:rPr>
      </w:pPr>
    </w:p>
    <w:p w14:paraId="7B9CAF9A" w14:textId="77777777" w:rsidR="00CC1521" w:rsidRPr="00880D72" w:rsidRDefault="00CC1521" w:rsidP="00CC1521">
      <w:pPr>
        <w:spacing w:line="276" w:lineRule="auto"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t>This results in the following proposals to the ATCM:</w:t>
      </w:r>
    </w:p>
    <w:p w14:paraId="4509B336" w14:textId="77777777" w:rsidR="00CC1521" w:rsidRPr="00880D72" w:rsidRDefault="00CC1521" w:rsidP="00CC1521">
      <w:pPr>
        <w:spacing w:line="276" w:lineRule="auto"/>
        <w:rPr>
          <w:b/>
          <w:color w:val="000000" w:themeColor="text1"/>
          <w:szCs w:val="22"/>
        </w:rPr>
      </w:pPr>
    </w:p>
    <w:p w14:paraId="202CF9A8" w14:textId="77777777" w:rsidR="00CC1521" w:rsidRPr="00880D72" w:rsidRDefault="00CC1521" w:rsidP="00CC1521">
      <w:pPr>
        <w:pStyle w:val="Prrafodelista"/>
        <w:numPr>
          <w:ilvl w:val="0"/>
          <w:numId w:val="26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b/>
          <w:color w:val="000000" w:themeColor="text1"/>
          <w:szCs w:val="22"/>
        </w:rPr>
        <w:t xml:space="preserve">The inclusion in the ATCM Multi-Year Strategic Work Plan </w:t>
      </w:r>
      <w:r w:rsidRPr="00880D72">
        <w:rPr>
          <w:color w:val="000000" w:themeColor="text1"/>
          <w:szCs w:val="22"/>
        </w:rPr>
        <w:t>of:</w:t>
      </w:r>
    </w:p>
    <w:p w14:paraId="7872701A" w14:textId="77777777" w:rsidR="00CC1521" w:rsidRPr="00880D72" w:rsidRDefault="00CC1521" w:rsidP="00CC1521">
      <w:pPr>
        <w:pStyle w:val="Prrafodelista"/>
        <w:spacing w:line="276" w:lineRule="auto"/>
        <w:rPr>
          <w:color w:val="000000" w:themeColor="text1"/>
          <w:szCs w:val="22"/>
        </w:rPr>
      </w:pPr>
    </w:p>
    <w:p w14:paraId="59439FFD" w14:textId="77777777" w:rsidR="00CC1521" w:rsidRPr="00880D72" w:rsidRDefault="00CC1521" w:rsidP="00CC1521">
      <w:pPr>
        <w:pStyle w:val="Prrafodelista"/>
        <w:numPr>
          <w:ilvl w:val="0"/>
          <w:numId w:val="23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t xml:space="preserve">An analysis of the development of air traffic to and in Antarctica to support governmental as well as tourism and other non-governmental </w:t>
      </w:r>
      <w:proofErr w:type="gramStart"/>
      <w:r w:rsidRPr="00880D72">
        <w:rPr>
          <w:color w:val="000000" w:themeColor="text1"/>
          <w:szCs w:val="22"/>
        </w:rPr>
        <w:t>activities;</w:t>
      </w:r>
      <w:proofErr w:type="gramEnd"/>
      <w:r w:rsidRPr="00880D72">
        <w:rPr>
          <w:color w:val="000000" w:themeColor="text1"/>
          <w:szCs w:val="22"/>
        </w:rPr>
        <w:t xml:space="preserve"> </w:t>
      </w:r>
    </w:p>
    <w:p w14:paraId="125D8135" w14:textId="77777777" w:rsidR="00CC1521" w:rsidRPr="00880D72" w:rsidRDefault="00CC1521" w:rsidP="00CC1521">
      <w:pPr>
        <w:pStyle w:val="Prrafodelista"/>
        <w:numPr>
          <w:ilvl w:val="0"/>
          <w:numId w:val="23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t xml:space="preserve">An analysis of risks and benefits from the perspective of SAR of infrastructure for tourism and other non-governmental activities in </w:t>
      </w:r>
      <w:proofErr w:type="gramStart"/>
      <w:r w:rsidRPr="00880D72">
        <w:rPr>
          <w:color w:val="000000" w:themeColor="text1"/>
          <w:szCs w:val="22"/>
        </w:rPr>
        <w:t>Antarctica;</w:t>
      </w:r>
      <w:proofErr w:type="gramEnd"/>
    </w:p>
    <w:p w14:paraId="28328EFE" w14:textId="77777777" w:rsidR="00CC1521" w:rsidRPr="00880D72" w:rsidRDefault="00CC1521" w:rsidP="00CC1521">
      <w:pPr>
        <w:pStyle w:val="Prrafodelista"/>
        <w:numPr>
          <w:ilvl w:val="0"/>
          <w:numId w:val="23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t xml:space="preserve">An analysis of (potential) property issues and related issues, such as </w:t>
      </w:r>
      <w:proofErr w:type="gramStart"/>
      <w:r w:rsidRPr="00880D72">
        <w:rPr>
          <w:color w:val="000000" w:themeColor="text1"/>
          <w:szCs w:val="22"/>
        </w:rPr>
        <w:t>liability;</w:t>
      </w:r>
      <w:proofErr w:type="gramEnd"/>
    </w:p>
    <w:p w14:paraId="36A47DB7" w14:textId="77777777" w:rsidR="00CC1521" w:rsidRPr="00880D72" w:rsidRDefault="00CC1521" w:rsidP="00CC1521">
      <w:pPr>
        <w:pStyle w:val="Prrafodelista"/>
        <w:numPr>
          <w:ilvl w:val="0"/>
          <w:numId w:val="23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t xml:space="preserve">An analysis of the interconnection between governmental and non-governmental use of infrastructure in </w:t>
      </w:r>
      <w:proofErr w:type="gramStart"/>
      <w:r w:rsidRPr="00880D72">
        <w:rPr>
          <w:color w:val="000000" w:themeColor="text1"/>
          <w:szCs w:val="22"/>
        </w:rPr>
        <w:t>Antarctica;</w:t>
      </w:r>
      <w:proofErr w:type="gramEnd"/>
    </w:p>
    <w:p w14:paraId="5F77AE58" w14:textId="77777777" w:rsidR="00CC1521" w:rsidRPr="00880D72" w:rsidRDefault="00CC1521" w:rsidP="00CC1521">
      <w:pPr>
        <w:pStyle w:val="Prrafodelista"/>
        <w:numPr>
          <w:ilvl w:val="0"/>
          <w:numId w:val="23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t xml:space="preserve">An identification of currently inviolate areas where semi-permanent facilities for tourism and other non-governmental should not be </w:t>
      </w:r>
      <w:proofErr w:type="gramStart"/>
      <w:r w:rsidRPr="00880D72">
        <w:rPr>
          <w:color w:val="000000" w:themeColor="text1"/>
          <w:szCs w:val="22"/>
        </w:rPr>
        <w:t>allowed</w:t>
      </w:r>
      <w:proofErr w:type="gramEnd"/>
    </w:p>
    <w:p w14:paraId="0D685025" w14:textId="77777777" w:rsidR="00CC1521" w:rsidRPr="00880D72" w:rsidRDefault="00CC1521" w:rsidP="00CC1521">
      <w:pPr>
        <w:pStyle w:val="Prrafodelista"/>
        <w:spacing w:line="276" w:lineRule="auto"/>
        <w:rPr>
          <w:color w:val="000000" w:themeColor="text1"/>
          <w:szCs w:val="22"/>
        </w:rPr>
      </w:pPr>
    </w:p>
    <w:p w14:paraId="75D75DAD" w14:textId="77777777" w:rsidR="00CC1521" w:rsidRPr="00880D72" w:rsidRDefault="00CC1521" w:rsidP="00CC1521">
      <w:pPr>
        <w:pStyle w:val="Prrafodelista"/>
        <w:numPr>
          <w:ilvl w:val="0"/>
          <w:numId w:val="27"/>
        </w:numPr>
        <w:spacing w:line="276" w:lineRule="auto"/>
        <w:contextualSpacing/>
        <w:rPr>
          <w:b/>
          <w:color w:val="000000" w:themeColor="text1"/>
          <w:szCs w:val="22"/>
        </w:rPr>
      </w:pPr>
      <w:r w:rsidRPr="00880D72">
        <w:rPr>
          <w:b/>
          <w:color w:val="000000" w:themeColor="text1"/>
          <w:szCs w:val="22"/>
        </w:rPr>
        <w:t>The adoption of the following Resolution:</w:t>
      </w:r>
    </w:p>
    <w:p w14:paraId="6231A590" w14:textId="77777777" w:rsidR="00CC1521" w:rsidRPr="00880D72" w:rsidRDefault="00CC1521" w:rsidP="00CC1521">
      <w:pPr>
        <w:spacing w:line="276" w:lineRule="auto"/>
        <w:rPr>
          <w:b/>
          <w:color w:val="000000" w:themeColor="text1"/>
          <w:szCs w:val="22"/>
        </w:rPr>
      </w:pPr>
    </w:p>
    <w:p w14:paraId="25A97EEC" w14:textId="77777777" w:rsidR="00CC1521" w:rsidRPr="00880D72" w:rsidRDefault="00CC1521" w:rsidP="00CC1521">
      <w:pPr>
        <w:spacing w:line="276" w:lineRule="auto"/>
        <w:rPr>
          <w:b/>
          <w:color w:val="000000" w:themeColor="text1"/>
          <w:szCs w:val="22"/>
        </w:rPr>
      </w:pPr>
    </w:p>
    <w:p w14:paraId="5E03B5FC" w14:textId="77777777" w:rsidR="00CC1521" w:rsidRDefault="00CC1521" w:rsidP="00CC1521">
      <w:pPr>
        <w:spacing w:line="276" w:lineRule="auto"/>
        <w:jc w:val="center"/>
        <w:rPr>
          <w:b/>
          <w:color w:val="000000" w:themeColor="text1"/>
          <w:szCs w:val="22"/>
        </w:rPr>
      </w:pPr>
      <w:r>
        <w:rPr>
          <w:b/>
          <w:color w:val="000000" w:themeColor="text1"/>
          <w:szCs w:val="22"/>
        </w:rPr>
        <w:br w:type="page"/>
      </w:r>
    </w:p>
    <w:p w14:paraId="7276F601" w14:textId="3BD463C1" w:rsidR="00CC1521" w:rsidRPr="00880D72" w:rsidRDefault="00CC1521" w:rsidP="00CC1521">
      <w:pPr>
        <w:pStyle w:val="ATSHeading1"/>
      </w:pPr>
      <w:r w:rsidRPr="00880D72">
        <w:lastRenderedPageBreak/>
        <w:t>Resolution … (2023)</w:t>
      </w:r>
    </w:p>
    <w:p w14:paraId="1C5C656A" w14:textId="77777777" w:rsidR="00CC1521" w:rsidRPr="00880D72" w:rsidRDefault="00CC1521" w:rsidP="00CC1521">
      <w:pPr>
        <w:pStyle w:val="ATSHeading1"/>
      </w:pPr>
      <w:r w:rsidRPr="00880D72">
        <w:t>Infrastructure for tourism and other non-governmental activities in Antarctica</w:t>
      </w:r>
    </w:p>
    <w:p w14:paraId="1FAB42DD" w14:textId="77777777" w:rsidR="00CC1521" w:rsidRPr="00880D72" w:rsidRDefault="00CC1521" w:rsidP="00CC1521">
      <w:pPr>
        <w:spacing w:line="276" w:lineRule="auto"/>
        <w:rPr>
          <w:color w:val="000000" w:themeColor="text1"/>
          <w:szCs w:val="22"/>
        </w:rPr>
      </w:pPr>
    </w:p>
    <w:p w14:paraId="0830EA56" w14:textId="77777777" w:rsidR="00CC1521" w:rsidRPr="00880D72" w:rsidRDefault="00CC1521" w:rsidP="00CC1521">
      <w:pPr>
        <w:spacing w:line="276" w:lineRule="auto"/>
        <w:rPr>
          <w:color w:val="000000" w:themeColor="text1"/>
          <w:szCs w:val="22"/>
        </w:rPr>
      </w:pPr>
    </w:p>
    <w:p w14:paraId="579A94BF" w14:textId="77777777" w:rsidR="00CC1521" w:rsidRPr="00880D72" w:rsidRDefault="00CC1521" w:rsidP="00CC1521">
      <w:pPr>
        <w:spacing w:line="276" w:lineRule="auto"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t xml:space="preserve">The </w:t>
      </w:r>
      <w:r w:rsidRPr="00CC1521">
        <w:rPr>
          <w:b/>
          <w:bCs/>
          <w:color w:val="000000" w:themeColor="text1"/>
          <w:szCs w:val="22"/>
        </w:rPr>
        <w:t>Representatives</w:t>
      </w:r>
      <w:r w:rsidRPr="00880D72">
        <w:rPr>
          <w:color w:val="000000" w:themeColor="text1"/>
          <w:szCs w:val="22"/>
        </w:rPr>
        <w:t>,</w:t>
      </w:r>
    </w:p>
    <w:p w14:paraId="6049435E" w14:textId="77777777" w:rsidR="00CC1521" w:rsidRPr="00880D72" w:rsidRDefault="00CC1521" w:rsidP="00CC1521">
      <w:pPr>
        <w:spacing w:line="276" w:lineRule="auto"/>
        <w:rPr>
          <w:color w:val="000000" w:themeColor="text1"/>
          <w:szCs w:val="22"/>
        </w:rPr>
      </w:pPr>
    </w:p>
    <w:p w14:paraId="75AA6122" w14:textId="77777777" w:rsidR="00CC1521" w:rsidRPr="00880D72" w:rsidRDefault="00CC1521" w:rsidP="00CC1521">
      <w:pPr>
        <w:spacing w:line="276" w:lineRule="auto"/>
        <w:rPr>
          <w:color w:val="000000" w:themeColor="text1"/>
          <w:szCs w:val="22"/>
        </w:rPr>
      </w:pPr>
      <w:r w:rsidRPr="00880D72">
        <w:rPr>
          <w:i/>
          <w:iCs/>
          <w:color w:val="000000" w:themeColor="text1"/>
          <w:szCs w:val="22"/>
        </w:rPr>
        <w:t>Recalling</w:t>
      </w:r>
      <w:r w:rsidRPr="00880D72">
        <w:rPr>
          <w:color w:val="000000" w:themeColor="text1"/>
          <w:szCs w:val="22"/>
        </w:rPr>
        <w:t xml:space="preserve"> the designation of Antarctica as a natural reserve, devoted to peace and science in Article 2 and the Environmental Principles contained in Article 3 of the Protocol on Environmental Protection to the Antarctic </w:t>
      </w:r>
      <w:proofErr w:type="gramStart"/>
      <w:r w:rsidRPr="00880D72">
        <w:rPr>
          <w:color w:val="000000" w:themeColor="text1"/>
          <w:szCs w:val="22"/>
        </w:rPr>
        <w:t>Treaty;</w:t>
      </w:r>
      <w:proofErr w:type="gramEnd"/>
    </w:p>
    <w:p w14:paraId="245D5C73" w14:textId="77777777" w:rsidR="00CC1521" w:rsidRPr="00D27504" w:rsidRDefault="00CC1521" w:rsidP="00CC1521">
      <w:pPr>
        <w:pStyle w:val="pf0"/>
        <w:rPr>
          <w:color w:val="000000" w:themeColor="text1"/>
          <w:sz w:val="22"/>
          <w:szCs w:val="22"/>
          <w:lang w:val="en-GB" w:eastAsia="nl-NL"/>
        </w:rPr>
      </w:pPr>
      <w:r w:rsidRPr="00D27504">
        <w:rPr>
          <w:i/>
          <w:iCs/>
          <w:color w:val="000000" w:themeColor="text1"/>
          <w:sz w:val="22"/>
          <w:szCs w:val="22"/>
          <w:lang w:val="en-GB"/>
        </w:rPr>
        <w:t xml:space="preserve">Also recalling </w:t>
      </w:r>
      <w:r w:rsidRPr="00D27504">
        <w:rPr>
          <w:color w:val="000000" w:themeColor="text1"/>
          <w:sz w:val="22"/>
          <w:szCs w:val="22"/>
          <w:lang w:val="en-GB"/>
        </w:rPr>
        <w:t>that</w:t>
      </w:r>
      <w:r w:rsidRPr="00D27504">
        <w:rPr>
          <w:i/>
          <w:iCs/>
          <w:color w:val="000000" w:themeColor="text1"/>
          <w:sz w:val="22"/>
          <w:szCs w:val="22"/>
          <w:lang w:val="en-GB"/>
        </w:rPr>
        <w:t xml:space="preserve"> </w:t>
      </w:r>
      <w:r w:rsidRPr="00D27504">
        <w:rPr>
          <w:color w:val="000000" w:themeColor="text1"/>
          <w:sz w:val="22"/>
          <w:szCs w:val="22"/>
          <w:lang w:val="en-GB" w:eastAsia="nl-NL"/>
        </w:rPr>
        <w:t xml:space="preserve">Resolution 5(2007) and Resolution 7(2009) referred to the need to avoid that tourism activities contribute to the long-term degradation of the Antarctic environment and values. </w:t>
      </w:r>
    </w:p>
    <w:p w14:paraId="2CB06E70" w14:textId="77777777" w:rsidR="00CC1521" w:rsidRPr="00D27504" w:rsidRDefault="00CC1521" w:rsidP="00CC1521">
      <w:pPr>
        <w:spacing w:line="276" w:lineRule="auto"/>
        <w:rPr>
          <w:color w:val="000000" w:themeColor="text1"/>
          <w:szCs w:val="22"/>
        </w:rPr>
      </w:pPr>
      <w:r w:rsidRPr="00D27504">
        <w:rPr>
          <w:i/>
          <w:iCs/>
          <w:color w:val="000000" w:themeColor="text1"/>
          <w:szCs w:val="22"/>
        </w:rPr>
        <w:t xml:space="preserve">Noting </w:t>
      </w:r>
      <w:r w:rsidRPr="00D27504">
        <w:rPr>
          <w:color w:val="000000" w:themeColor="text1"/>
          <w:szCs w:val="22"/>
        </w:rPr>
        <w:t xml:space="preserve">that Resolution 5 (2022) recommended applying restrictions on the construction and/or exploitation of facilities supporting tourism, where its construction, operations or removal is expected to have more than a minor or transitory impact on the Antarctic environment and </w:t>
      </w:r>
      <w:proofErr w:type="gramStart"/>
      <w:r w:rsidRPr="00D27504">
        <w:rPr>
          <w:color w:val="000000" w:themeColor="text1"/>
          <w:szCs w:val="22"/>
        </w:rPr>
        <w:t>values;</w:t>
      </w:r>
      <w:proofErr w:type="gramEnd"/>
      <w:r w:rsidRPr="00D27504">
        <w:rPr>
          <w:color w:val="000000" w:themeColor="text1"/>
          <w:szCs w:val="22"/>
        </w:rPr>
        <w:t xml:space="preserve"> </w:t>
      </w:r>
    </w:p>
    <w:p w14:paraId="07897D2E" w14:textId="77777777" w:rsidR="00CC1521" w:rsidRPr="00D27504" w:rsidRDefault="00CC1521" w:rsidP="00CC1521">
      <w:pPr>
        <w:pStyle w:val="pf0"/>
        <w:rPr>
          <w:color w:val="000000" w:themeColor="text1"/>
          <w:sz w:val="22"/>
          <w:szCs w:val="22"/>
          <w:lang w:val="en-GB"/>
        </w:rPr>
      </w:pPr>
      <w:r w:rsidRPr="00D27504">
        <w:rPr>
          <w:i/>
          <w:iCs/>
          <w:color w:val="000000" w:themeColor="text1"/>
          <w:sz w:val="22"/>
          <w:szCs w:val="22"/>
          <w:lang w:val="en-GB"/>
        </w:rPr>
        <w:t xml:space="preserve">Desiring </w:t>
      </w:r>
      <w:r w:rsidRPr="00D27504">
        <w:rPr>
          <w:color w:val="000000" w:themeColor="text1"/>
          <w:sz w:val="22"/>
          <w:szCs w:val="22"/>
          <w:lang w:val="en-GB"/>
        </w:rPr>
        <w:t xml:space="preserve">to take a pragmatic and precautionary approach in order to prevent wilderness degradation in Antarctica, as agreed in Resolution </w:t>
      </w:r>
      <w:proofErr w:type="gramStart"/>
      <w:r w:rsidRPr="00D27504">
        <w:rPr>
          <w:color w:val="000000" w:themeColor="text1"/>
          <w:sz w:val="22"/>
          <w:szCs w:val="22"/>
          <w:lang w:val="en-GB"/>
        </w:rPr>
        <w:t>7(2009);</w:t>
      </w:r>
      <w:proofErr w:type="gramEnd"/>
    </w:p>
    <w:p w14:paraId="409413EB" w14:textId="77777777" w:rsidR="00CC1521" w:rsidRPr="00D27504" w:rsidRDefault="00CC1521" w:rsidP="00CC1521">
      <w:pPr>
        <w:spacing w:line="276" w:lineRule="auto"/>
        <w:rPr>
          <w:color w:val="000000" w:themeColor="text1"/>
          <w:szCs w:val="22"/>
        </w:rPr>
      </w:pPr>
      <w:proofErr w:type="gramStart"/>
      <w:r w:rsidRPr="00D27504">
        <w:rPr>
          <w:i/>
          <w:iCs/>
          <w:color w:val="000000" w:themeColor="text1"/>
          <w:szCs w:val="22"/>
        </w:rPr>
        <w:t>Noting also</w:t>
      </w:r>
      <w:proofErr w:type="gramEnd"/>
      <w:r w:rsidRPr="00D27504">
        <w:rPr>
          <w:i/>
          <w:iCs/>
          <w:color w:val="000000" w:themeColor="text1"/>
          <w:szCs w:val="22"/>
        </w:rPr>
        <w:t xml:space="preserve"> </w:t>
      </w:r>
      <w:r w:rsidRPr="00D27504">
        <w:rPr>
          <w:color w:val="000000" w:themeColor="text1"/>
          <w:szCs w:val="22"/>
        </w:rPr>
        <w:t>the desirability of making available and accessible updated</w:t>
      </w:r>
      <w:r w:rsidRPr="00D27504" w:rsidDel="009E6F60">
        <w:rPr>
          <w:color w:val="000000" w:themeColor="text1"/>
          <w:szCs w:val="22"/>
        </w:rPr>
        <w:t xml:space="preserve"> </w:t>
      </w:r>
      <w:r w:rsidRPr="00D27504">
        <w:rPr>
          <w:color w:val="000000" w:themeColor="text1"/>
          <w:szCs w:val="22"/>
        </w:rPr>
        <w:t xml:space="preserve">and reliable information on the infrastructure supporting tourism and other non-governmental activities in Antarctica, with the aim of ensuring transparency in tourism developments and </w:t>
      </w:r>
      <w:proofErr w:type="spellStart"/>
      <w:r w:rsidRPr="00D27504">
        <w:rPr>
          <w:color w:val="000000" w:themeColor="text1"/>
          <w:szCs w:val="22"/>
        </w:rPr>
        <w:t>promot</w:t>
      </w:r>
      <w:r w:rsidRPr="00880D72">
        <w:rPr>
          <w:color w:val="000000" w:themeColor="text1"/>
          <w:szCs w:val="22"/>
          <w:lang w:val="en-US"/>
        </w:rPr>
        <w:t>ing</w:t>
      </w:r>
      <w:proofErr w:type="spellEnd"/>
      <w:r w:rsidRPr="00D27504">
        <w:rPr>
          <w:color w:val="000000" w:themeColor="text1"/>
          <w:szCs w:val="22"/>
        </w:rPr>
        <w:t xml:space="preserve"> progress in Antarctic tourism governance</w:t>
      </w:r>
    </w:p>
    <w:p w14:paraId="0BCCFFC8" w14:textId="77777777" w:rsidR="00CC1521" w:rsidRPr="00D27504" w:rsidRDefault="00CC1521" w:rsidP="00CC1521">
      <w:pPr>
        <w:spacing w:line="276" w:lineRule="auto"/>
        <w:rPr>
          <w:color w:val="000000" w:themeColor="text1"/>
          <w:szCs w:val="22"/>
        </w:rPr>
      </w:pPr>
    </w:p>
    <w:p w14:paraId="527D543A" w14:textId="77777777" w:rsidR="00CC1521" w:rsidRPr="00D27504" w:rsidRDefault="00CC1521" w:rsidP="00CC1521">
      <w:pPr>
        <w:spacing w:line="276" w:lineRule="auto"/>
        <w:rPr>
          <w:color w:val="000000" w:themeColor="text1"/>
          <w:szCs w:val="22"/>
        </w:rPr>
      </w:pPr>
      <w:r w:rsidRPr="00D27504">
        <w:rPr>
          <w:color w:val="000000" w:themeColor="text1"/>
          <w:szCs w:val="22"/>
        </w:rPr>
        <w:t xml:space="preserve">Recalling Resolutions 5(2007), 7(2009) and </w:t>
      </w:r>
      <w:proofErr w:type="gramStart"/>
      <w:r w:rsidRPr="00D27504">
        <w:rPr>
          <w:color w:val="000000" w:themeColor="text1"/>
          <w:szCs w:val="22"/>
        </w:rPr>
        <w:t>5(2022);</w:t>
      </w:r>
      <w:proofErr w:type="gramEnd"/>
    </w:p>
    <w:p w14:paraId="2D15143B" w14:textId="77777777" w:rsidR="00CC1521" w:rsidRPr="00D27504" w:rsidRDefault="00CC1521" w:rsidP="00CC1521">
      <w:pPr>
        <w:spacing w:line="276" w:lineRule="auto"/>
        <w:rPr>
          <w:color w:val="000000" w:themeColor="text1"/>
          <w:szCs w:val="22"/>
        </w:rPr>
      </w:pPr>
    </w:p>
    <w:p w14:paraId="1CB5E923" w14:textId="77777777" w:rsidR="00CC1521" w:rsidRPr="00D27504" w:rsidRDefault="00CC1521" w:rsidP="00CC1521">
      <w:pPr>
        <w:spacing w:line="276" w:lineRule="auto"/>
        <w:rPr>
          <w:color w:val="000000" w:themeColor="text1"/>
          <w:szCs w:val="22"/>
        </w:rPr>
      </w:pPr>
      <w:r w:rsidRPr="00CC1521">
        <w:rPr>
          <w:b/>
          <w:bCs/>
          <w:color w:val="000000" w:themeColor="text1"/>
          <w:szCs w:val="22"/>
        </w:rPr>
        <w:t>Recommend</w:t>
      </w:r>
      <w:r w:rsidRPr="00D27504">
        <w:rPr>
          <w:color w:val="000000" w:themeColor="text1"/>
          <w:szCs w:val="22"/>
        </w:rPr>
        <w:t xml:space="preserve"> to their governments:</w:t>
      </w:r>
    </w:p>
    <w:p w14:paraId="09BDA50E" w14:textId="77777777" w:rsidR="00CC1521" w:rsidRPr="00B4570D" w:rsidRDefault="00CC1521" w:rsidP="00CC1521">
      <w:pPr>
        <w:spacing w:line="276" w:lineRule="auto"/>
        <w:rPr>
          <w:rFonts w:ascii="Book Antiqua" w:hAnsi="Book Antiqua"/>
          <w:color w:val="000000" w:themeColor="text1"/>
        </w:rPr>
      </w:pPr>
    </w:p>
    <w:p w14:paraId="4B71CC8C" w14:textId="77777777" w:rsidR="00CC1521" w:rsidRPr="00176972" w:rsidRDefault="00CC1521" w:rsidP="00CC1521">
      <w:pPr>
        <w:pStyle w:val="Prrafodelista"/>
        <w:numPr>
          <w:ilvl w:val="0"/>
          <w:numId w:val="28"/>
        </w:numPr>
        <w:spacing w:line="276" w:lineRule="auto"/>
        <w:rPr>
          <w:color w:val="000000" w:themeColor="text1"/>
          <w:szCs w:val="22"/>
        </w:rPr>
      </w:pPr>
      <w:r w:rsidRPr="00176972">
        <w:rPr>
          <w:color w:val="000000" w:themeColor="text1"/>
          <w:szCs w:val="22"/>
        </w:rPr>
        <w:t>To establish, through the Electronic Information Exchange System (EIES), a repository of infrastructure supporting tourism and other non-governmental activities in Antarctica, following the model annexed to this Resolution</w:t>
      </w:r>
      <w:r>
        <w:rPr>
          <w:color w:val="000000" w:themeColor="text1"/>
          <w:szCs w:val="22"/>
        </w:rPr>
        <w:t xml:space="preserve">, </w:t>
      </w:r>
      <w:r w:rsidRPr="00176972">
        <w:rPr>
          <w:color w:val="000000" w:themeColor="text1"/>
          <w:szCs w:val="22"/>
        </w:rPr>
        <w:t xml:space="preserve">considering that the inclusion of any infrastructure in this repository does not necessarily imply that </w:t>
      </w:r>
      <w:r>
        <w:rPr>
          <w:color w:val="000000" w:themeColor="text1"/>
          <w:szCs w:val="22"/>
        </w:rPr>
        <w:t xml:space="preserve">this infrastructure and/or </w:t>
      </w:r>
      <w:r w:rsidRPr="00176972">
        <w:rPr>
          <w:color w:val="000000" w:themeColor="text1"/>
          <w:szCs w:val="22"/>
        </w:rPr>
        <w:t xml:space="preserve">its use is </w:t>
      </w:r>
      <w:proofErr w:type="gramStart"/>
      <w:r w:rsidRPr="00176972">
        <w:rPr>
          <w:color w:val="000000" w:themeColor="text1"/>
          <w:szCs w:val="22"/>
        </w:rPr>
        <w:t>legitimized;</w:t>
      </w:r>
      <w:proofErr w:type="gramEnd"/>
      <w:r w:rsidRPr="00176972">
        <w:rPr>
          <w:color w:val="000000" w:themeColor="text1"/>
          <w:szCs w:val="22"/>
        </w:rPr>
        <w:t xml:space="preserve"> </w:t>
      </w:r>
    </w:p>
    <w:p w14:paraId="67C0F51E" w14:textId="77777777" w:rsidR="00CC1521" w:rsidRPr="00176972" w:rsidRDefault="00CC1521" w:rsidP="00CC1521">
      <w:pPr>
        <w:spacing w:line="276" w:lineRule="auto"/>
        <w:rPr>
          <w:color w:val="000000" w:themeColor="text1"/>
          <w:szCs w:val="22"/>
        </w:rPr>
      </w:pPr>
    </w:p>
    <w:p w14:paraId="70886D11" w14:textId="77777777" w:rsidR="00CC1521" w:rsidRPr="00176972" w:rsidRDefault="00CC1521" w:rsidP="00CC1521">
      <w:pPr>
        <w:pStyle w:val="Prrafodelista"/>
        <w:numPr>
          <w:ilvl w:val="0"/>
          <w:numId w:val="28"/>
        </w:numPr>
        <w:spacing w:line="276" w:lineRule="auto"/>
        <w:rPr>
          <w:color w:val="000000" w:themeColor="text1"/>
          <w:szCs w:val="22"/>
        </w:rPr>
      </w:pPr>
      <w:r w:rsidRPr="00176972">
        <w:rPr>
          <w:color w:val="000000" w:themeColor="text1"/>
          <w:szCs w:val="22"/>
        </w:rPr>
        <w:t>To request the Secretariat to produce a summarized report and a downloadable table</w:t>
      </w:r>
      <w:r>
        <w:rPr>
          <w:color w:val="000000" w:themeColor="text1"/>
          <w:szCs w:val="22"/>
        </w:rPr>
        <w:t>,</w:t>
      </w:r>
      <w:r w:rsidRPr="00176972">
        <w:rPr>
          <w:color w:val="000000" w:themeColor="text1"/>
          <w:szCs w:val="22"/>
        </w:rPr>
        <w:t xml:space="preserve"> based on the information provided by Parties to the relevant section of the EIES as detailed in Decision XX (2023), post them publicly on its website and keep them updated;</w:t>
      </w:r>
      <w:r>
        <w:rPr>
          <w:color w:val="000000" w:themeColor="text1"/>
          <w:szCs w:val="22"/>
        </w:rPr>
        <w:br/>
      </w:r>
    </w:p>
    <w:p w14:paraId="3CCD17F7" w14:textId="77777777" w:rsidR="00CC1521" w:rsidRPr="00880D72" w:rsidRDefault="00CC1521" w:rsidP="00CC1521">
      <w:pPr>
        <w:pStyle w:val="Prrafodelista"/>
        <w:numPr>
          <w:ilvl w:val="0"/>
          <w:numId w:val="28"/>
        </w:numPr>
        <w:spacing w:line="276" w:lineRule="auto"/>
        <w:rPr>
          <w:lang w:val="en-US"/>
        </w:rPr>
      </w:pPr>
      <w:r w:rsidRPr="00880D72">
        <w:rPr>
          <w:szCs w:val="22"/>
          <w:lang w:val="en-US"/>
        </w:rPr>
        <w:t xml:space="preserve">To make every effort to prevent, and not </w:t>
      </w:r>
      <w:proofErr w:type="spellStart"/>
      <w:r w:rsidRPr="00880D72">
        <w:rPr>
          <w:szCs w:val="22"/>
          <w:lang w:val="en-US"/>
        </w:rPr>
        <w:t>authorise</w:t>
      </w:r>
      <w:proofErr w:type="spellEnd"/>
      <w:r w:rsidRPr="00880D72">
        <w:rPr>
          <w:szCs w:val="22"/>
          <w:lang w:val="en-US"/>
        </w:rPr>
        <w:t xml:space="preserve">, </w:t>
      </w:r>
      <w:proofErr w:type="gramStart"/>
      <w:r w:rsidRPr="00880D72">
        <w:rPr>
          <w:szCs w:val="22"/>
          <w:lang w:val="en-US"/>
        </w:rPr>
        <w:t>permit</w:t>
      </w:r>
      <w:proofErr w:type="gramEnd"/>
      <w:r w:rsidRPr="00880D72">
        <w:rPr>
          <w:szCs w:val="22"/>
          <w:lang w:val="en-US"/>
        </w:rPr>
        <w:t xml:space="preserve"> or approve for the expansion of tourism and other non-governmental activities:</w:t>
      </w:r>
    </w:p>
    <w:p w14:paraId="231D4310" w14:textId="77777777" w:rsidR="00CC1521" w:rsidRPr="00880D72" w:rsidRDefault="00CC1521" w:rsidP="00CC1521">
      <w:pPr>
        <w:pStyle w:val="Prrafodelista"/>
        <w:numPr>
          <w:ilvl w:val="1"/>
          <w:numId w:val="24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lastRenderedPageBreak/>
        <w:t xml:space="preserve">new situations in which research stations allow co-use for tourism and other non-governmental activities, as meant in category A of the </w:t>
      </w:r>
      <w:proofErr w:type="gramStart"/>
      <w:r w:rsidRPr="00880D72">
        <w:rPr>
          <w:color w:val="000000" w:themeColor="text1"/>
          <w:szCs w:val="22"/>
        </w:rPr>
        <w:t>repository;</w:t>
      </w:r>
      <w:proofErr w:type="gramEnd"/>
    </w:p>
    <w:p w14:paraId="34A2789B" w14:textId="77777777" w:rsidR="00CC1521" w:rsidRPr="00880D72" w:rsidRDefault="00CC1521" w:rsidP="00CC1521">
      <w:pPr>
        <w:pStyle w:val="Prrafodelista"/>
        <w:numPr>
          <w:ilvl w:val="1"/>
          <w:numId w:val="24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t xml:space="preserve">increase in size or capacity of existing permanent infrastructure for tourism or other non-governmental activities, as meant in category D of the </w:t>
      </w:r>
      <w:proofErr w:type="gramStart"/>
      <w:r w:rsidRPr="00880D72">
        <w:rPr>
          <w:color w:val="000000" w:themeColor="text1"/>
          <w:szCs w:val="22"/>
        </w:rPr>
        <w:t>repository;</w:t>
      </w:r>
      <w:proofErr w:type="gramEnd"/>
    </w:p>
    <w:p w14:paraId="57F9AA33" w14:textId="77777777" w:rsidR="00CC1521" w:rsidRPr="00880D72" w:rsidRDefault="00CC1521" w:rsidP="00CC1521">
      <w:pPr>
        <w:pStyle w:val="Prrafodelista"/>
        <w:numPr>
          <w:ilvl w:val="1"/>
          <w:numId w:val="24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szCs w:val="22"/>
        </w:rPr>
        <w:t xml:space="preserve">the establishment of new semi-permanent and temporary infrastructure for tourism or other non-governmental activities, as meant in category E of the repository, in </w:t>
      </w:r>
      <w:r w:rsidRPr="00880D72">
        <w:rPr>
          <w:color w:val="000000" w:themeColor="text1"/>
          <w:szCs w:val="22"/>
        </w:rPr>
        <w:t>inviolate areas of Antarctica;</w:t>
      </w:r>
      <w:r>
        <w:rPr>
          <w:color w:val="000000" w:themeColor="text1"/>
          <w:szCs w:val="22"/>
        </w:rPr>
        <w:br/>
      </w:r>
    </w:p>
    <w:p w14:paraId="200342D7" w14:textId="77777777" w:rsidR="00CC1521" w:rsidRPr="00880D72" w:rsidRDefault="00CC1521" w:rsidP="00CC1521">
      <w:pPr>
        <w:pStyle w:val="Prrafodelista"/>
        <w:numPr>
          <w:ilvl w:val="0"/>
          <w:numId w:val="28"/>
        </w:numPr>
        <w:spacing w:line="276" w:lineRule="auto"/>
        <w:rPr>
          <w:lang w:val="en-US"/>
        </w:rPr>
      </w:pPr>
      <w:r w:rsidRPr="00880D72">
        <w:rPr>
          <w:lang w:val="en-US"/>
        </w:rPr>
        <w:t xml:space="preserve">That for existing situations as meant in category A of the repository, involved governments are invited to consider setting a maximum ratio of NAP staff/ tourists, and are encouraged to not allow further expansion of co-use for tourism and other non-governmental </w:t>
      </w:r>
      <w:proofErr w:type="gramStart"/>
      <w:r w:rsidRPr="00880D72">
        <w:rPr>
          <w:lang w:val="en-US"/>
        </w:rPr>
        <w:t>activities;</w:t>
      </w:r>
      <w:proofErr w:type="gramEnd"/>
    </w:p>
    <w:p w14:paraId="3828038E" w14:textId="77777777" w:rsidR="00CC1521" w:rsidRPr="00880D72" w:rsidRDefault="00CC1521" w:rsidP="00CC1521">
      <w:pPr>
        <w:pStyle w:val="Prrafodelista"/>
        <w:spacing w:line="276" w:lineRule="auto"/>
        <w:rPr>
          <w:color w:val="000000" w:themeColor="text1"/>
          <w:szCs w:val="22"/>
        </w:rPr>
      </w:pPr>
    </w:p>
    <w:p w14:paraId="721D2311" w14:textId="77777777" w:rsidR="00CC1521" w:rsidRPr="00880D72" w:rsidRDefault="00CC1521" w:rsidP="00CC1521">
      <w:pPr>
        <w:pStyle w:val="Prrafodelista"/>
        <w:numPr>
          <w:ilvl w:val="0"/>
          <w:numId w:val="29"/>
        </w:numPr>
        <w:spacing w:line="276" w:lineRule="auto"/>
        <w:contextualSpacing/>
        <w:rPr>
          <w:color w:val="000000" w:themeColor="text1"/>
          <w:szCs w:val="22"/>
        </w:rPr>
      </w:pPr>
      <w:r w:rsidRPr="00880D72">
        <w:rPr>
          <w:color w:val="000000" w:themeColor="text1"/>
          <w:szCs w:val="22"/>
        </w:rPr>
        <w:t>That their governments, when establishing or authorising new facilities for logistical scientific support, clearly indicate as early as possible in the process whether co-use for tourism and/ or other non-governmental activities is considered appropriate and, if applicable, to identify a limit to the level of such co-use.</w:t>
      </w:r>
    </w:p>
    <w:bookmarkEnd w:id="8"/>
    <w:bookmarkEnd w:id="9"/>
    <w:p w14:paraId="422574D8" w14:textId="77777777" w:rsidR="00CC1521" w:rsidRDefault="00CC1521" w:rsidP="00952E9F"/>
    <w:sectPr w:rsidR="00CC1521" w:rsidSect="00283F0F">
      <w:headerReference w:type="default" r:id="rId11"/>
      <w:footerReference w:type="default" r:id="rId12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EAFD" w14:textId="77777777" w:rsidR="00000000" w:rsidRDefault="00CC1521">
      <w:r>
        <w:separator/>
      </w:r>
    </w:p>
  </w:endnote>
  <w:endnote w:type="continuationSeparator" w:id="0">
    <w:p w14:paraId="059A4A91" w14:textId="77777777" w:rsidR="00000000" w:rsidRDefault="00CC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60BC" w14:textId="77777777" w:rsidR="00FA0B9F" w:rsidRDefault="00CC152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74E7CBC2" w14:textId="77777777" w:rsidR="00FA0B9F" w:rsidRDefault="00CC1521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7BFE" w14:textId="77777777" w:rsidR="00FA0B9F" w:rsidRDefault="00CC152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14708ABB" w14:textId="1BF2D589" w:rsidR="00FA0B9F" w:rsidRDefault="00CC1521" w:rsidP="00FA0B9F">
    <w:pPr>
      <w:ind w:right="360"/>
    </w:pPr>
    <w:r>
      <w:t xml:space="preserve">Attachments: </w:t>
    </w:r>
  </w:p>
  <w:p w14:paraId="4DF6B353" w14:textId="26032CBE" w:rsidR="00CC1521" w:rsidRDefault="00CC1521" w:rsidP="00FA0B9F">
    <w:pPr>
      <w:ind w:right="360"/>
    </w:pPr>
    <w:r>
      <w:t>Atcm45_att009_e.docx: Report of the ICG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94EB4" w14:textId="77777777" w:rsidR="00E311C9" w:rsidRDefault="00CC1521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659D191E" w14:textId="77777777" w:rsidR="00E311C9" w:rsidRDefault="00CC1521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C3AD" w14:textId="77777777" w:rsidR="00000000" w:rsidRDefault="00CC1521">
      <w:r>
        <w:separator/>
      </w:r>
    </w:p>
  </w:footnote>
  <w:footnote w:type="continuationSeparator" w:id="0">
    <w:p w14:paraId="31E4FC5D" w14:textId="77777777" w:rsidR="00000000" w:rsidRDefault="00CC1521">
      <w:r>
        <w:continuationSeparator/>
      </w:r>
    </w:p>
  </w:footnote>
  <w:footnote w:id="1">
    <w:p w14:paraId="62D74420" w14:textId="77777777" w:rsidR="00CC1521" w:rsidRPr="00873BAA" w:rsidRDefault="00CC1521" w:rsidP="00CC1521">
      <w:pPr>
        <w:pStyle w:val="Textonotapie"/>
      </w:pPr>
      <w:r w:rsidRPr="007A531D">
        <w:rPr>
          <w:rStyle w:val="Refdenotaalpie"/>
          <w:rFonts w:ascii="Book Antiqua" w:hAnsi="Book Antiqua"/>
        </w:rPr>
        <w:footnoteRef/>
      </w:r>
      <w:r w:rsidRPr="007A531D">
        <w:rPr>
          <w:rFonts w:ascii="Book Antiqua" w:hAnsi="Book Antiqua"/>
        </w:rPr>
        <w:t xml:space="preserve"> </w:t>
      </w:r>
      <w:r w:rsidRPr="006058AC">
        <w:rPr>
          <w:sz w:val="20"/>
          <w:szCs w:val="20"/>
        </w:rPr>
        <w:t xml:space="preserve">In the context of this </w:t>
      </w:r>
      <w:r>
        <w:rPr>
          <w:sz w:val="20"/>
          <w:szCs w:val="20"/>
        </w:rPr>
        <w:t xml:space="preserve">WP and attached </w:t>
      </w:r>
      <w:r w:rsidRPr="006058AC">
        <w:rPr>
          <w:sz w:val="20"/>
          <w:szCs w:val="20"/>
        </w:rPr>
        <w:t>report, co-use refers to a secondary function of a facility, less than 50% of the facility activities.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005"/>
      <w:gridCol w:w="1248"/>
      <w:gridCol w:w="1134"/>
      <w:gridCol w:w="390"/>
    </w:tblGrid>
    <w:tr w:rsidR="00E64462" w14:paraId="40DE278C" w14:textId="77777777" w:rsidTr="002E12EC">
      <w:trPr>
        <w:trHeight w:val="344"/>
        <w:jc w:val="center"/>
      </w:trPr>
      <w:tc>
        <w:tcPr>
          <w:tcW w:w="5495" w:type="dxa"/>
        </w:tcPr>
        <w:p w14:paraId="13D90875" w14:textId="77777777" w:rsidR="00DB7C09" w:rsidRDefault="00CC1521" w:rsidP="00F968D4"/>
      </w:tc>
      <w:tc>
        <w:tcPr>
          <w:tcW w:w="4253" w:type="dxa"/>
          <w:gridSpan w:val="2"/>
        </w:tcPr>
        <w:p w14:paraId="08262F39" w14:textId="77777777" w:rsidR="00DB7C09" w:rsidRPr="00BD47E4" w:rsidRDefault="00CC1521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WP</w:t>
          </w:r>
          <w:bookmarkEnd w:id="2"/>
        </w:p>
      </w:tc>
      <w:tc>
        <w:tcPr>
          <w:tcW w:w="1524" w:type="dxa"/>
          <w:gridSpan w:val="2"/>
        </w:tcPr>
        <w:p w14:paraId="3BEE5275" w14:textId="77777777" w:rsidR="00DB7C09" w:rsidRPr="00BD47E4" w:rsidRDefault="00CC1521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4</w:t>
          </w:r>
          <w:bookmarkEnd w:id="3"/>
        </w:p>
      </w:tc>
    </w:tr>
    <w:tr w:rsidR="00E64462" w14:paraId="069CCC58" w14:textId="77777777" w:rsidTr="002E12EC">
      <w:trPr>
        <w:trHeight w:val="2165"/>
        <w:jc w:val="center"/>
      </w:trPr>
      <w:tc>
        <w:tcPr>
          <w:tcW w:w="5495" w:type="dxa"/>
        </w:tcPr>
        <w:p w14:paraId="25A005EB" w14:textId="77777777" w:rsidR="00490760" w:rsidRPr="00EE4D48" w:rsidRDefault="00CC1521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4FEC629" wp14:editId="0D04D49C">
                <wp:extent cx="2763277" cy="1612900"/>
                <wp:effectExtent l="0" t="0" r="0" b="6350"/>
                <wp:docPr id="2" name="Imagen 2" descr="Diagrama, 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2671779" name="Imagen 2" descr="Diagrama, 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315" cy="1702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070FDCF8" w14:textId="77777777" w:rsidR="00490760" w:rsidRPr="00FE5146" w:rsidRDefault="00CC1521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E64462" w14:paraId="3BEDBD9F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485812ED" w14:textId="77777777" w:rsidR="00BD47E4" w:rsidRDefault="00CC1521" w:rsidP="002C30DA">
          <w:pPr>
            <w:jc w:val="right"/>
          </w:pPr>
          <w:r>
            <w:t>Agenda Item:</w:t>
          </w:r>
        </w:p>
      </w:tc>
      <w:tc>
        <w:tcPr>
          <w:tcW w:w="2382" w:type="dxa"/>
          <w:gridSpan w:val="2"/>
        </w:tcPr>
        <w:p w14:paraId="75DAE875" w14:textId="77777777" w:rsidR="00BD47E4" w:rsidRDefault="00CC1521" w:rsidP="002C30DA">
          <w:pPr>
            <w:jc w:val="right"/>
          </w:pPr>
          <w:bookmarkStart w:id="4" w:name="agenda"/>
          <w:r>
            <w:t>ATCM 17</w:t>
          </w:r>
          <w:bookmarkEnd w:id="4"/>
        </w:p>
      </w:tc>
      <w:tc>
        <w:tcPr>
          <w:tcW w:w="390" w:type="dxa"/>
        </w:tcPr>
        <w:p w14:paraId="6A14D2F4" w14:textId="77777777" w:rsidR="00BD47E4" w:rsidRDefault="00CC1521" w:rsidP="00387A65">
          <w:pPr>
            <w:jc w:val="right"/>
          </w:pPr>
        </w:p>
      </w:tc>
    </w:tr>
    <w:tr w:rsidR="00E64462" w14:paraId="2E88C749" w14:textId="77777777" w:rsidTr="002E12EC">
      <w:trPr>
        <w:trHeight w:val="397"/>
        <w:jc w:val="center"/>
      </w:trPr>
      <w:tc>
        <w:tcPr>
          <w:tcW w:w="8500" w:type="dxa"/>
          <w:gridSpan w:val="2"/>
        </w:tcPr>
        <w:p w14:paraId="2A905494" w14:textId="77777777" w:rsidR="00BD47E4" w:rsidRDefault="00CC1521" w:rsidP="002C30DA">
          <w:pPr>
            <w:jc w:val="right"/>
          </w:pPr>
          <w:r>
            <w:t>Presented by:</w:t>
          </w:r>
        </w:p>
      </w:tc>
      <w:tc>
        <w:tcPr>
          <w:tcW w:w="2382" w:type="dxa"/>
          <w:gridSpan w:val="2"/>
        </w:tcPr>
        <w:p w14:paraId="7E09871B" w14:textId="77777777" w:rsidR="00BD47E4" w:rsidRDefault="00CC1521" w:rsidP="002C30DA">
          <w:pPr>
            <w:jc w:val="right"/>
          </w:pPr>
          <w:bookmarkStart w:id="5" w:name="party"/>
          <w:r>
            <w:t>Netherlands</w:t>
          </w:r>
          <w:bookmarkEnd w:id="5"/>
        </w:p>
      </w:tc>
      <w:tc>
        <w:tcPr>
          <w:tcW w:w="390" w:type="dxa"/>
        </w:tcPr>
        <w:p w14:paraId="4E9112BD" w14:textId="77777777" w:rsidR="00BD47E4" w:rsidRDefault="00CC1521" w:rsidP="00387A65">
          <w:pPr>
            <w:jc w:val="right"/>
          </w:pPr>
        </w:p>
      </w:tc>
    </w:tr>
    <w:tr w:rsidR="00E64462" w14:paraId="7C1B3FD9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50520134" w14:textId="77777777" w:rsidR="00BD47E4" w:rsidRDefault="00CC1521" w:rsidP="002C30DA">
          <w:pPr>
            <w:jc w:val="right"/>
          </w:pPr>
          <w:r>
            <w:t>Original:</w:t>
          </w:r>
        </w:p>
      </w:tc>
      <w:tc>
        <w:tcPr>
          <w:tcW w:w="2382" w:type="dxa"/>
          <w:gridSpan w:val="2"/>
        </w:tcPr>
        <w:p w14:paraId="7504FEE1" w14:textId="77777777" w:rsidR="00BD47E4" w:rsidRDefault="00CC1521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5BB2F985" w14:textId="77777777" w:rsidR="00BD47E4" w:rsidRDefault="00CC1521" w:rsidP="00387A65">
          <w:pPr>
            <w:jc w:val="right"/>
          </w:pPr>
        </w:p>
      </w:tc>
    </w:tr>
    <w:tr w:rsidR="00E64462" w14:paraId="2C57716C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3C6D748C" w14:textId="77777777" w:rsidR="0097629D" w:rsidRDefault="00CC1521" w:rsidP="002C30DA">
          <w:pPr>
            <w:jc w:val="right"/>
          </w:pPr>
          <w:r>
            <w:t>Submitted:</w:t>
          </w:r>
        </w:p>
      </w:tc>
      <w:tc>
        <w:tcPr>
          <w:tcW w:w="2382" w:type="dxa"/>
          <w:gridSpan w:val="2"/>
        </w:tcPr>
        <w:p w14:paraId="4E1CFD7E" w14:textId="77777777" w:rsidR="0097629D" w:rsidRDefault="00CC1521" w:rsidP="0097629D">
          <w:pPr>
            <w:jc w:val="right"/>
          </w:pPr>
          <w:bookmarkStart w:id="7" w:name="date_submission"/>
          <w:r>
            <w:t>03 Apr 2023</w:t>
          </w:r>
          <w:bookmarkEnd w:id="7"/>
        </w:p>
      </w:tc>
      <w:tc>
        <w:tcPr>
          <w:tcW w:w="390" w:type="dxa"/>
        </w:tcPr>
        <w:p w14:paraId="4935B46C" w14:textId="77777777" w:rsidR="0097629D" w:rsidRDefault="00CC1521" w:rsidP="00387A65">
          <w:pPr>
            <w:jc w:val="right"/>
          </w:pPr>
        </w:p>
      </w:tc>
    </w:tr>
  </w:tbl>
  <w:p w14:paraId="31A6FC13" w14:textId="77777777" w:rsidR="00AE5DD0" w:rsidRDefault="00CC15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E64462" w14:paraId="42742E7B" w14:textId="77777777">
      <w:trPr>
        <w:trHeight w:val="354"/>
        <w:jc w:val="center"/>
      </w:trPr>
      <w:tc>
        <w:tcPr>
          <w:tcW w:w="9694" w:type="dxa"/>
        </w:tcPr>
        <w:p w14:paraId="7FBA6E6B" w14:textId="00AE1B98" w:rsidR="00AE5DD0" w:rsidRPr="00BD47E4" w:rsidRDefault="00CC1521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WP</w:t>
          </w:r>
        </w:p>
      </w:tc>
      <w:tc>
        <w:tcPr>
          <w:tcW w:w="1332" w:type="dxa"/>
        </w:tcPr>
        <w:p w14:paraId="2E2AFE8D" w14:textId="70B81B21" w:rsidR="00AE5DD0" w:rsidRPr="00BD47E4" w:rsidRDefault="00CC1521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4</w:t>
          </w:r>
        </w:p>
      </w:tc>
    </w:tr>
  </w:tbl>
  <w:p w14:paraId="7E27F48E" w14:textId="77777777" w:rsidR="00AE5DD0" w:rsidRDefault="00CC15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62649"/>
    <w:multiLevelType w:val="hybridMultilevel"/>
    <w:tmpl w:val="4BD0C056"/>
    <w:lvl w:ilvl="0" w:tplc="E58846CC">
      <w:start w:val="9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6577EA"/>
    <w:multiLevelType w:val="hybridMultilevel"/>
    <w:tmpl w:val="21A63D98"/>
    <w:lvl w:ilvl="0" w:tplc="B8867C66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672C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8E0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84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6A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7E62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21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4A38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3C1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F073A"/>
    <w:multiLevelType w:val="hybridMultilevel"/>
    <w:tmpl w:val="386624FC"/>
    <w:lvl w:ilvl="0" w:tplc="DD70B64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65CE7"/>
    <w:multiLevelType w:val="hybridMultilevel"/>
    <w:tmpl w:val="CB04FD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18851FC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D1A70"/>
    <w:multiLevelType w:val="hybridMultilevel"/>
    <w:tmpl w:val="B98CDF52"/>
    <w:lvl w:ilvl="0" w:tplc="10A84B1A">
      <w:start w:val="5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D0ECF"/>
    <w:multiLevelType w:val="hybridMultilevel"/>
    <w:tmpl w:val="A920C55C"/>
    <w:lvl w:ilvl="0" w:tplc="0E8ED4B4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70203"/>
    <w:multiLevelType w:val="hybridMultilevel"/>
    <w:tmpl w:val="ADD09BA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35C15"/>
    <w:multiLevelType w:val="hybridMultilevel"/>
    <w:tmpl w:val="A8A2E45C"/>
    <w:lvl w:ilvl="0" w:tplc="400C9E46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7F7298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7894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CEE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E2D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CF6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28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C84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0426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2F3AFA"/>
    <w:multiLevelType w:val="hybridMultilevel"/>
    <w:tmpl w:val="9DF09BE6"/>
    <w:lvl w:ilvl="0" w:tplc="C8F88F9E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3FC252DA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F980283E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55C6EA0E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C6A66436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E4541274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2938CA80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1BCEF20E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C65C5BE2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20" w15:restartNumberingAfterBreak="0">
    <w:nsid w:val="66C730E2"/>
    <w:multiLevelType w:val="hybridMultilevel"/>
    <w:tmpl w:val="B41C3D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912FC"/>
    <w:multiLevelType w:val="hybridMultilevel"/>
    <w:tmpl w:val="83E45020"/>
    <w:lvl w:ilvl="0" w:tplc="418851FC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22373D"/>
    <w:multiLevelType w:val="hybridMultilevel"/>
    <w:tmpl w:val="D2BAE46C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212657C"/>
    <w:multiLevelType w:val="hybridMultilevel"/>
    <w:tmpl w:val="0A8E2A84"/>
    <w:lvl w:ilvl="0" w:tplc="8336320C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447259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A0C9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520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34C1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06A8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709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632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F4E5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3D2161"/>
    <w:multiLevelType w:val="hybridMultilevel"/>
    <w:tmpl w:val="B0868D9E"/>
    <w:lvl w:ilvl="0" w:tplc="E86032CC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4A1EDF06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73261A56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A9023724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EA846C50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A390534A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AF164CE4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59384414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FE8E4E12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25" w15:restartNumberingAfterBreak="0">
    <w:nsid w:val="7C866FC0"/>
    <w:multiLevelType w:val="hybridMultilevel"/>
    <w:tmpl w:val="57EA2900"/>
    <w:lvl w:ilvl="0" w:tplc="89482280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E48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92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E45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2695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E88E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A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898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A628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9018644">
    <w:abstractNumId w:val="9"/>
  </w:num>
  <w:num w:numId="2" w16cid:durableId="1615674632">
    <w:abstractNumId w:val="7"/>
  </w:num>
  <w:num w:numId="3" w16cid:durableId="907499028">
    <w:abstractNumId w:val="6"/>
  </w:num>
  <w:num w:numId="4" w16cid:durableId="2073431191">
    <w:abstractNumId w:val="5"/>
  </w:num>
  <w:num w:numId="5" w16cid:durableId="792287130">
    <w:abstractNumId w:val="4"/>
  </w:num>
  <w:num w:numId="6" w16cid:durableId="1853761146">
    <w:abstractNumId w:val="8"/>
  </w:num>
  <w:num w:numId="7" w16cid:durableId="464782458">
    <w:abstractNumId w:val="3"/>
  </w:num>
  <w:num w:numId="8" w16cid:durableId="888226708">
    <w:abstractNumId w:val="2"/>
  </w:num>
  <w:num w:numId="9" w16cid:durableId="2063476468">
    <w:abstractNumId w:val="1"/>
  </w:num>
  <w:num w:numId="10" w16cid:durableId="1887524798">
    <w:abstractNumId w:val="0"/>
  </w:num>
  <w:num w:numId="11" w16cid:durableId="1418362410">
    <w:abstractNumId w:val="12"/>
  </w:num>
  <w:num w:numId="12" w16cid:durableId="738866151">
    <w:abstractNumId w:val="24"/>
  </w:num>
  <w:num w:numId="13" w16cid:durableId="1683778558">
    <w:abstractNumId w:val="23"/>
  </w:num>
  <w:num w:numId="14" w16cid:durableId="553853345">
    <w:abstractNumId w:val="18"/>
  </w:num>
  <w:num w:numId="15" w16cid:durableId="646859897">
    <w:abstractNumId w:val="19"/>
  </w:num>
  <w:num w:numId="16" w16cid:durableId="1115372220">
    <w:abstractNumId w:val="11"/>
  </w:num>
  <w:num w:numId="17" w16cid:durableId="817451807">
    <w:abstractNumId w:val="12"/>
  </w:num>
  <w:num w:numId="18" w16cid:durableId="444235458">
    <w:abstractNumId w:val="24"/>
  </w:num>
  <w:num w:numId="19" w16cid:durableId="291444148">
    <w:abstractNumId w:val="23"/>
  </w:num>
  <w:num w:numId="20" w16cid:durableId="1244339008">
    <w:abstractNumId w:val="25"/>
  </w:num>
  <w:num w:numId="21" w16cid:durableId="802623371">
    <w:abstractNumId w:val="22"/>
  </w:num>
  <w:num w:numId="22" w16cid:durableId="2096129626">
    <w:abstractNumId w:val="17"/>
  </w:num>
  <w:num w:numId="23" w16cid:durableId="1305087163">
    <w:abstractNumId w:val="21"/>
  </w:num>
  <w:num w:numId="24" w16cid:durableId="31150880">
    <w:abstractNumId w:val="14"/>
  </w:num>
  <w:num w:numId="25" w16cid:durableId="1271006779">
    <w:abstractNumId w:val="16"/>
  </w:num>
  <w:num w:numId="26" w16cid:durableId="1061560087">
    <w:abstractNumId w:val="10"/>
  </w:num>
  <w:num w:numId="27" w16cid:durableId="2050832837">
    <w:abstractNumId w:val="13"/>
  </w:num>
  <w:num w:numId="28" w16cid:durableId="79956570">
    <w:abstractNumId w:val="20"/>
  </w:num>
  <w:num w:numId="29" w16cid:durableId="1184518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62"/>
    <w:rsid w:val="00CC1521"/>
    <w:rsid w:val="00E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2C07B0"/>
  <w15:chartTrackingRefBased/>
  <w15:docId w15:val="{E333D59A-E50E-4E64-A875-3219D98F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footnote text" w:uiPriority="99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link w:val="ATSHeading2Char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customStyle="1" w:styleId="ATSHeading2Char">
    <w:name w:val="ATS Heading 2 Char"/>
    <w:link w:val="ATSHeading2"/>
    <w:locked/>
    <w:rsid w:val="00CC1521"/>
    <w:rPr>
      <w:rFonts w:ascii="Arial" w:hAnsi="Arial"/>
      <w:b/>
      <w:i/>
      <w:sz w:val="24"/>
      <w:szCs w:val="22"/>
      <w:lang w:val="en-GB" w:eastAsia="en-GB"/>
    </w:rPr>
  </w:style>
  <w:style w:type="paragraph" w:styleId="Sinespaciado">
    <w:name w:val="No Spacing"/>
    <w:uiPriority w:val="1"/>
    <w:qFormat/>
    <w:rsid w:val="00CC1521"/>
    <w:rPr>
      <w:rFonts w:asciiTheme="minorHAnsi" w:hAnsiTheme="minorHAnsi"/>
      <w:sz w:val="24"/>
      <w:szCs w:val="24"/>
      <w:lang w:val="nl-N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C1521"/>
    <w:rPr>
      <w:sz w:val="22"/>
      <w:szCs w:val="22"/>
      <w:lang w:val="en-GB" w:eastAsia="en-US"/>
    </w:rPr>
  </w:style>
  <w:style w:type="paragraph" w:customStyle="1" w:styleId="pf0">
    <w:name w:val="pf0"/>
    <w:basedOn w:val="Normal"/>
    <w:rsid w:val="00CC1521"/>
    <w:pPr>
      <w:spacing w:before="100" w:beforeAutospacing="1" w:after="100" w:afterAutospacing="1"/>
    </w:pPr>
    <w:rPr>
      <w:sz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1593</Words>
  <Characters>9437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Jose Luis Agraz</dc:creator>
  <cp:lastModifiedBy>Jose Luis Agraz</cp:lastModifiedBy>
  <cp:revision>3</cp:revision>
  <cp:lastPrinted>2008-01-22T18:20:00Z</cp:lastPrinted>
  <dcterms:created xsi:type="dcterms:W3CDTF">2022-10-28T13:16:00Z</dcterms:created>
  <dcterms:modified xsi:type="dcterms:W3CDTF">2023-04-03T16:25:00Z</dcterms:modified>
</cp:coreProperties>
</file>