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65618" w14:textId="77777777" w:rsidR="00C26F2D" w:rsidRPr="00BF077B" w:rsidRDefault="00340C0D" w:rsidP="00BF077B">
      <w:pPr>
        <w:pStyle w:val="ATSNormal"/>
        <w:rPr>
          <w:rStyle w:val="Ttulodellibro"/>
        </w:rPr>
      </w:pPr>
    </w:p>
    <w:p w14:paraId="3CD1991B" w14:textId="77777777" w:rsidR="002F0A13" w:rsidRDefault="00340C0D" w:rsidP="004B4A60">
      <w:pPr>
        <w:rPr>
          <w:b/>
          <w:u w:val="single"/>
          <w:lang w:val="es-ES_tradnl"/>
        </w:rPr>
      </w:pPr>
    </w:p>
    <w:p w14:paraId="4FEB7819" w14:textId="77777777" w:rsidR="002F0A13" w:rsidRDefault="00340C0D" w:rsidP="004B4A60">
      <w:pPr>
        <w:rPr>
          <w:b/>
          <w:u w:val="single"/>
          <w:lang w:val="es-ES_tradnl"/>
        </w:rPr>
      </w:pPr>
    </w:p>
    <w:p w14:paraId="176B4860" w14:textId="77777777" w:rsidR="002F0A13" w:rsidRDefault="00340C0D" w:rsidP="004B4A60">
      <w:pPr>
        <w:rPr>
          <w:b/>
          <w:u w:val="single"/>
          <w:lang w:val="es-ES_tradnl"/>
        </w:rPr>
      </w:pPr>
    </w:p>
    <w:p w14:paraId="09C456EE" w14:textId="77777777" w:rsidR="002F0A13" w:rsidRDefault="00340C0D" w:rsidP="004B4A60">
      <w:pPr>
        <w:rPr>
          <w:b/>
          <w:u w:val="single"/>
          <w:lang w:val="es-ES_tradnl"/>
        </w:rPr>
      </w:pPr>
    </w:p>
    <w:p w14:paraId="4C47A9F3" w14:textId="77777777" w:rsidR="00C26F2D" w:rsidRDefault="00340C0D" w:rsidP="004B4A60">
      <w:pPr>
        <w:rPr>
          <w:b/>
          <w:u w:val="single"/>
          <w:lang w:val="es-ES_tradnl"/>
        </w:rPr>
      </w:pPr>
    </w:p>
    <w:p w14:paraId="744F9FAC" w14:textId="77777777" w:rsidR="004B4A60" w:rsidRPr="0057246E" w:rsidRDefault="00340C0D" w:rsidP="001B789F">
      <w:pPr>
        <w:pStyle w:val="ATSTitle"/>
      </w:pPr>
      <w:bookmarkStart w:id="0" w:name="name"/>
      <w:r>
        <w:t>Environmental monitoring: an international framework</w:t>
      </w:r>
      <w:bookmarkEnd w:id="0"/>
    </w:p>
    <w:p w14:paraId="2DAD85DE" w14:textId="77777777" w:rsidR="004B4A60" w:rsidRPr="0057246E" w:rsidRDefault="00340C0D" w:rsidP="00F75424">
      <w:pPr>
        <w:jc w:val="center"/>
      </w:pPr>
    </w:p>
    <w:p w14:paraId="74F55D34" w14:textId="77777777" w:rsidR="004B4A60" w:rsidRPr="002F0A13" w:rsidRDefault="00340C0D" w:rsidP="002F0A13"/>
    <w:p w14:paraId="04057FA4" w14:textId="77777777" w:rsidR="004B4A60" w:rsidRDefault="00340C0D" w:rsidP="00F75424">
      <w:pPr>
        <w:jc w:val="center"/>
      </w:pPr>
      <w:bookmarkStart w:id="1" w:name="memo"/>
      <w:bookmarkEnd w:id="1"/>
    </w:p>
    <w:p w14:paraId="61FE71D8" w14:textId="77777777" w:rsidR="0097629D" w:rsidRDefault="00340C0D" w:rsidP="00F75424">
      <w:pPr>
        <w:jc w:val="center"/>
      </w:pPr>
    </w:p>
    <w:p w14:paraId="79625F4E" w14:textId="77777777" w:rsidR="0097629D" w:rsidRDefault="00340C0D" w:rsidP="00F75424">
      <w:pPr>
        <w:jc w:val="center"/>
      </w:pPr>
    </w:p>
    <w:p w14:paraId="4DEF2C7F" w14:textId="77777777" w:rsidR="0097629D" w:rsidRDefault="00340C0D" w:rsidP="00F75424">
      <w:pPr>
        <w:jc w:val="center"/>
      </w:pPr>
    </w:p>
    <w:p w14:paraId="6B8AD309" w14:textId="77777777" w:rsidR="0097629D" w:rsidRPr="00C26F2D" w:rsidRDefault="00340C0D" w:rsidP="00F75424">
      <w:pPr>
        <w:jc w:val="center"/>
      </w:pPr>
    </w:p>
    <w:p w14:paraId="47CEE460" w14:textId="77777777" w:rsidR="004B4A60" w:rsidRPr="0057246E" w:rsidRDefault="00340C0D" w:rsidP="004B4A60"/>
    <w:p w14:paraId="671C0420" w14:textId="77777777" w:rsidR="00C26F2D" w:rsidRDefault="00340C0D"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38D723E1" w14:textId="77777777" w:rsidR="004B4A60" w:rsidRDefault="00340C0D" w:rsidP="00952E9F"/>
    <w:p w14:paraId="0DC1B5F1" w14:textId="77777777" w:rsidR="00340C0D" w:rsidRDefault="00340C0D" w:rsidP="00340C0D">
      <w:pPr>
        <w:pStyle w:val="ATSHeading1"/>
      </w:pPr>
      <w:r w:rsidRPr="002945D5">
        <w:t>Environmental monitoring: an international framework</w:t>
      </w:r>
      <w:bookmarkStart w:id="8" w:name="_Hlk131508907"/>
    </w:p>
    <w:p w14:paraId="5B6D8789" w14:textId="77777777" w:rsidR="00340C0D" w:rsidRPr="00DE77E5" w:rsidRDefault="00340C0D" w:rsidP="00340C0D">
      <w:pPr>
        <w:pStyle w:val="ATSHeading2"/>
      </w:pPr>
      <w:r w:rsidRPr="00DE77E5">
        <w:t>Sum</w:t>
      </w:r>
      <w:r>
        <w:t>mary</w:t>
      </w:r>
    </w:p>
    <w:bookmarkEnd w:id="8"/>
    <w:p w14:paraId="13F57A53" w14:textId="77777777" w:rsidR="00340C0D" w:rsidRDefault="00340C0D" w:rsidP="00340C0D">
      <w:pPr>
        <w:spacing w:before="100" w:beforeAutospacing="1" w:after="100" w:afterAutospacing="1"/>
        <w:rPr>
          <w:szCs w:val="22"/>
          <w:lang w:val="en-US" w:eastAsia="en-GB"/>
        </w:rPr>
      </w:pPr>
      <w:r w:rsidRPr="004D7638">
        <w:rPr>
          <w:szCs w:val="22"/>
          <w:lang w:val="en-US" w:eastAsia="en-GB"/>
        </w:rPr>
        <w:t xml:space="preserve">Monitoring has since long been identified as key to better assessing possible </w:t>
      </w:r>
      <w:r>
        <w:rPr>
          <w:szCs w:val="22"/>
          <w:lang w:val="en-US" w:eastAsia="en-GB"/>
        </w:rPr>
        <w:t xml:space="preserve">environmental </w:t>
      </w:r>
      <w:r w:rsidRPr="004D7638">
        <w:rPr>
          <w:szCs w:val="22"/>
          <w:lang w:val="en-US" w:eastAsia="en-GB"/>
        </w:rPr>
        <w:t>changes and identifying impacts</w:t>
      </w:r>
      <w:r>
        <w:rPr>
          <w:szCs w:val="22"/>
          <w:lang w:val="en-US" w:eastAsia="en-GB"/>
        </w:rPr>
        <w:t xml:space="preserve"> of human activities, including tourism</w:t>
      </w:r>
      <w:r w:rsidRPr="004D7638">
        <w:rPr>
          <w:szCs w:val="22"/>
          <w:lang w:val="en-US" w:eastAsia="en-GB"/>
        </w:rPr>
        <w:t xml:space="preserve">. Monitoring is also the subject of obligations in the </w:t>
      </w:r>
      <w:r w:rsidRPr="00744BCF">
        <w:rPr>
          <w:szCs w:val="22"/>
          <w:lang w:val="en-US" w:eastAsia="en-GB"/>
        </w:rPr>
        <w:t>Protocol on environmental protection to the Antarctic</w:t>
      </w:r>
      <w:r>
        <w:rPr>
          <w:szCs w:val="22"/>
          <w:lang w:val="en-US" w:eastAsia="en-GB"/>
        </w:rPr>
        <w:t xml:space="preserve"> </w:t>
      </w:r>
      <w:r w:rsidRPr="00744BCF">
        <w:rPr>
          <w:szCs w:val="22"/>
          <w:lang w:val="en-US" w:eastAsia="en-GB"/>
        </w:rPr>
        <w:t>Treaty</w:t>
      </w:r>
      <w:r>
        <w:rPr>
          <w:szCs w:val="22"/>
          <w:lang w:val="en-US" w:eastAsia="en-GB"/>
        </w:rPr>
        <w:t xml:space="preserve"> (Environment Protocol, art. 3.2.), and many Parties have included monitoring activities in the National Programs. It is however unlikely that, put together, these national monitoring activities provide a full overview of developments in the Antarctic environment, given the lack of a coherent, spatially explicit framework, the lack of a coordinating mechanism and the lack of adequate resources.</w:t>
      </w:r>
    </w:p>
    <w:p w14:paraId="4B6276AD" w14:textId="77777777" w:rsidR="00340C0D" w:rsidRDefault="00340C0D" w:rsidP="00340C0D">
      <w:pPr>
        <w:spacing w:before="100" w:beforeAutospacing="1" w:after="100" w:afterAutospacing="1"/>
        <w:rPr>
          <w:szCs w:val="22"/>
          <w:lang w:val="en-US" w:eastAsia="en-GB"/>
        </w:rPr>
      </w:pPr>
      <w:r>
        <w:rPr>
          <w:szCs w:val="22"/>
          <w:lang w:val="en-US" w:eastAsia="en-GB"/>
        </w:rPr>
        <w:t xml:space="preserve">This WP proposes to establish an ICG that will be tasked to develop a proposal for </w:t>
      </w:r>
      <w:r w:rsidRPr="004D7638">
        <w:rPr>
          <w:szCs w:val="22"/>
          <w:lang w:val="en-US" w:eastAsia="en-GB"/>
        </w:rPr>
        <w:t xml:space="preserve">an overall framework for environmental impact monitoring, also </w:t>
      </w:r>
      <w:proofErr w:type="gramStart"/>
      <w:r w:rsidRPr="004D7638">
        <w:rPr>
          <w:szCs w:val="22"/>
          <w:lang w:val="en-US" w:eastAsia="en-GB"/>
        </w:rPr>
        <w:t>taking into account</w:t>
      </w:r>
      <w:proofErr w:type="gramEnd"/>
      <w:r w:rsidRPr="004D7638">
        <w:rPr>
          <w:szCs w:val="22"/>
          <w:lang w:val="en-US" w:eastAsia="en-GB"/>
        </w:rPr>
        <w:t xml:space="preserve"> cumulative impacts.</w:t>
      </w:r>
      <w:r>
        <w:rPr>
          <w:szCs w:val="22"/>
          <w:lang w:val="en-US" w:eastAsia="en-GB"/>
        </w:rPr>
        <w:t xml:space="preserve"> It is proposed that the ICG uses important suggestions and elements that have already been identified in recent years. The WP proposes a </w:t>
      </w:r>
      <w:proofErr w:type="spellStart"/>
      <w:r>
        <w:rPr>
          <w:szCs w:val="22"/>
          <w:lang w:val="en-US" w:eastAsia="en-GB"/>
        </w:rPr>
        <w:t>ToR</w:t>
      </w:r>
      <w:proofErr w:type="spellEnd"/>
      <w:r>
        <w:rPr>
          <w:szCs w:val="22"/>
          <w:lang w:val="en-US" w:eastAsia="en-GB"/>
        </w:rPr>
        <w:t xml:space="preserve"> for the ICG.</w:t>
      </w:r>
    </w:p>
    <w:p w14:paraId="1B6FB15A" w14:textId="77777777" w:rsidR="00340C0D" w:rsidRPr="00DE77E5" w:rsidRDefault="00340C0D" w:rsidP="00340C0D">
      <w:pPr>
        <w:pStyle w:val="ATSHeading2"/>
      </w:pPr>
      <w:bookmarkStart w:id="9" w:name="_Hlk131510715"/>
      <w:r>
        <w:t>Introduction</w:t>
      </w:r>
    </w:p>
    <w:bookmarkEnd w:id="9"/>
    <w:p w14:paraId="26F38FC1" w14:textId="77777777" w:rsidR="00340C0D" w:rsidRDefault="00340C0D" w:rsidP="00340C0D">
      <w:pPr>
        <w:spacing w:before="100" w:beforeAutospacing="1" w:after="100" w:afterAutospacing="1"/>
        <w:rPr>
          <w:szCs w:val="22"/>
          <w:lang w:val="en-US" w:eastAsia="en-GB"/>
        </w:rPr>
      </w:pPr>
      <w:r w:rsidRPr="002D2E19">
        <w:rPr>
          <w:szCs w:val="22"/>
          <w:lang w:val="en-US" w:eastAsia="en-GB"/>
        </w:rPr>
        <w:t>The Antarctic environment is</w:t>
      </w:r>
      <w:r>
        <w:rPr>
          <w:szCs w:val="22"/>
          <w:lang w:val="en-US" w:eastAsia="en-GB"/>
        </w:rPr>
        <w:t xml:space="preserve"> changing. Drivers of that change include increased human presence and human activities and their impacts, that are exacerbated by climate change, pollution, and so on. Beyond the general finding that the Antarctic environment is changing, much is unknown, including the way in which the environment is changing, as well as the extent of the changes. Environmental monitoring lays the groundwork for better understanding threats and impacts and provides the basis for coherent and comprehensive policy action where needed.</w:t>
      </w:r>
    </w:p>
    <w:p w14:paraId="68DEB295" w14:textId="77777777" w:rsidR="00340C0D" w:rsidRDefault="00340C0D" w:rsidP="00340C0D">
      <w:pPr>
        <w:spacing w:before="100" w:beforeAutospacing="1" w:after="100" w:afterAutospacing="1"/>
        <w:rPr>
          <w:szCs w:val="22"/>
          <w:lang w:val="en-US" w:eastAsia="en-GB"/>
        </w:rPr>
      </w:pPr>
      <w:r>
        <w:rPr>
          <w:szCs w:val="22"/>
          <w:lang w:val="en-US" w:eastAsia="en-GB"/>
        </w:rPr>
        <w:t xml:space="preserve">Environmental monitoring is an obligation under the Environment Protocol, and many if not all Parties are undertaking environmental monitoring to some extent. </w:t>
      </w:r>
      <w:r>
        <w:rPr>
          <w:rStyle w:val="gmail-normaltextrun"/>
          <w:color w:val="000000"/>
          <w:szCs w:val="22"/>
        </w:rPr>
        <w:t>However, these approaches may show differences in terms of research approach (e.g., indicators) and cover only specific geographical areas</w:t>
      </w:r>
      <w:r>
        <w:rPr>
          <w:szCs w:val="22"/>
          <w:lang w:val="en-US" w:eastAsia="en-GB"/>
        </w:rPr>
        <w:t xml:space="preserve">. An international framework for environmental monitoring is needed, but so far, not in place. Such a framework should not only provide guidance on what to monitor, but also where to monitor, and how. Ideally the framework, following a </w:t>
      </w:r>
      <w:r>
        <w:t xml:space="preserve">Driver-Pressure-State-Impact-Response </w:t>
      </w:r>
      <w:r>
        <w:rPr>
          <w:szCs w:val="22"/>
          <w:lang w:val="en-US" w:eastAsia="en-GB"/>
        </w:rPr>
        <w:t xml:space="preserve">approach (DPSIR-approach), would be able to distinguish different drivers of change, the pressures that stem from them, as well as the impacts on and responses of the Antarctic environment and the effectiveness of policy responses. </w:t>
      </w:r>
      <w:r w:rsidRPr="00AC0091">
        <w:rPr>
          <w:szCs w:val="22"/>
          <w:lang w:val="en-US" w:eastAsia="en-GB"/>
        </w:rPr>
        <w:t>Additionally, an international monitoring framework appears to be the only way to achieve the objectives of Art. 3.2.c of the Environmental Protocol regarding the consideration of cumulative impacts in the planning and conduct of Antarctic activities.</w:t>
      </w:r>
    </w:p>
    <w:p w14:paraId="4275E54E" w14:textId="77777777" w:rsidR="00340C0D" w:rsidRPr="004B2EBF" w:rsidRDefault="00340C0D" w:rsidP="00340C0D">
      <w:pPr>
        <w:spacing w:before="100" w:beforeAutospacing="1" w:after="100" w:afterAutospacing="1"/>
        <w:rPr>
          <w:szCs w:val="22"/>
          <w:lang w:val="en-US" w:eastAsia="en-GB"/>
        </w:rPr>
      </w:pPr>
      <w:r w:rsidRPr="00A86322">
        <w:rPr>
          <w:szCs w:val="22"/>
          <w:lang w:val="en-US" w:eastAsia="en-GB"/>
        </w:rPr>
        <w:t xml:space="preserve">In recent years, much concern has been expressed around the impacts of </w:t>
      </w:r>
      <w:r>
        <w:rPr>
          <w:szCs w:val="22"/>
          <w:lang w:val="en-US" w:eastAsia="en-GB"/>
        </w:rPr>
        <w:t xml:space="preserve">tourism, climate change and pollution, and the way in which these factors might interact. </w:t>
      </w:r>
      <w:r w:rsidRPr="00A86322">
        <w:rPr>
          <w:szCs w:val="22"/>
          <w:lang w:val="en-US" w:eastAsia="en-GB"/>
        </w:rPr>
        <w:t xml:space="preserve">In the informal workshop on Antarctic tourism in Rotterdam (2019), the need for </w:t>
      </w:r>
      <w:r>
        <w:rPr>
          <w:szCs w:val="22"/>
          <w:lang w:val="en-US" w:eastAsia="en-GB"/>
        </w:rPr>
        <w:t xml:space="preserve">the development of an international framework for environmental monitoring, capable of assessing the impacts of tourism as well as the effectiveness of tourism policies was recognized. </w:t>
      </w:r>
      <w:r w:rsidRPr="002D09A5">
        <w:rPr>
          <w:szCs w:val="22"/>
          <w:lang w:val="en-US" w:eastAsia="en-GB"/>
        </w:rPr>
        <w:t xml:space="preserve">The subsequent ATCM meeting requested SCAR to develop this framework. </w:t>
      </w:r>
      <w:r w:rsidRPr="004B2EBF">
        <w:rPr>
          <w:szCs w:val="22"/>
          <w:lang w:val="en-US" w:eastAsia="en-GB"/>
        </w:rPr>
        <w:t>To date, that has not yet resulted in concrete proposals.</w:t>
      </w:r>
    </w:p>
    <w:p w14:paraId="3FEABFBF" w14:textId="77777777" w:rsidR="00340C0D" w:rsidRDefault="00340C0D" w:rsidP="00340C0D">
      <w:pPr>
        <w:spacing w:before="100" w:beforeAutospacing="1" w:after="100" w:afterAutospacing="1"/>
        <w:rPr>
          <w:szCs w:val="22"/>
          <w:lang w:val="en-US" w:eastAsia="en-GB"/>
        </w:rPr>
      </w:pPr>
      <w:r w:rsidRPr="00B6722E">
        <w:rPr>
          <w:szCs w:val="22"/>
          <w:lang w:val="en-US" w:eastAsia="en-GB"/>
        </w:rPr>
        <w:t>In 2022, back-to-back with ATCM XLIV, a special workshop on environmental monitoring was held</w:t>
      </w:r>
      <w:r>
        <w:rPr>
          <w:szCs w:val="22"/>
          <w:lang w:val="en-US" w:eastAsia="en-GB"/>
        </w:rPr>
        <w:t xml:space="preserve"> in and </w:t>
      </w:r>
      <w:proofErr w:type="spellStart"/>
      <w:r w:rsidRPr="00B6722E">
        <w:rPr>
          <w:szCs w:val="22"/>
          <w:lang w:val="en-US" w:eastAsia="en-GB"/>
        </w:rPr>
        <w:t>organised</w:t>
      </w:r>
      <w:proofErr w:type="spellEnd"/>
      <w:r w:rsidRPr="00B6722E">
        <w:rPr>
          <w:szCs w:val="22"/>
          <w:lang w:val="en-US" w:eastAsia="en-GB"/>
        </w:rPr>
        <w:t xml:space="preserve"> </w:t>
      </w:r>
      <w:r>
        <w:rPr>
          <w:szCs w:val="22"/>
          <w:lang w:val="en-US" w:eastAsia="en-GB"/>
        </w:rPr>
        <w:t xml:space="preserve">by Germany. </w:t>
      </w:r>
      <w:r w:rsidRPr="00B6722E">
        <w:rPr>
          <w:szCs w:val="22"/>
          <w:lang w:val="en-US" w:eastAsia="en-GB"/>
        </w:rPr>
        <w:t xml:space="preserve">In that workshop, </w:t>
      </w:r>
      <w:proofErr w:type="gramStart"/>
      <w:r>
        <w:rPr>
          <w:szCs w:val="22"/>
          <w:lang w:val="en-US" w:eastAsia="en-GB"/>
        </w:rPr>
        <w:t>a</w:t>
      </w:r>
      <w:r w:rsidRPr="00B6722E">
        <w:rPr>
          <w:szCs w:val="22"/>
          <w:lang w:val="en-US" w:eastAsia="en-GB"/>
        </w:rPr>
        <w:t xml:space="preserve"> number of</w:t>
      </w:r>
      <w:proofErr w:type="gramEnd"/>
      <w:r w:rsidRPr="00B6722E">
        <w:rPr>
          <w:szCs w:val="22"/>
          <w:lang w:val="en-US" w:eastAsia="en-GB"/>
        </w:rPr>
        <w:t xml:space="preserve"> important issues to be monitored </w:t>
      </w:r>
      <w:r>
        <w:rPr>
          <w:szCs w:val="22"/>
          <w:lang w:val="en-US" w:eastAsia="en-GB"/>
        </w:rPr>
        <w:t xml:space="preserve">were identified, and importantly, much attention was also paid to the organization of </w:t>
      </w:r>
      <w:r>
        <w:rPr>
          <w:szCs w:val="22"/>
          <w:lang w:val="en-US" w:eastAsia="en-GB"/>
        </w:rPr>
        <w:lastRenderedPageBreak/>
        <w:t xml:space="preserve">the monitoring. </w:t>
      </w:r>
      <w:r w:rsidRPr="00B6722E">
        <w:rPr>
          <w:szCs w:val="22"/>
          <w:lang w:val="en-US" w:eastAsia="en-GB"/>
        </w:rPr>
        <w:t xml:space="preserve">It was recognized that once an international guiding framework would </w:t>
      </w:r>
      <w:r>
        <w:rPr>
          <w:szCs w:val="22"/>
          <w:lang w:val="en-US" w:eastAsia="en-GB"/>
        </w:rPr>
        <w:t>be</w:t>
      </w:r>
      <w:r w:rsidRPr="00B6722E">
        <w:rPr>
          <w:szCs w:val="22"/>
          <w:lang w:val="en-US" w:eastAsia="en-GB"/>
        </w:rPr>
        <w:t xml:space="preserve"> establis</w:t>
      </w:r>
      <w:r>
        <w:rPr>
          <w:szCs w:val="22"/>
          <w:lang w:val="en-US" w:eastAsia="en-GB"/>
        </w:rPr>
        <w:t xml:space="preserve">hed, ideally the national programs would respond, and contribute to it. </w:t>
      </w:r>
      <w:r w:rsidRPr="00B6722E">
        <w:rPr>
          <w:szCs w:val="22"/>
          <w:lang w:val="en-US" w:eastAsia="en-GB"/>
        </w:rPr>
        <w:t>This however would require effective international coordination, a mechanism to fill ga</w:t>
      </w:r>
      <w:r>
        <w:rPr>
          <w:szCs w:val="22"/>
          <w:lang w:val="en-US" w:eastAsia="en-GB"/>
        </w:rPr>
        <w:t xml:space="preserve">ps (in terms of Antarctic areas or parameters covered), as well as a sustainable funding base. </w:t>
      </w:r>
      <w:r w:rsidRPr="00B6722E">
        <w:rPr>
          <w:szCs w:val="22"/>
          <w:lang w:val="en-US" w:eastAsia="en-GB"/>
        </w:rPr>
        <w:t xml:space="preserve">Concrete proposals put forward included the establishment of a dedicated </w:t>
      </w:r>
      <w:r>
        <w:rPr>
          <w:szCs w:val="22"/>
          <w:lang w:val="en-US" w:eastAsia="en-GB"/>
        </w:rPr>
        <w:t>subsidiary body under the CEP. This body would be responsible for developing and maintaining the international framework, overseeing</w:t>
      </w:r>
      <w:r w:rsidRPr="00B6722E">
        <w:rPr>
          <w:szCs w:val="22"/>
          <w:lang w:val="en-US" w:eastAsia="en-GB"/>
        </w:rPr>
        <w:t xml:space="preserve"> </w:t>
      </w:r>
      <w:r>
        <w:rPr>
          <w:szCs w:val="22"/>
          <w:lang w:val="en-US" w:eastAsia="en-GB"/>
        </w:rPr>
        <w:t xml:space="preserve">implementation, building on national programs’ efforts, as well as additional monitoring implemented by the subsidiary body. </w:t>
      </w:r>
      <w:r w:rsidRPr="00B6722E">
        <w:rPr>
          <w:szCs w:val="22"/>
          <w:lang w:val="en-US" w:eastAsia="en-GB"/>
        </w:rPr>
        <w:t xml:space="preserve">A fee </w:t>
      </w:r>
      <w:r>
        <w:rPr>
          <w:szCs w:val="22"/>
          <w:lang w:val="en-US" w:eastAsia="en-GB"/>
        </w:rPr>
        <w:t xml:space="preserve">collected </w:t>
      </w:r>
      <w:r w:rsidRPr="00B6722E">
        <w:rPr>
          <w:szCs w:val="22"/>
          <w:lang w:val="en-US" w:eastAsia="en-GB"/>
        </w:rPr>
        <w:t xml:space="preserve">from </w:t>
      </w:r>
      <w:r>
        <w:rPr>
          <w:szCs w:val="22"/>
          <w:lang w:val="en-US" w:eastAsia="en-GB"/>
        </w:rPr>
        <w:t xml:space="preserve">the </w:t>
      </w:r>
      <w:r w:rsidRPr="00B6722E">
        <w:rPr>
          <w:szCs w:val="22"/>
          <w:lang w:val="en-US" w:eastAsia="en-GB"/>
        </w:rPr>
        <w:t>tourism</w:t>
      </w:r>
      <w:r>
        <w:rPr>
          <w:szCs w:val="22"/>
          <w:lang w:val="en-US" w:eastAsia="en-GB"/>
        </w:rPr>
        <w:t xml:space="preserve"> industry</w:t>
      </w:r>
      <w:r w:rsidRPr="00B6722E">
        <w:rPr>
          <w:szCs w:val="22"/>
          <w:lang w:val="en-US" w:eastAsia="en-GB"/>
        </w:rPr>
        <w:t xml:space="preserve"> was proposed as a basis for funding.</w:t>
      </w:r>
      <w:r>
        <w:rPr>
          <w:szCs w:val="22"/>
          <w:lang w:val="en-US" w:eastAsia="en-GB"/>
        </w:rPr>
        <w:t xml:space="preserve"> </w:t>
      </w:r>
    </w:p>
    <w:p w14:paraId="2BCAD722" w14:textId="77777777" w:rsidR="00340C0D" w:rsidRDefault="00340C0D" w:rsidP="00340C0D">
      <w:pPr>
        <w:spacing w:before="100" w:beforeAutospacing="1" w:after="100" w:afterAutospacing="1"/>
        <w:rPr>
          <w:szCs w:val="22"/>
          <w:lang w:val="en-US" w:eastAsia="en-GB"/>
        </w:rPr>
      </w:pPr>
      <w:r w:rsidRPr="00B6722E">
        <w:rPr>
          <w:szCs w:val="22"/>
          <w:lang w:val="en-US" w:eastAsia="en-GB"/>
        </w:rPr>
        <w:t>Most recently, in the informal workshop on Antarctic tourism held in Pa</w:t>
      </w:r>
      <w:r>
        <w:rPr>
          <w:szCs w:val="22"/>
          <w:lang w:val="en-US" w:eastAsia="en-GB"/>
        </w:rPr>
        <w:t>ris, France (8-10 March 2023), the need for such an international framework was reiterated, acknowledging previous proposals arising from formal and informal ATCM discussions made in this regard</w:t>
      </w:r>
      <w:proofErr w:type="gramStart"/>
      <w:r>
        <w:rPr>
          <w:szCs w:val="22"/>
          <w:lang w:val="en-US" w:eastAsia="en-GB"/>
        </w:rPr>
        <w:t>, .</w:t>
      </w:r>
      <w:proofErr w:type="gramEnd"/>
      <w:r>
        <w:rPr>
          <w:szCs w:val="22"/>
          <w:lang w:val="en-US" w:eastAsia="en-GB"/>
        </w:rPr>
        <w:t xml:space="preserve"> </w:t>
      </w:r>
      <w:r w:rsidRPr="00ED1667">
        <w:rPr>
          <w:szCs w:val="22"/>
          <w:lang w:val="en-US" w:eastAsia="en-GB"/>
        </w:rPr>
        <w:t>It was felt by man</w:t>
      </w:r>
      <w:r>
        <w:rPr>
          <w:szCs w:val="22"/>
          <w:lang w:val="en-US" w:eastAsia="en-GB"/>
        </w:rPr>
        <w:t xml:space="preserve">y participants </w:t>
      </w:r>
      <w:r w:rsidRPr="00ED1667">
        <w:rPr>
          <w:szCs w:val="22"/>
          <w:lang w:val="en-US" w:eastAsia="en-GB"/>
        </w:rPr>
        <w:t xml:space="preserve">that it was time to convene an ICG </w:t>
      </w:r>
      <w:r>
        <w:rPr>
          <w:szCs w:val="22"/>
          <w:lang w:val="en-US" w:eastAsia="en-GB"/>
        </w:rPr>
        <w:t xml:space="preserve">to - </w:t>
      </w:r>
      <w:proofErr w:type="gramStart"/>
      <w:r>
        <w:rPr>
          <w:szCs w:val="22"/>
          <w:lang w:val="en-US" w:eastAsia="en-GB"/>
        </w:rPr>
        <w:t>on the basis of</w:t>
      </w:r>
      <w:proofErr w:type="gramEnd"/>
      <w:r>
        <w:rPr>
          <w:szCs w:val="22"/>
          <w:lang w:val="en-US" w:eastAsia="en-GB"/>
        </w:rPr>
        <w:t xml:space="preserve"> existing work and suggestions - develop a proposal for an international framework, including the institutional and financial aspects. </w:t>
      </w:r>
      <w:r w:rsidRPr="00ED1667">
        <w:rPr>
          <w:szCs w:val="22"/>
          <w:lang w:val="en-US" w:eastAsia="en-GB"/>
        </w:rPr>
        <w:t xml:space="preserve">   </w:t>
      </w:r>
    </w:p>
    <w:p w14:paraId="1FABF78A" w14:textId="77777777" w:rsidR="00340C0D" w:rsidRPr="00DE77E5" w:rsidRDefault="00340C0D" w:rsidP="00340C0D">
      <w:pPr>
        <w:pStyle w:val="ATSHeading2"/>
      </w:pPr>
      <w:r>
        <w:t xml:space="preserve">Proposed intersessional </w:t>
      </w:r>
      <w:proofErr w:type="gramStart"/>
      <w:r>
        <w:t>work</w:t>
      </w:r>
      <w:proofErr w:type="gramEnd"/>
    </w:p>
    <w:p w14:paraId="234427DA" w14:textId="77777777" w:rsidR="00340C0D" w:rsidRDefault="00340C0D" w:rsidP="00340C0D">
      <w:pPr>
        <w:spacing w:before="100" w:beforeAutospacing="1" w:after="100" w:afterAutospacing="1"/>
        <w:rPr>
          <w:szCs w:val="22"/>
          <w:lang w:val="en-US" w:eastAsia="en-GB"/>
        </w:rPr>
      </w:pPr>
      <w:r>
        <w:rPr>
          <w:szCs w:val="22"/>
          <w:lang w:val="en-US" w:eastAsia="en-GB"/>
        </w:rPr>
        <w:t>France and the Netherlands, as co-hosts of the Paris workshop, therefore, propose the CEP to discuss the matter, and to advice to the ATCM XLV to establish an ICG on an international framework for environmental monitoring.</w:t>
      </w:r>
    </w:p>
    <w:p w14:paraId="08B98AF3" w14:textId="77777777" w:rsidR="00340C0D" w:rsidRDefault="00340C0D" w:rsidP="00340C0D">
      <w:pPr>
        <w:spacing w:before="100" w:beforeAutospacing="1" w:after="100" w:afterAutospacing="1"/>
        <w:rPr>
          <w:szCs w:val="22"/>
          <w:lang w:val="en-US" w:eastAsia="en-GB"/>
        </w:rPr>
      </w:pPr>
      <w:r>
        <w:rPr>
          <w:szCs w:val="22"/>
          <w:lang w:val="en-US" w:eastAsia="en-GB"/>
        </w:rPr>
        <w:t>The Terms of Reference would include the following:</w:t>
      </w:r>
    </w:p>
    <w:p w14:paraId="51143AF5" w14:textId="77777777" w:rsidR="00340C0D" w:rsidRDefault="00340C0D" w:rsidP="00340C0D">
      <w:pPr>
        <w:pStyle w:val="Prrafodelista"/>
        <w:numPr>
          <w:ilvl w:val="0"/>
          <w:numId w:val="21"/>
        </w:numPr>
        <w:spacing w:before="100" w:beforeAutospacing="1" w:after="100" w:afterAutospacing="1"/>
        <w:rPr>
          <w:szCs w:val="22"/>
          <w:lang w:val="en-US" w:eastAsia="en-GB"/>
        </w:rPr>
      </w:pPr>
      <w:r>
        <w:rPr>
          <w:szCs w:val="22"/>
          <w:lang w:val="en-US" w:eastAsia="en-GB"/>
        </w:rPr>
        <w:t>The ICG would be tasked to:</w:t>
      </w:r>
    </w:p>
    <w:p w14:paraId="1026A911" w14:textId="77777777" w:rsidR="00340C0D" w:rsidRDefault="00340C0D" w:rsidP="00340C0D">
      <w:pPr>
        <w:pStyle w:val="Prrafodelista"/>
        <w:numPr>
          <w:ilvl w:val="1"/>
          <w:numId w:val="21"/>
        </w:numPr>
        <w:spacing w:before="100" w:beforeAutospacing="1" w:after="100" w:afterAutospacing="1"/>
        <w:rPr>
          <w:szCs w:val="22"/>
          <w:lang w:val="en-US" w:eastAsia="en-GB"/>
        </w:rPr>
      </w:pPr>
      <w:r>
        <w:rPr>
          <w:szCs w:val="22"/>
          <w:lang w:val="en-US" w:eastAsia="en-GB"/>
        </w:rPr>
        <w:t xml:space="preserve">Develop a concrete proposal for an international framework for environmental monitoring, laying out the parameters of what and where to monitor, on the basis of the DPSIR-concept, and taking into account the important issue of </w:t>
      </w:r>
      <w:proofErr w:type="gramStart"/>
      <w:r>
        <w:rPr>
          <w:szCs w:val="22"/>
          <w:lang w:val="en-US" w:eastAsia="en-GB"/>
        </w:rPr>
        <w:t>cumulation;</w:t>
      </w:r>
      <w:proofErr w:type="gramEnd"/>
    </w:p>
    <w:p w14:paraId="36309F68" w14:textId="77777777" w:rsidR="00340C0D" w:rsidRDefault="00340C0D" w:rsidP="00340C0D">
      <w:pPr>
        <w:pStyle w:val="Prrafodelista"/>
        <w:numPr>
          <w:ilvl w:val="1"/>
          <w:numId w:val="21"/>
        </w:numPr>
        <w:spacing w:before="100" w:beforeAutospacing="1" w:after="100" w:afterAutospacing="1"/>
        <w:rPr>
          <w:szCs w:val="22"/>
          <w:lang w:val="en-US" w:eastAsia="en-GB"/>
        </w:rPr>
      </w:pPr>
      <w:r>
        <w:rPr>
          <w:szCs w:val="22"/>
          <w:lang w:val="en-US" w:eastAsia="en-GB"/>
        </w:rPr>
        <w:t xml:space="preserve">Identify the organizational and institutional conditions needed for full implementation of the framework, including by considering the need for a dedicated monitoring body under the Treaty </w:t>
      </w:r>
      <w:proofErr w:type="gramStart"/>
      <w:r>
        <w:rPr>
          <w:szCs w:val="22"/>
          <w:lang w:val="en-US" w:eastAsia="en-GB"/>
        </w:rPr>
        <w:t>system;</w:t>
      </w:r>
      <w:proofErr w:type="gramEnd"/>
    </w:p>
    <w:p w14:paraId="02603566" w14:textId="77777777" w:rsidR="00340C0D" w:rsidRDefault="00340C0D" w:rsidP="00340C0D">
      <w:pPr>
        <w:pStyle w:val="Prrafodelista"/>
        <w:numPr>
          <w:ilvl w:val="1"/>
          <w:numId w:val="21"/>
        </w:numPr>
        <w:spacing w:before="100" w:beforeAutospacing="1" w:after="100" w:afterAutospacing="1"/>
        <w:rPr>
          <w:szCs w:val="22"/>
          <w:lang w:val="en-US" w:eastAsia="en-GB"/>
        </w:rPr>
      </w:pPr>
      <w:r>
        <w:rPr>
          <w:szCs w:val="22"/>
          <w:lang w:val="en-US" w:eastAsia="en-GB"/>
        </w:rPr>
        <w:t>Identify options and develop a proposal for the funding base needed for the full implementation of the framework.</w:t>
      </w:r>
    </w:p>
    <w:p w14:paraId="3FED2AA6" w14:textId="77777777" w:rsidR="00340C0D" w:rsidRDefault="00340C0D" w:rsidP="00340C0D">
      <w:pPr>
        <w:pStyle w:val="Prrafodelista"/>
        <w:numPr>
          <w:ilvl w:val="0"/>
          <w:numId w:val="21"/>
        </w:numPr>
        <w:spacing w:before="100" w:beforeAutospacing="1" w:after="100" w:afterAutospacing="1"/>
        <w:rPr>
          <w:szCs w:val="22"/>
          <w:lang w:val="en-US" w:eastAsia="en-GB"/>
        </w:rPr>
      </w:pPr>
      <w:r>
        <w:rPr>
          <w:szCs w:val="22"/>
          <w:lang w:val="en-US" w:eastAsia="en-GB"/>
        </w:rPr>
        <w:t xml:space="preserve">The ICG may draw from experiences and practices from other </w:t>
      </w:r>
      <w:proofErr w:type="spellStart"/>
      <w:r>
        <w:rPr>
          <w:szCs w:val="22"/>
          <w:lang w:val="en-US" w:eastAsia="en-GB"/>
        </w:rPr>
        <w:t>organisations</w:t>
      </w:r>
      <w:proofErr w:type="spellEnd"/>
      <w:r>
        <w:rPr>
          <w:szCs w:val="22"/>
          <w:lang w:val="en-US" w:eastAsia="en-GB"/>
        </w:rPr>
        <w:t xml:space="preserve">, including </w:t>
      </w:r>
      <w:proofErr w:type="gramStart"/>
      <w:r>
        <w:rPr>
          <w:szCs w:val="22"/>
          <w:lang w:val="en-US" w:eastAsia="en-GB"/>
        </w:rPr>
        <w:t>CCAMLR;</w:t>
      </w:r>
      <w:proofErr w:type="gramEnd"/>
    </w:p>
    <w:p w14:paraId="0889FCAD" w14:textId="77777777" w:rsidR="00340C0D" w:rsidRPr="002008E9" w:rsidRDefault="00340C0D" w:rsidP="00340C0D">
      <w:pPr>
        <w:pStyle w:val="Prrafodelista"/>
        <w:numPr>
          <w:ilvl w:val="0"/>
          <w:numId w:val="21"/>
        </w:numPr>
        <w:spacing w:before="100" w:beforeAutospacing="1" w:after="100" w:afterAutospacing="1"/>
      </w:pPr>
      <w:r>
        <w:rPr>
          <w:szCs w:val="22"/>
          <w:lang w:val="en-US" w:eastAsia="en-GB"/>
        </w:rPr>
        <w:t xml:space="preserve">The ICG would work </w:t>
      </w:r>
      <w:proofErr w:type="spellStart"/>
      <w:r>
        <w:rPr>
          <w:szCs w:val="22"/>
          <w:lang w:val="en-US" w:eastAsia="en-GB"/>
        </w:rPr>
        <w:t>intersessionally</w:t>
      </w:r>
      <w:proofErr w:type="spellEnd"/>
      <w:r>
        <w:rPr>
          <w:szCs w:val="22"/>
          <w:lang w:val="en-US" w:eastAsia="en-GB"/>
        </w:rPr>
        <w:t xml:space="preserve"> and report to ATCM 46.</w:t>
      </w:r>
    </w:p>
    <w:p w14:paraId="33FD0BFD" w14:textId="77777777" w:rsidR="00340C0D" w:rsidRDefault="00340C0D" w:rsidP="00952E9F"/>
    <w:sectPr w:rsidR="00340C0D"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D200A" w14:textId="77777777" w:rsidR="00000000" w:rsidRDefault="00340C0D">
      <w:r>
        <w:separator/>
      </w:r>
    </w:p>
  </w:endnote>
  <w:endnote w:type="continuationSeparator" w:id="0">
    <w:p w14:paraId="73C031AE" w14:textId="77777777" w:rsidR="00000000" w:rsidRDefault="00340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2E845" w14:textId="77777777" w:rsidR="00FA0B9F" w:rsidRDefault="00340C0D" w:rsidP="00CF5C82">
    <w:pPr>
      <w:framePr w:wrap="around" w:vAnchor="text" w:hAnchor="margin" w:xAlign="right" w:y="1"/>
    </w:pPr>
    <w:r>
      <w:fldChar w:fldCharType="begin"/>
    </w:r>
    <w:r>
      <w:instrText xml:space="preserve">PAGE  </w:instrText>
    </w:r>
    <w:r>
      <w:fldChar w:fldCharType="separate"/>
    </w:r>
    <w:r>
      <w:fldChar w:fldCharType="end"/>
    </w:r>
  </w:p>
  <w:p w14:paraId="07759B00" w14:textId="77777777" w:rsidR="00FA0B9F" w:rsidRDefault="00340C0D"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1F749" w14:textId="77777777" w:rsidR="00FA0B9F" w:rsidRDefault="00340C0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5C86464" w14:textId="3DB98C1B" w:rsidR="00FA0B9F" w:rsidRDefault="00340C0D" w:rsidP="00CC67CB">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810E" w14:textId="77777777" w:rsidR="00E311C9" w:rsidRDefault="00340C0D"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A5FB9F9" w14:textId="77777777" w:rsidR="00E311C9" w:rsidRDefault="00340C0D"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849ED" w14:textId="77777777" w:rsidR="00000000" w:rsidRDefault="00340C0D">
      <w:r>
        <w:separator/>
      </w:r>
    </w:p>
  </w:footnote>
  <w:footnote w:type="continuationSeparator" w:id="0">
    <w:p w14:paraId="59CA3F1C" w14:textId="77777777" w:rsidR="00000000" w:rsidRDefault="00340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9F03E2" w14:paraId="0E583CF8" w14:textId="77777777" w:rsidTr="002E12EC">
      <w:trPr>
        <w:trHeight w:val="344"/>
        <w:jc w:val="center"/>
      </w:trPr>
      <w:tc>
        <w:tcPr>
          <w:tcW w:w="5495" w:type="dxa"/>
        </w:tcPr>
        <w:p w14:paraId="003FE478" w14:textId="77777777" w:rsidR="00DB7C09" w:rsidRDefault="00340C0D" w:rsidP="00F968D4"/>
      </w:tc>
      <w:tc>
        <w:tcPr>
          <w:tcW w:w="4253" w:type="dxa"/>
          <w:gridSpan w:val="2"/>
        </w:tcPr>
        <w:p w14:paraId="2E2C7A74" w14:textId="77777777" w:rsidR="00DB7C09" w:rsidRPr="00BD47E4" w:rsidRDefault="00340C0D" w:rsidP="002A07BC">
          <w:pPr>
            <w:jc w:val="right"/>
            <w:rPr>
              <w:b/>
              <w:sz w:val="32"/>
              <w:szCs w:val="32"/>
            </w:rPr>
          </w:pPr>
          <w:bookmarkStart w:id="2" w:name="type"/>
          <w:r w:rsidRPr="00BD47E4">
            <w:rPr>
              <w:b/>
              <w:sz w:val="32"/>
              <w:szCs w:val="32"/>
            </w:rPr>
            <w:t>WP</w:t>
          </w:r>
          <w:bookmarkEnd w:id="2"/>
        </w:p>
      </w:tc>
      <w:tc>
        <w:tcPr>
          <w:tcW w:w="1524" w:type="dxa"/>
          <w:gridSpan w:val="2"/>
        </w:tcPr>
        <w:p w14:paraId="7B628A15" w14:textId="77777777" w:rsidR="00DB7C09" w:rsidRPr="00BD47E4" w:rsidRDefault="00340C0D" w:rsidP="00DB7C09">
          <w:pPr>
            <w:rPr>
              <w:b/>
              <w:sz w:val="32"/>
              <w:szCs w:val="32"/>
            </w:rPr>
          </w:pPr>
          <w:bookmarkStart w:id="3" w:name="number"/>
          <w:r w:rsidRPr="00BD47E4">
            <w:rPr>
              <w:b/>
              <w:sz w:val="32"/>
              <w:szCs w:val="32"/>
            </w:rPr>
            <w:t>17</w:t>
          </w:r>
          <w:bookmarkEnd w:id="3"/>
        </w:p>
      </w:tc>
    </w:tr>
    <w:tr w:rsidR="009F03E2" w14:paraId="44E77124" w14:textId="77777777" w:rsidTr="002E12EC">
      <w:trPr>
        <w:trHeight w:val="2165"/>
        <w:jc w:val="center"/>
      </w:trPr>
      <w:tc>
        <w:tcPr>
          <w:tcW w:w="5495" w:type="dxa"/>
        </w:tcPr>
        <w:p w14:paraId="6A27BAF3" w14:textId="77777777" w:rsidR="00490760" w:rsidRPr="00EE4D48" w:rsidRDefault="00340C0D" w:rsidP="002A07BC">
          <w:pPr>
            <w:rPr>
              <w:b/>
              <w:sz w:val="28"/>
              <w:szCs w:val="28"/>
            </w:rPr>
          </w:pPr>
          <w:r>
            <w:rPr>
              <w:noProof/>
            </w:rPr>
            <w:drawing>
              <wp:inline distT="0" distB="0" distL="0" distR="0" wp14:anchorId="1A7CA7D2" wp14:editId="3B3EEB12">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46302"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113BF9B6" w14:textId="77777777" w:rsidR="00490760" w:rsidRPr="00FE5146" w:rsidRDefault="00340C0D" w:rsidP="00490760">
          <w:pPr>
            <w:jc w:val="right"/>
            <w:rPr>
              <w:sz w:val="144"/>
              <w:szCs w:val="144"/>
            </w:rPr>
          </w:pPr>
          <w:r w:rsidRPr="00FE5146">
            <w:rPr>
              <w:sz w:val="144"/>
              <w:szCs w:val="144"/>
            </w:rPr>
            <w:t>ENG</w:t>
          </w:r>
        </w:p>
      </w:tc>
    </w:tr>
    <w:tr w:rsidR="009F03E2" w14:paraId="3F243B49" w14:textId="77777777" w:rsidTr="002E12EC">
      <w:trPr>
        <w:trHeight w:val="409"/>
        <w:jc w:val="center"/>
      </w:trPr>
      <w:tc>
        <w:tcPr>
          <w:tcW w:w="8500" w:type="dxa"/>
          <w:gridSpan w:val="2"/>
        </w:tcPr>
        <w:p w14:paraId="7DEC4A7D" w14:textId="77777777" w:rsidR="00BD47E4" w:rsidRDefault="00340C0D" w:rsidP="002C30DA">
          <w:pPr>
            <w:jc w:val="right"/>
          </w:pPr>
          <w:r>
            <w:t>Agenda Item:</w:t>
          </w:r>
        </w:p>
      </w:tc>
      <w:tc>
        <w:tcPr>
          <w:tcW w:w="2382" w:type="dxa"/>
          <w:gridSpan w:val="2"/>
        </w:tcPr>
        <w:p w14:paraId="6CF2AA7F" w14:textId="77777777" w:rsidR="00BD47E4" w:rsidRDefault="00340C0D" w:rsidP="002C30DA">
          <w:pPr>
            <w:jc w:val="right"/>
          </w:pPr>
          <w:bookmarkStart w:id="4" w:name="agenda"/>
          <w:r>
            <w:t>CEP 11</w:t>
          </w:r>
          <w:bookmarkEnd w:id="4"/>
        </w:p>
      </w:tc>
      <w:tc>
        <w:tcPr>
          <w:tcW w:w="390" w:type="dxa"/>
        </w:tcPr>
        <w:p w14:paraId="3483CB8A" w14:textId="77777777" w:rsidR="00BD47E4" w:rsidRDefault="00340C0D" w:rsidP="00387A65">
          <w:pPr>
            <w:jc w:val="right"/>
          </w:pPr>
        </w:p>
      </w:tc>
    </w:tr>
    <w:tr w:rsidR="009F03E2" w14:paraId="6F20114A" w14:textId="77777777" w:rsidTr="002E12EC">
      <w:trPr>
        <w:trHeight w:val="397"/>
        <w:jc w:val="center"/>
      </w:trPr>
      <w:tc>
        <w:tcPr>
          <w:tcW w:w="8500" w:type="dxa"/>
          <w:gridSpan w:val="2"/>
        </w:tcPr>
        <w:p w14:paraId="6C03244D" w14:textId="77777777" w:rsidR="00BD47E4" w:rsidRDefault="00340C0D" w:rsidP="002C30DA">
          <w:pPr>
            <w:jc w:val="right"/>
          </w:pPr>
          <w:r>
            <w:t>Presented by:</w:t>
          </w:r>
        </w:p>
      </w:tc>
      <w:tc>
        <w:tcPr>
          <w:tcW w:w="2382" w:type="dxa"/>
          <w:gridSpan w:val="2"/>
        </w:tcPr>
        <w:p w14:paraId="4F94946F" w14:textId="77777777" w:rsidR="00BD47E4" w:rsidRDefault="00340C0D" w:rsidP="002C30DA">
          <w:pPr>
            <w:jc w:val="right"/>
          </w:pPr>
          <w:bookmarkStart w:id="5" w:name="party"/>
          <w:r>
            <w:t>Netherlands, France, Belgium</w:t>
          </w:r>
          <w:bookmarkEnd w:id="5"/>
        </w:p>
      </w:tc>
      <w:tc>
        <w:tcPr>
          <w:tcW w:w="390" w:type="dxa"/>
        </w:tcPr>
        <w:p w14:paraId="120F46E9" w14:textId="77777777" w:rsidR="00BD47E4" w:rsidRDefault="00340C0D" w:rsidP="00387A65">
          <w:pPr>
            <w:jc w:val="right"/>
          </w:pPr>
        </w:p>
      </w:tc>
    </w:tr>
    <w:tr w:rsidR="009F03E2" w14:paraId="715F235B" w14:textId="77777777" w:rsidTr="002E12EC">
      <w:trPr>
        <w:trHeight w:val="409"/>
        <w:jc w:val="center"/>
      </w:trPr>
      <w:tc>
        <w:tcPr>
          <w:tcW w:w="8500" w:type="dxa"/>
          <w:gridSpan w:val="2"/>
        </w:tcPr>
        <w:p w14:paraId="3C442A03" w14:textId="77777777" w:rsidR="00BD47E4" w:rsidRDefault="00340C0D" w:rsidP="002C30DA">
          <w:pPr>
            <w:jc w:val="right"/>
          </w:pPr>
          <w:r>
            <w:t>Original:</w:t>
          </w:r>
        </w:p>
      </w:tc>
      <w:tc>
        <w:tcPr>
          <w:tcW w:w="2382" w:type="dxa"/>
          <w:gridSpan w:val="2"/>
        </w:tcPr>
        <w:p w14:paraId="1E0C7EBF" w14:textId="77777777" w:rsidR="00BD47E4" w:rsidRDefault="00340C0D" w:rsidP="002C30DA">
          <w:pPr>
            <w:jc w:val="right"/>
          </w:pPr>
          <w:bookmarkStart w:id="6" w:name="language"/>
          <w:r>
            <w:t>English</w:t>
          </w:r>
          <w:bookmarkEnd w:id="6"/>
        </w:p>
      </w:tc>
      <w:tc>
        <w:tcPr>
          <w:tcW w:w="390" w:type="dxa"/>
        </w:tcPr>
        <w:p w14:paraId="60672E11" w14:textId="77777777" w:rsidR="00BD47E4" w:rsidRDefault="00340C0D" w:rsidP="00387A65">
          <w:pPr>
            <w:jc w:val="right"/>
          </w:pPr>
        </w:p>
      </w:tc>
    </w:tr>
    <w:tr w:rsidR="009F03E2" w14:paraId="5F523C20" w14:textId="77777777" w:rsidTr="002E12EC">
      <w:trPr>
        <w:trHeight w:val="409"/>
        <w:jc w:val="center"/>
      </w:trPr>
      <w:tc>
        <w:tcPr>
          <w:tcW w:w="8500" w:type="dxa"/>
          <w:gridSpan w:val="2"/>
        </w:tcPr>
        <w:p w14:paraId="69DC4A73" w14:textId="77777777" w:rsidR="0097629D" w:rsidRDefault="00340C0D" w:rsidP="002C30DA">
          <w:pPr>
            <w:jc w:val="right"/>
          </w:pPr>
          <w:r>
            <w:t>Submitted:</w:t>
          </w:r>
        </w:p>
      </w:tc>
      <w:tc>
        <w:tcPr>
          <w:tcW w:w="2382" w:type="dxa"/>
          <w:gridSpan w:val="2"/>
        </w:tcPr>
        <w:p w14:paraId="4321094D" w14:textId="77777777" w:rsidR="0097629D" w:rsidRDefault="00340C0D" w:rsidP="0097629D">
          <w:pPr>
            <w:jc w:val="right"/>
          </w:pPr>
          <w:bookmarkStart w:id="7" w:name="date_submission"/>
          <w:r>
            <w:t>13 Apr 2023</w:t>
          </w:r>
          <w:bookmarkEnd w:id="7"/>
        </w:p>
      </w:tc>
      <w:tc>
        <w:tcPr>
          <w:tcW w:w="390" w:type="dxa"/>
        </w:tcPr>
        <w:p w14:paraId="656E9B8C" w14:textId="77777777" w:rsidR="0097629D" w:rsidRDefault="00340C0D" w:rsidP="00387A65">
          <w:pPr>
            <w:jc w:val="right"/>
          </w:pPr>
        </w:p>
      </w:tc>
    </w:tr>
  </w:tbl>
  <w:p w14:paraId="70D97189" w14:textId="77777777" w:rsidR="00AE5DD0" w:rsidRDefault="00340C0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9F03E2" w14:paraId="02FD4C3E" w14:textId="77777777">
      <w:trPr>
        <w:trHeight w:val="354"/>
        <w:jc w:val="center"/>
      </w:trPr>
      <w:tc>
        <w:tcPr>
          <w:tcW w:w="9694" w:type="dxa"/>
        </w:tcPr>
        <w:p w14:paraId="55E48A45" w14:textId="7576B71E" w:rsidR="00AE5DD0" w:rsidRPr="00BD47E4" w:rsidRDefault="00340C0D" w:rsidP="00C26F2D">
          <w:pPr>
            <w:jc w:val="right"/>
            <w:rPr>
              <w:b/>
              <w:sz w:val="32"/>
              <w:szCs w:val="32"/>
            </w:rPr>
          </w:pPr>
          <w:r>
            <w:rPr>
              <w:b/>
              <w:sz w:val="32"/>
              <w:szCs w:val="32"/>
            </w:rPr>
            <w:t>WP</w:t>
          </w:r>
        </w:p>
      </w:tc>
      <w:tc>
        <w:tcPr>
          <w:tcW w:w="1332" w:type="dxa"/>
        </w:tcPr>
        <w:p w14:paraId="3B994BCA" w14:textId="6E6EBDA2" w:rsidR="00AE5DD0" w:rsidRPr="00BD47E4" w:rsidRDefault="00340C0D" w:rsidP="00080F4C">
          <w:pPr>
            <w:rPr>
              <w:b/>
              <w:sz w:val="32"/>
              <w:szCs w:val="32"/>
            </w:rPr>
          </w:pPr>
          <w:r>
            <w:rPr>
              <w:b/>
              <w:sz w:val="32"/>
              <w:szCs w:val="32"/>
            </w:rPr>
            <w:t>17</w:t>
          </w:r>
        </w:p>
      </w:tc>
    </w:tr>
  </w:tbl>
  <w:p w14:paraId="4A62A16B" w14:textId="77777777" w:rsidR="00AE5DD0" w:rsidRDefault="00340C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62C0E5C6">
      <w:start w:val="1"/>
      <w:numFmt w:val="bullet"/>
      <w:pStyle w:val="ATSBullet1"/>
      <w:lvlText w:val=""/>
      <w:lvlJc w:val="left"/>
      <w:pPr>
        <w:tabs>
          <w:tab w:val="num" w:pos="360"/>
        </w:tabs>
        <w:ind w:left="360" w:hanging="360"/>
      </w:pPr>
      <w:rPr>
        <w:rFonts w:ascii="Symbol" w:hAnsi="Symbol" w:hint="default"/>
        <w:color w:val="auto"/>
      </w:rPr>
    </w:lvl>
    <w:lvl w:ilvl="1" w:tplc="58541118" w:tentative="1">
      <w:start w:val="1"/>
      <w:numFmt w:val="bullet"/>
      <w:lvlText w:val="o"/>
      <w:lvlJc w:val="left"/>
      <w:pPr>
        <w:tabs>
          <w:tab w:val="num" w:pos="1440"/>
        </w:tabs>
        <w:ind w:left="1440" w:hanging="360"/>
      </w:pPr>
      <w:rPr>
        <w:rFonts w:ascii="Courier New" w:hAnsi="Courier New" w:cs="Courier New" w:hint="default"/>
      </w:rPr>
    </w:lvl>
    <w:lvl w:ilvl="2" w:tplc="13EE051C" w:tentative="1">
      <w:start w:val="1"/>
      <w:numFmt w:val="bullet"/>
      <w:lvlText w:val=""/>
      <w:lvlJc w:val="left"/>
      <w:pPr>
        <w:tabs>
          <w:tab w:val="num" w:pos="2160"/>
        </w:tabs>
        <w:ind w:left="2160" w:hanging="360"/>
      </w:pPr>
      <w:rPr>
        <w:rFonts w:ascii="Wingdings" w:hAnsi="Wingdings" w:hint="default"/>
      </w:rPr>
    </w:lvl>
    <w:lvl w:ilvl="3" w:tplc="80C0BE1E" w:tentative="1">
      <w:start w:val="1"/>
      <w:numFmt w:val="bullet"/>
      <w:lvlText w:val=""/>
      <w:lvlJc w:val="left"/>
      <w:pPr>
        <w:tabs>
          <w:tab w:val="num" w:pos="2880"/>
        </w:tabs>
        <w:ind w:left="2880" w:hanging="360"/>
      </w:pPr>
      <w:rPr>
        <w:rFonts w:ascii="Symbol" w:hAnsi="Symbol" w:hint="default"/>
      </w:rPr>
    </w:lvl>
    <w:lvl w:ilvl="4" w:tplc="FD6E0006" w:tentative="1">
      <w:start w:val="1"/>
      <w:numFmt w:val="bullet"/>
      <w:lvlText w:val="o"/>
      <w:lvlJc w:val="left"/>
      <w:pPr>
        <w:tabs>
          <w:tab w:val="num" w:pos="3600"/>
        </w:tabs>
        <w:ind w:left="3600" w:hanging="360"/>
      </w:pPr>
      <w:rPr>
        <w:rFonts w:ascii="Courier New" w:hAnsi="Courier New" w:cs="Courier New" w:hint="default"/>
      </w:rPr>
    </w:lvl>
    <w:lvl w:ilvl="5" w:tplc="3F12FEDC" w:tentative="1">
      <w:start w:val="1"/>
      <w:numFmt w:val="bullet"/>
      <w:lvlText w:val=""/>
      <w:lvlJc w:val="left"/>
      <w:pPr>
        <w:tabs>
          <w:tab w:val="num" w:pos="4320"/>
        </w:tabs>
        <w:ind w:left="4320" w:hanging="360"/>
      </w:pPr>
      <w:rPr>
        <w:rFonts w:ascii="Wingdings" w:hAnsi="Wingdings" w:hint="default"/>
      </w:rPr>
    </w:lvl>
    <w:lvl w:ilvl="6" w:tplc="EF068100" w:tentative="1">
      <w:start w:val="1"/>
      <w:numFmt w:val="bullet"/>
      <w:lvlText w:val=""/>
      <w:lvlJc w:val="left"/>
      <w:pPr>
        <w:tabs>
          <w:tab w:val="num" w:pos="5040"/>
        </w:tabs>
        <w:ind w:left="5040" w:hanging="360"/>
      </w:pPr>
      <w:rPr>
        <w:rFonts w:ascii="Symbol" w:hAnsi="Symbol" w:hint="default"/>
      </w:rPr>
    </w:lvl>
    <w:lvl w:ilvl="7" w:tplc="82800598" w:tentative="1">
      <w:start w:val="1"/>
      <w:numFmt w:val="bullet"/>
      <w:lvlText w:val="o"/>
      <w:lvlJc w:val="left"/>
      <w:pPr>
        <w:tabs>
          <w:tab w:val="num" w:pos="5760"/>
        </w:tabs>
        <w:ind w:left="5760" w:hanging="360"/>
      </w:pPr>
      <w:rPr>
        <w:rFonts w:ascii="Courier New" w:hAnsi="Courier New" w:cs="Courier New" w:hint="default"/>
      </w:rPr>
    </w:lvl>
    <w:lvl w:ilvl="8" w:tplc="E788124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9866F3AC">
      <w:start w:val="1"/>
      <w:numFmt w:val="decimal"/>
      <w:lvlText w:val="%1)"/>
      <w:lvlJc w:val="left"/>
      <w:pPr>
        <w:tabs>
          <w:tab w:val="num" w:pos="340"/>
        </w:tabs>
        <w:ind w:left="340" w:hanging="340"/>
      </w:pPr>
      <w:rPr>
        <w:rFonts w:hint="default"/>
      </w:rPr>
    </w:lvl>
    <w:lvl w:ilvl="1" w:tplc="CBC4A03A" w:tentative="1">
      <w:start w:val="1"/>
      <w:numFmt w:val="lowerLetter"/>
      <w:lvlText w:val="%2."/>
      <w:lvlJc w:val="left"/>
      <w:pPr>
        <w:tabs>
          <w:tab w:val="num" w:pos="1440"/>
        </w:tabs>
        <w:ind w:left="1440" w:hanging="360"/>
      </w:pPr>
    </w:lvl>
    <w:lvl w:ilvl="2" w:tplc="3D58C298" w:tentative="1">
      <w:start w:val="1"/>
      <w:numFmt w:val="lowerRoman"/>
      <w:lvlText w:val="%3."/>
      <w:lvlJc w:val="right"/>
      <w:pPr>
        <w:tabs>
          <w:tab w:val="num" w:pos="2160"/>
        </w:tabs>
        <w:ind w:left="2160" w:hanging="180"/>
      </w:pPr>
    </w:lvl>
    <w:lvl w:ilvl="3" w:tplc="EC7A9D3E" w:tentative="1">
      <w:start w:val="1"/>
      <w:numFmt w:val="decimal"/>
      <w:lvlText w:val="%4."/>
      <w:lvlJc w:val="left"/>
      <w:pPr>
        <w:tabs>
          <w:tab w:val="num" w:pos="2880"/>
        </w:tabs>
        <w:ind w:left="2880" w:hanging="360"/>
      </w:pPr>
    </w:lvl>
    <w:lvl w:ilvl="4" w:tplc="E8ACACEE" w:tentative="1">
      <w:start w:val="1"/>
      <w:numFmt w:val="lowerLetter"/>
      <w:lvlText w:val="%5."/>
      <w:lvlJc w:val="left"/>
      <w:pPr>
        <w:tabs>
          <w:tab w:val="num" w:pos="3600"/>
        </w:tabs>
        <w:ind w:left="3600" w:hanging="360"/>
      </w:pPr>
    </w:lvl>
    <w:lvl w:ilvl="5" w:tplc="C0CA8F20" w:tentative="1">
      <w:start w:val="1"/>
      <w:numFmt w:val="lowerRoman"/>
      <w:lvlText w:val="%6."/>
      <w:lvlJc w:val="right"/>
      <w:pPr>
        <w:tabs>
          <w:tab w:val="num" w:pos="4320"/>
        </w:tabs>
        <w:ind w:left="4320" w:hanging="180"/>
      </w:pPr>
    </w:lvl>
    <w:lvl w:ilvl="6" w:tplc="3CA29E70" w:tentative="1">
      <w:start w:val="1"/>
      <w:numFmt w:val="decimal"/>
      <w:lvlText w:val="%7."/>
      <w:lvlJc w:val="left"/>
      <w:pPr>
        <w:tabs>
          <w:tab w:val="num" w:pos="5040"/>
        </w:tabs>
        <w:ind w:left="5040" w:hanging="360"/>
      </w:pPr>
    </w:lvl>
    <w:lvl w:ilvl="7" w:tplc="CE902804" w:tentative="1">
      <w:start w:val="1"/>
      <w:numFmt w:val="lowerLetter"/>
      <w:lvlText w:val="%8."/>
      <w:lvlJc w:val="left"/>
      <w:pPr>
        <w:tabs>
          <w:tab w:val="num" w:pos="5760"/>
        </w:tabs>
        <w:ind w:left="5760" w:hanging="360"/>
      </w:pPr>
    </w:lvl>
    <w:lvl w:ilvl="8" w:tplc="95D47AF4" w:tentative="1">
      <w:start w:val="1"/>
      <w:numFmt w:val="lowerRoman"/>
      <w:lvlText w:val="%9."/>
      <w:lvlJc w:val="right"/>
      <w:pPr>
        <w:tabs>
          <w:tab w:val="num" w:pos="6480"/>
        </w:tabs>
        <w:ind w:left="6480" w:hanging="180"/>
      </w:pPr>
    </w:lvl>
  </w:abstractNum>
  <w:abstractNum w:abstractNumId="13" w15:restartNumberingAfterBreak="0">
    <w:nsid w:val="4C11618B"/>
    <w:multiLevelType w:val="hybridMultilevel"/>
    <w:tmpl w:val="AFB65C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42F3AFA"/>
    <w:multiLevelType w:val="hybridMultilevel"/>
    <w:tmpl w:val="9DF09BE6"/>
    <w:lvl w:ilvl="0" w:tplc="E5023AE2">
      <w:start w:val="1"/>
      <w:numFmt w:val="decimal"/>
      <w:lvlText w:val="%1."/>
      <w:lvlJc w:val="left"/>
      <w:pPr>
        <w:tabs>
          <w:tab w:val="num" w:pos="1057"/>
        </w:tabs>
        <w:ind w:left="1057" w:hanging="360"/>
      </w:pPr>
      <w:rPr>
        <w:rFonts w:hint="default"/>
      </w:rPr>
    </w:lvl>
    <w:lvl w:ilvl="1" w:tplc="77EE4B0A" w:tentative="1">
      <w:start w:val="1"/>
      <w:numFmt w:val="lowerLetter"/>
      <w:lvlText w:val="%2."/>
      <w:lvlJc w:val="left"/>
      <w:pPr>
        <w:tabs>
          <w:tab w:val="num" w:pos="2137"/>
        </w:tabs>
        <w:ind w:left="2137" w:hanging="360"/>
      </w:pPr>
    </w:lvl>
    <w:lvl w:ilvl="2" w:tplc="3A60E82A" w:tentative="1">
      <w:start w:val="1"/>
      <w:numFmt w:val="lowerRoman"/>
      <w:lvlText w:val="%3."/>
      <w:lvlJc w:val="right"/>
      <w:pPr>
        <w:tabs>
          <w:tab w:val="num" w:pos="2857"/>
        </w:tabs>
        <w:ind w:left="2857" w:hanging="180"/>
      </w:pPr>
    </w:lvl>
    <w:lvl w:ilvl="3" w:tplc="39AE220C" w:tentative="1">
      <w:start w:val="1"/>
      <w:numFmt w:val="decimal"/>
      <w:lvlText w:val="%4."/>
      <w:lvlJc w:val="left"/>
      <w:pPr>
        <w:tabs>
          <w:tab w:val="num" w:pos="3577"/>
        </w:tabs>
        <w:ind w:left="3577" w:hanging="360"/>
      </w:pPr>
    </w:lvl>
    <w:lvl w:ilvl="4" w:tplc="9036D6F4" w:tentative="1">
      <w:start w:val="1"/>
      <w:numFmt w:val="lowerLetter"/>
      <w:lvlText w:val="%5."/>
      <w:lvlJc w:val="left"/>
      <w:pPr>
        <w:tabs>
          <w:tab w:val="num" w:pos="4297"/>
        </w:tabs>
        <w:ind w:left="4297" w:hanging="360"/>
      </w:pPr>
    </w:lvl>
    <w:lvl w:ilvl="5" w:tplc="CE2E42D4" w:tentative="1">
      <w:start w:val="1"/>
      <w:numFmt w:val="lowerRoman"/>
      <w:lvlText w:val="%6."/>
      <w:lvlJc w:val="right"/>
      <w:pPr>
        <w:tabs>
          <w:tab w:val="num" w:pos="5017"/>
        </w:tabs>
        <w:ind w:left="5017" w:hanging="180"/>
      </w:pPr>
    </w:lvl>
    <w:lvl w:ilvl="6" w:tplc="317CABC8" w:tentative="1">
      <w:start w:val="1"/>
      <w:numFmt w:val="decimal"/>
      <w:lvlText w:val="%7."/>
      <w:lvlJc w:val="left"/>
      <w:pPr>
        <w:tabs>
          <w:tab w:val="num" w:pos="5737"/>
        </w:tabs>
        <w:ind w:left="5737" w:hanging="360"/>
      </w:pPr>
    </w:lvl>
    <w:lvl w:ilvl="7" w:tplc="C32848AC" w:tentative="1">
      <w:start w:val="1"/>
      <w:numFmt w:val="lowerLetter"/>
      <w:lvlText w:val="%8."/>
      <w:lvlJc w:val="left"/>
      <w:pPr>
        <w:tabs>
          <w:tab w:val="num" w:pos="6457"/>
        </w:tabs>
        <w:ind w:left="6457" w:hanging="360"/>
      </w:pPr>
    </w:lvl>
    <w:lvl w:ilvl="8" w:tplc="51520BF8"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1A0CBDDC">
      <w:start w:val="1"/>
      <w:numFmt w:val="decimal"/>
      <w:pStyle w:val="ATSNumber1"/>
      <w:lvlText w:val="%1)"/>
      <w:lvlJc w:val="left"/>
      <w:pPr>
        <w:tabs>
          <w:tab w:val="num" w:pos="720"/>
        </w:tabs>
        <w:ind w:left="720" w:hanging="360"/>
      </w:pPr>
    </w:lvl>
    <w:lvl w:ilvl="1" w:tplc="1E54E512" w:tentative="1">
      <w:start w:val="1"/>
      <w:numFmt w:val="lowerLetter"/>
      <w:lvlText w:val="%2."/>
      <w:lvlJc w:val="left"/>
      <w:pPr>
        <w:tabs>
          <w:tab w:val="num" w:pos="1440"/>
        </w:tabs>
        <w:ind w:left="1440" w:hanging="360"/>
      </w:pPr>
    </w:lvl>
    <w:lvl w:ilvl="2" w:tplc="A5262EF6" w:tentative="1">
      <w:start w:val="1"/>
      <w:numFmt w:val="lowerRoman"/>
      <w:lvlText w:val="%3."/>
      <w:lvlJc w:val="right"/>
      <w:pPr>
        <w:tabs>
          <w:tab w:val="num" w:pos="2160"/>
        </w:tabs>
        <w:ind w:left="2160" w:hanging="180"/>
      </w:pPr>
    </w:lvl>
    <w:lvl w:ilvl="3" w:tplc="0910E81C" w:tentative="1">
      <w:start w:val="1"/>
      <w:numFmt w:val="decimal"/>
      <w:lvlText w:val="%4."/>
      <w:lvlJc w:val="left"/>
      <w:pPr>
        <w:tabs>
          <w:tab w:val="num" w:pos="2880"/>
        </w:tabs>
        <w:ind w:left="2880" w:hanging="360"/>
      </w:pPr>
    </w:lvl>
    <w:lvl w:ilvl="4" w:tplc="0E2E4C54" w:tentative="1">
      <w:start w:val="1"/>
      <w:numFmt w:val="lowerLetter"/>
      <w:lvlText w:val="%5."/>
      <w:lvlJc w:val="left"/>
      <w:pPr>
        <w:tabs>
          <w:tab w:val="num" w:pos="3600"/>
        </w:tabs>
        <w:ind w:left="3600" w:hanging="360"/>
      </w:pPr>
    </w:lvl>
    <w:lvl w:ilvl="5" w:tplc="9AEAAE28" w:tentative="1">
      <w:start w:val="1"/>
      <w:numFmt w:val="lowerRoman"/>
      <w:lvlText w:val="%6."/>
      <w:lvlJc w:val="right"/>
      <w:pPr>
        <w:tabs>
          <w:tab w:val="num" w:pos="4320"/>
        </w:tabs>
        <w:ind w:left="4320" w:hanging="180"/>
      </w:pPr>
    </w:lvl>
    <w:lvl w:ilvl="6" w:tplc="E8F82776" w:tentative="1">
      <w:start w:val="1"/>
      <w:numFmt w:val="decimal"/>
      <w:lvlText w:val="%7."/>
      <w:lvlJc w:val="left"/>
      <w:pPr>
        <w:tabs>
          <w:tab w:val="num" w:pos="5040"/>
        </w:tabs>
        <w:ind w:left="5040" w:hanging="360"/>
      </w:pPr>
    </w:lvl>
    <w:lvl w:ilvl="7" w:tplc="60E0E718" w:tentative="1">
      <w:start w:val="1"/>
      <w:numFmt w:val="lowerLetter"/>
      <w:lvlText w:val="%8."/>
      <w:lvlJc w:val="left"/>
      <w:pPr>
        <w:tabs>
          <w:tab w:val="num" w:pos="5760"/>
        </w:tabs>
        <w:ind w:left="5760" w:hanging="360"/>
      </w:pPr>
    </w:lvl>
    <w:lvl w:ilvl="8" w:tplc="41EE9BF2"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3C20F9A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D866120" w:tentative="1">
      <w:start w:val="1"/>
      <w:numFmt w:val="bullet"/>
      <w:lvlText w:val="o"/>
      <w:lvlJc w:val="left"/>
      <w:pPr>
        <w:tabs>
          <w:tab w:val="num" w:pos="2517"/>
        </w:tabs>
        <w:ind w:left="2517" w:hanging="360"/>
      </w:pPr>
      <w:rPr>
        <w:rFonts w:ascii="Courier New" w:hAnsi="Courier New" w:cs="Courier New" w:hint="default"/>
      </w:rPr>
    </w:lvl>
    <w:lvl w:ilvl="2" w:tplc="86981CEE" w:tentative="1">
      <w:start w:val="1"/>
      <w:numFmt w:val="bullet"/>
      <w:lvlText w:val=""/>
      <w:lvlJc w:val="left"/>
      <w:pPr>
        <w:tabs>
          <w:tab w:val="num" w:pos="3237"/>
        </w:tabs>
        <w:ind w:left="3237" w:hanging="360"/>
      </w:pPr>
      <w:rPr>
        <w:rFonts w:ascii="Wingdings" w:hAnsi="Wingdings" w:hint="default"/>
      </w:rPr>
    </w:lvl>
    <w:lvl w:ilvl="3" w:tplc="1FD6B19C" w:tentative="1">
      <w:start w:val="1"/>
      <w:numFmt w:val="bullet"/>
      <w:lvlText w:val=""/>
      <w:lvlJc w:val="left"/>
      <w:pPr>
        <w:tabs>
          <w:tab w:val="num" w:pos="3957"/>
        </w:tabs>
        <w:ind w:left="3957" w:hanging="360"/>
      </w:pPr>
      <w:rPr>
        <w:rFonts w:ascii="Symbol" w:hAnsi="Symbol" w:hint="default"/>
      </w:rPr>
    </w:lvl>
    <w:lvl w:ilvl="4" w:tplc="3708A54C" w:tentative="1">
      <w:start w:val="1"/>
      <w:numFmt w:val="bullet"/>
      <w:lvlText w:val="o"/>
      <w:lvlJc w:val="left"/>
      <w:pPr>
        <w:tabs>
          <w:tab w:val="num" w:pos="4677"/>
        </w:tabs>
        <w:ind w:left="4677" w:hanging="360"/>
      </w:pPr>
      <w:rPr>
        <w:rFonts w:ascii="Courier New" w:hAnsi="Courier New" w:cs="Courier New" w:hint="default"/>
      </w:rPr>
    </w:lvl>
    <w:lvl w:ilvl="5" w:tplc="F146ACE8" w:tentative="1">
      <w:start w:val="1"/>
      <w:numFmt w:val="bullet"/>
      <w:lvlText w:val=""/>
      <w:lvlJc w:val="left"/>
      <w:pPr>
        <w:tabs>
          <w:tab w:val="num" w:pos="5397"/>
        </w:tabs>
        <w:ind w:left="5397" w:hanging="360"/>
      </w:pPr>
      <w:rPr>
        <w:rFonts w:ascii="Wingdings" w:hAnsi="Wingdings" w:hint="default"/>
      </w:rPr>
    </w:lvl>
    <w:lvl w:ilvl="6" w:tplc="D128999E" w:tentative="1">
      <w:start w:val="1"/>
      <w:numFmt w:val="bullet"/>
      <w:lvlText w:val=""/>
      <w:lvlJc w:val="left"/>
      <w:pPr>
        <w:tabs>
          <w:tab w:val="num" w:pos="6117"/>
        </w:tabs>
        <w:ind w:left="6117" w:hanging="360"/>
      </w:pPr>
      <w:rPr>
        <w:rFonts w:ascii="Symbol" w:hAnsi="Symbol" w:hint="default"/>
      </w:rPr>
    </w:lvl>
    <w:lvl w:ilvl="7" w:tplc="CAE66010" w:tentative="1">
      <w:start w:val="1"/>
      <w:numFmt w:val="bullet"/>
      <w:lvlText w:val="o"/>
      <w:lvlJc w:val="left"/>
      <w:pPr>
        <w:tabs>
          <w:tab w:val="num" w:pos="6837"/>
        </w:tabs>
        <w:ind w:left="6837" w:hanging="360"/>
      </w:pPr>
      <w:rPr>
        <w:rFonts w:ascii="Courier New" w:hAnsi="Courier New" w:cs="Courier New" w:hint="default"/>
      </w:rPr>
    </w:lvl>
    <w:lvl w:ilvl="8" w:tplc="C7348D3A"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72CEB8EC">
      <w:start w:val="1"/>
      <w:numFmt w:val="decimal"/>
      <w:pStyle w:val="ATSNumber2"/>
      <w:lvlText w:val="%1."/>
      <w:lvlJc w:val="left"/>
      <w:pPr>
        <w:tabs>
          <w:tab w:val="num" w:pos="720"/>
        </w:tabs>
        <w:ind w:left="720" w:hanging="360"/>
      </w:pPr>
      <w:rPr>
        <w:rFonts w:hint="default"/>
      </w:rPr>
    </w:lvl>
    <w:lvl w:ilvl="1" w:tplc="A426BFB4" w:tentative="1">
      <w:start w:val="1"/>
      <w:numFmt w:val="lowerLetter"/>
      <w:lvlText w:val="%2."/>
      <w:lvlJc w:val="left"/>
      <w:pPr>
        <w:tabs>
          <w:tab w:val="num" w:pos="1440"/>
        </w:tabs>
        <w:ind w:left="1440" w:hanging="360"/>
      </w:pPr>
    </w:lvl>
    <w:lvl w:ilvl="2" w:tplc="E7E83BFE" w:tentative="1">
      <w:start w:val="1"/>
      <w:numFmt w:val="lowerRoman"/>
      <w:lvlText w:val="%3."/>
      <w:lvlJc w:val="right"/>
      <w:pPr>
        <w:tabs>
          <w:tab w:val="num" w:pos="2160"/>
        </w:tabs>
        <w:ind w:left="2160" w:hanging="180"/>
      </w:pPr>
    </w:lvl>
    <w:lvl w:ilvl="3" w:tplc="0A5A89E4" w:tentative="1">
      <w:start w:val="1"/>
      <w:numFmt w:val="decimal"/>
      <w:lvlText w:val="%4."/>
      <w:lvlJc w:val="left"/>
      <w:pPr>
        <w:tabs>
          <w:tab w:val="num" w:pos="2880"/>
        </w:tabs>
        <w:ind w:left="2880" w:hanging="360"/>
      </w:pPr>
    </w:lvl>
    <w:lvl w:ilvl="4" w:tplc="8728744C" w:tentative="1">
      <w:start w:val="1"/>
      <w:numFmt w:val="lowerLetter"/>
      <w:lvlText w:val="%5."/>
      <w:lvlJc w:val="left"/>
      <w:pPr>
        <w:tabs>
          <w:tab w:val="num" w:pos="3600"/>
        </w:tabs>
        <w:ind w:left="3600" w:hanging="360"/>
      </w:pPr>
    </w:lvl>
    <w:lvl w:ilvl="5" w:tplc="F0D496C8" w:tentative="1">
      <w:start w:val="1"/>
      <w:numFmt w:val="lowerRoman"/>
      <w:lvlText w:val="%6."/>
      <w:lvlJc w:val="right"/>
      <w:pPr>
        <w:tabs>
          <w:tab w:val="num" w:pos="4320"/>
        </w:tabs>
        <w:ind w:left="4320" w:hanging="180"/>
      </w:pPr>
    </w:lvl>
    <w:lvl w:ilvl="6" w:tplc="F9BC4F7A" w:tentative="1">
      <w:start w:val="1"/>
      <w:numFmt w:val="decimal"/>
      <w:lvlText w:val="%7."/>
      <w:lvlJc w:val="left"/>
      <w:pPr>
        <w:tabs>
          <w:tab w:val="num" w:pos="5040"/>
        </w:tabs>
        <w:ind w:left="5040" w:hanging="360"/>
      </w:pPr>
    </w:lvl>
    <w:lvl w:ilvl="7" w:tplc="8BEC6B68" w:tentative="1">
      <w:start w:val="1"/>
      <w:numFmt w:val="lowerLetter"/>
      <w:lvlText w:val="%8."/>
      <w:lvlJc w:val="left"/>
      <w:pPr>
        <w:tabs>
          <w:tab w:val="num" w:pos="5760"/>
        </w:tabs>
        <w:ind w:left="5760" w:hanging="360"/>
      </w:pPr>
    </w:lvl>
    <w:lvl w:ilvl="8" w:tplc="DFDC9F46" w:tentative="1">
      <w:start w:val="1"/>
      <w:numFmt w:val="lowerRoman"/>
      <w:lvlText w:val="%9."/>
      <w:lvlJc w:val="right"/>
      <w:pPr>
        <w:tabs>
          <w:tab w:val="num" w:pos="6480"/>
        </w:tabs>
        <w:ind w:left="6480" w:hanging="180"/>
      </w:pPr>
    </w:lvl>
  </w:abstractNum>
  <w:num w:numId="1" w16cid:durableId="1941713381">
    <w:abstractNumId w:val="9"/>
  </w:num>
  <w:num w:numId="2" w16cid:durableId="2116631465">
    <w:abstractNumId w:val="7"/>
  </w:num>
  <w:num w:numId="3" w16cid:durableId="245309176">
    <w:abstractNumId w:val="6"/>
  </w:num>
  <w:num w:numId="4" w16cid:durableId="797335724">
    <w:abstractNumId w:val="5"/>
  </w:num>
  <w:num w:numId="5" w16cid:durableId="1616326849">
    <w:abstractNumId w:val="4"/>
  </w:num>
  <w:num w:numId="6" w16cid:durableId="1796873928">
    <w:abstractNumId w:val="8"/>
  </w:num>
  <w:num w:numId="7" w16cid:durableId="1372222329">
    <w:abstractNumId w:val="3"/>
  </w:num>
  <w:num w:numId="8" w16cid:durableId="386799911">
    <w:abstractNumId w:val="2"/>
  </w:num>
  <w:num w:numId="9" w16cid:durableId="1697080939">
    <w:abstractNumId w:val="1"/>
  </w:num>
  <w:num w:numId="10" w16cid:durableId="191000445">
    <w:abstractNumId w:val="0"/>
  </w:num>
  <w:num w:numId="11" w16cid:durableId="1708948942">
    <w:abstractNumId w:val="11"/>
  </w:num>
  <w:num w:numId="12" w16cid:durableId="1414428803">
    <w:abstractNumId w:val="16"/>
  </w:num>
  <w:num w:numId="13" w16cid:durableId="1613320572">
    <w:abstractNumId w:val="15"/>
  </w:num>
  <w:num w:numId="14" w16cid:durableId="601575630">
    <w:abstractNumId w:val="12"/>
  </w:num>
  <w:num w:numId="15" w16cid:durableId="1207137446">
    <w:abstractNumId w:val="14"/>
  </w:num>
  <w:num w:numId="16" w16cid:durableId="95561092">
    <w:abstractNumId w:val="10"/>
  </w:num>
  <w:num w:numId="17" w16cid:durableId="671682849">
    <w:abstractNumId w:val="11"/>
  </w:num>
  <w:num w:numId="18" w16cid:durableId="384764189">
    <w:abstractNumId w:val="16"/>
  </w:num>
  <w:num w:numId="19" w16cid:durableId="243686821">
    <w:abstractNumId w:val="15"/>
  </w:num>
  <w:num w:numId="20" w16cid:durableId="725102968">
    <w:abstractNumId w:val="17"/>
  </w:num>
  <w:num w:numId="21" w16cid:durableId="7000104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3E2"/>
    <w:rsid w:val="00340C0D"/>
    <w:rsid w:val="009F03E2"/>
    <w:rsid w:val="00CC67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FF923"/>
  <w15:chartTrackingRefBased/>
  <w15:docId w15:val="{E98ED697-780A-45D1-BE2D-B7C98633F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340C0D"/>
    <w:rPr>
      <w:rFonts w:ascii="Arial" w:hAnsi="Arial"/>
      <w:b/>
      <w:i/>
      <w:sz w:val="24"/>
      <w:szCs w:val="22"/>
      <w:lang w:val="en-GB" w:eastAsia="en-GB"/>
    </w:rPr>
  </w:style>
  <w:style w:type="character" w:customStyle="1" w:styleId="gmail-normaltextrun">
    <w:name w:val="gmail-normaltextrun"/>
    <w:basedOn w:val="Fuentedeprrafopredeter"/>
    <w:rsid w:val="00340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872</Words>
  <Characters>5009</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2023-04-13T14:06:00Z</dcterms:modified>
</cp:coreProperties>
</file>