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34786" w14:textId="77777777" w:rsidR="00C26F2D" w:rsidRPr="00BF077B" w:rsidRDefault="006432E8" w:rsidP="00BF077B">
      <w:pPr>
        <w:pStyle w:val="ATSNormal"/>
        <w:rPr>
          <w:rStyle w:val="Ttulodellibro"/>
        </w:rPr>
      </w:pPr>
    </w:p>
    <w:p w14:paraId="6C8B87C4" w14:textId="77777777" w:rsidR="002F0A13" w:rsidRDefault="006432E8" w:rsidP="004B4A60">
      <w:pPr>
        <w:rPr>
          <w:b/>
          <w:u w:val="single"/>
          <w:lang w:val="es-ES_tradnl"/>
        </w:rPr>
      </w:pPr>
    </w:p>
    <w:p w14:paraId="3FE44ADC" w14:textId="77777777" w:rsidR="002F0A13" w:rsidRDefault="006432E8" w:rsidP="004B4A60">
      <w:pPr>
        <w:rPr>
          <w:b/>
          <w:u w:val="single"/>
          <w:lang w:val="es-ES_tradnl"/>
        </w:rPr>
      </w:pPr>
    </w:p>
    <w:p w14:paraId="3418C00D" w14:textId="77777777" w:rsidR="002F0A13" w:rsidRDefault="006432E8" w:rsidP="004B4A60">
      <w:pPr>
        <w:rPr>
          <w:b/>
          <w:u w:val="single"/>
          <w:lang w:val="es-ES_tradnl"/>
        </w:rPr>
      </w:pPr>
    </w:p>
    <w:p w14:paraId="348C7C4E" w14:textId="77777777" w:rsidR="002F0A13" w:rsidRDefault="006432E8" w:rsidP="004B4A60">
      <w:pPr>
        <w:rPr>
          <w:b/>
          <w:u w:val="single"/>
          <w:lang w:val="es-ES_tradnl"/>
        </w:rPr>
      </w:pPr>
    </w:p>
    <w:p w14:paraId="0C897E0D" w14:textId="77777777" w:rsidR="00C26F2D" w:rsidRDefault="006432E8" w:rsidP="004B4A60">
      <w:pPr>
        <w:rPr>
          <w:b/>
          <w:u w:val="single"/>
          <w:lang w:val="es-ES_tradnl"/>
        </w:rPr>
      </w:pPr>
    </w:p>
    <w:p w14:paraId="11B577AA" w14:textId="77777777" w:rsidR="004B4A60" w:rsidRPr="0057246E" w:rsidRDefault="006432E8" w:rsidP="001B789F">
      <w:pPr>
        <w:pStyle w:val="ATSTitle"/>
      </w:pPr>
      <w:bookmarkStart w:id="0" w:name="name"/>
      <w:r>
        <w:t>Contribution of information to inform State of the Antarctic Environment Reporting (SAER): a potential new SCAR initiative</w:t>
      </w:r>
      <w:bookmarkEnd w:id="0"/>
    </w:p>
    <w:p w14:paraId="79BC7E69" w14:textId="77777777" w:rsidR="004B4A60" w:rsidRPr="0057246E" w:rsidRDefault="006432E8" w:rsidP="00F75424">
      <w:pPr>
        <w:jc w:val="center"/>
      </w:pPr>
    </w:p>
    <w:p w14:paraId="4F4A7130" w14:textId="77777777" w:rsidR="004B4A60" w:rsidRPr="002F0A13" w:rsidRDefault="006432E8" w:rsidP="002F0A13"/>
    <w:p w14:paraId="75E51FC4" w14:textId="77777777" w:rsidR="004B4A60" w:rsidRDefault="006432E8" w:rsidP="00F75424">
      <w:pPr>
        <w:jc w:val="center"/>
      </w:pPr>
      <w:bookmarkStart w:id="1" w:name="memo"/>
      <w:bookmarkEnd w:id="1"/>
    </w:p>
    <w:p w14:paraId="7200A088" w14:textId="77777777" w:rsidR="0097629D" w:rsidRDefault="006432E8" w:rsidP="00F75424">
      <w:pPr>
        <w:jc w:val="center"/>
      </w:pPr>
    </w:p>
    <w:p w14:paraId="1D1B64D7" w14:textId="77777777" w:rsidR="0097629D" w:rsidRDefault="006432E8" w:rsidP="00F75424">
      <w:pPr>
        <w:jc w:val="center"/>
      </w:pPr>
    </w:p>
    <w:p w14:paraId="3EF84115" w14:textId="77777777" w:rsidR="0097629D" w:rsidRDefault="006432E8" w:rsidP="00F75424">
      <w:pPr>
        <w:jc w:val="center"/>
      </w:pPr>
    </w:p>
    <w:p w14:paraId="54E58637" w14:textId="77777777" w:rsidR="0097629D" w:rsidRPr="00C26F2D" w:rsidRDefault="006432E8" w:rsidP="00F75424">
      <w:pPr>
        <w:jc w:val="center"/>
      </w:pPr>
    </w:p>
    <w:p w14:paraId="045ABFAE" w14:textId="77777777" w:rsidR="004B4A60" w:rsidRPr="0057246E" w:rsidRDefault="006432E8" w:rsidP="004B4A60"/>
    <w:p w14:paraId="28782591" w14:textId="77777777" w:rsidR="00C26F2D" w:rsidRDefault="006432E8"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7B2A3ABF" w14:textId="77777777" w:rsidR="006432E8" w:rsidRDefault="006432E8" w:rsidP="006432E8">
      <w:pPr>
        <w:pStyle w:val="ATSHeading1"/>
      </w:pPr>
      <w:r>
        <w:lastRenderedPageBreak/>
        <w:t>Contribution of information to inform State of the Antarctic Environment Reporting (SAER): a potential new SCAR initiative</w:t>
      </w:r>
    </w:p>
    <w:p w14:paraId="1E1C9EA2" w14:textId="77777777" w:rsidR="006432E8" w:rsidRPr="00A03F78" w:rsidRDefault="006432E8" w:rsidP="006432E8">
      <w:pPr>
        <w:pStyle w:val="ATSNormal"/>
        <w:jc w:val="center"/>
        <w:rPr>
          <w:b/>
        </w:rPr>
      </w:pPr>
      <w:r w:rsidRPr="00A03F78">
        <w:rPr>
          <w:b/>
        </w:rPr>
        <w:t>Working Paper submitted by SCAR</w:t>
      </w:r>
    </w:p>
    <w:p w14:paraId="4AFE8065" w14:textId="77777777" w:rsidR="006432E8" w:rsidRPr="00B978F2" w:rsidRDefault="006432E8" w:rsidP="006432E8">
      <w:pPr>
        <w:pStyle w:val="ATSHeading2"/>
      </w:pPr>
      <w:r w:rsidRPr="00B978F2">
        <w:t>Summary</w:t>
      </w:r>
    </w:p>
    <w:p w14:paraId="209090D7" w14:textId="77777777" w:rsidR="006432E8" w:rsidRDefault="006432E8" w:rsidP="006432E8">
      <w:pPr>
        <w:pStyle w:val="ATSNormal"/>
      </w:pPr>
      <w:r>
        <w:t>This paper describes the outcomes of a recent SCAR workshop to consider the potential provision of information to inform elements of ‘State of the Antarctic Environment Reporting’ (SAER).  SCAR recommends that the Committee:</w:t>
      </w:r>
    </w:p>
    <w:p w14:paraId="65113C07" w14:textId="77777777" w:rsidR="006432E8" w:rsidRPr="00571332" w:rsidRDefault="006432E8" w:rsidP="006432E8">
      <w:pPr>
        <w:pStyle w:val="ATSBullet1"/>
        <w:numPr>
          <w:ilvl w:val="0"/>
          <w:numId w:val="11"/>
        </w:numPr>
      </w:pPr>
      <w:r w:rsidRPr="00571332">
        <w:t xml:space="preserve">Notes the recent </w:t>
      </w:r>
      <w:r>
        <w:t xml:space="preserve">SCAR workshops held </w:t>
      </w:r>
      <w:r w:rsidRPr="00571332">
        <w:t xml:space="preserve">to consider how best </w:t>
      </w:r>
      <w:r>
        <w:t>the scientific community</w:t>
      </w:r>
      <w:r w:rsidRPr="00571332">
        <w:t xml:space="preserve"> might contribute to </w:t>
      </w:r>
      <w:r>
        <w:t xml:space="preserve">SAER (see the Workshop Report at </w:t>
      </w:r>
      <w:r w:rsidRPr="00AD75ED">
        <w:rPr>
          <w:u w:val="single"/>
        </w:rPr>
        <w:t xml:space="preserve">Attachment </w:t>
      </w:r>
      <w:r>
        <w:rPr>
          <w:u w:val="single"/>
        </w:rPr>
        <w:t>A</w:t>
      </w:r>
      <w:r>
        <w:t xml:space="preserve"> to this Working Paper).</w:t>
      </w:r>
    </w:p>
    <w:p w14:paraId="6138D406" w14:textId="77777777" w:rsidR="006432E8" w:rsidRPr="00571332" w:rsidRDefault="006432E8" w:rsidP="006432E8">
      <w:pPr>
        <w:pStyle w:val="ATSBullet1"/>
        <w:numPr>
          <w:ilvl w:val="0"/>
          <w:numId w:val="11"/>
        </w:numPr>
      </w:pPr>
      <w:r w:rsidRPr="00571332">
        <w:t>Consider</w:t>
      </w:r>
      <w:r>
        <w:t>s</w:t>
      </w:r>
      <w:r w:rsidRPr="00571332">
        <w:t xml:space="preserve"> the proposal by SCAR to develop a mechanism for the provision of information relevant to S</w:t>
      </w:r>
      <w:r>
        <w:t>AER</w:t>
      </w:r>
      <w:r w:rsidRPr="00571332">
        <w:t xml:space="preserve">; and </w:t>
      </w:r>
    </w:p>
    <w:p w14:paraId="5C2AD134" w14:textId="77777777" w:rsidR="006432E8" w:rsidRPr="00C95AD0" w:rsidRDefault="006432E8" w:rsidP="006432E8">
      <w:pPr>
        <w:pStyle w:val="ATSBullet1"/>
        <w:numPr>
          <w:ilvl w:val="0"/>
          <w:numId w:val="11"/>
        </w:numPr>
      </w:pPr>
      <w:r w:rsidRPr="00095F5A">
        <w:t xml:space="preserve">Requests the views of CEP Members </w:t>
      </w:r>
      <w:r>
        <w:t>regarding (i)</w:t>
      </w:r>
      <w:r w:rsidRPr="00095F5A">
        <w:t xml:space="preserve"> the usefulness of this proposal and</w:t>
      </w:r>
      <w:r>
        <w:t xml:space="preserve"> (ii) if considered beneficial, what information would be most useful for </w:t>
      </w:r>
      <w:r w:rsidRPr="00095F5A">
        <w:t>support</w:t>
      </w:r>
      <w:r>
        <w:t>ing</w:t>
      </w:r>
      <w:r w:rsidRPr="00095F5A">
        <w:t xml:space="preserve"> the Committee in their provision of advice to the ATCM on the state of the Antarctic environment.</w:t>
      </w:r>
    </w:p>
    <w:p w14:paraId="71A8AEB9" w14:textId="77777777" w:rsidR="006432E8" w:rsidRDefault="006432E8" w:rsidP="006432E8">
      <w:pPr>
        <w:pStyle w:val="ATSHeading2"/>
      </w:pPr>
      <w:r w:rsidRPr="00B978F2">
        <w:t>Background</w:t>
      </w:r>
    </w:p>
    <w:p w14:paraId="6F43F28E" w14:textId="77777777" w:rsidR="006432E8" w:rsidRPr="000F3518" w:rsidRDefault="006432E8" w:rsidP="006432E8">
      <w:pPr>
        <w:pStyle w:val="ATSNormal"/>
      </w:pPr>
      <w:r w:rsidRPr="000F3518">
        <w:t>Article 12 (1) of the Protocol on Environmental Protection to the Antarctic Treaty sets out the functions of the Committee for Environmental Protection (CEP), i.e.:</w:t>
      </w:r>
    </w:p>
    <w:p w14:paraId="1CBD1B76" w14:textId="77777777" w:rsidR="006432E8" w:rsidRPr="000F3518" w:rsidRDefault="006432E8" w:rsidP="006432E8">
      <w:pPr>
        <w:pStyle w:val="ATSNormal"/>
        <w:rPr>
          <w:i/>
          <w:iCs/>
        </w:rPr>
      </w:pPr>
      <w:r w:rsidRPr="000F3518">
        <w:rPr>
          <w:i/>
          <w:iCs/>
        </w:rPr>
        <w:t>‘…to provide advice and formulate recommendations to the Parties in connection with the implementation of this Protocol, including the operation of its Annexes, for consideration at Antarctic Treaty Consultative Meetings, and to perform such other functions as may be referred to it by the Antarctic Treaty Consultative Meetings.’</w:t>
      </w:r>
    </w:p>
    <w:p w14:paraId="1DD34AAC" w14:textId="77777777" w:rsidR="006432E8" w:rsidRPr="00D507B7" w:rsidRDefault="006432E8" w:rsidP="006432E8">
      <w:pPr>
        <w:pStyle w:val="ATSNormal"/>
      </w:pPr>
      <w:r w:rsidRPr="000F3518">
        <w:t>The Protocol goes on to state that amongst other things, the Committee shall provide advice on ‘</w:t>
      </w:r>
      <w:r w:rsidRPr="000F3518">
        <w:rPr>
          <w:i/>
          <w:iCs/>
        </w:rPr>
        <w:t xml:space="preserve">the state of the </w:t>
      </w:r>
      <w:r w:rsidRPr="00D507B7">
        <w:rPr>
          <w:i/>
          <w:iCs/>
        </w:rPr>
        <w:t>Antarctic environment</w:t>
      </w:r>
      <w:r w:rsidRPr="00D507B7">
        <w:t xml:space="preserve">’ (Article 12(1)j).  </w:t>
      </w:r>
      <w:r w:rsidRPr="00D507B7">
        <w:rPr>
          <w:rStyle w:val="markedcontent"/>
        </w:rPr>
        <w:t>Annex II</w:t>
      </w:r>
      <w:r>
        <w:rPr>
          <w:rStyle w:val="markedcontent"/>
        </w:rPr>
        <w:t xml:space="preserve"> (Article 6)</w:t>
      </w:r>
      <w:r w:rsidRPr="00D507B7">
        <w:rPr>
          <w:rStyle w:val="markedcontent"/>
        </w:rPr>
        <w:t xml:space="preserve"> identifies a requirement to obtain information on the status of native animals in Antarctica, and the extent to which any population needs protection.</w:t>
      </w:r>
    </w:p>
    <w:p w14:paraId="4DE462EE" w14:textId="77777777" w:rsidR="006432E8" w:rsidRPr="00F85881" w:rsidRDefault="006432E8" w:rsidP="006432E8">
      <w:pPr>
        <w:pStyle w:val="ATSNormal"/>
        <w:rPr>
          <w:rStyle w:val="Hipervnculo"/>
        </w:rPr>
      </w:pPr>
      <w:r w:rsidRPr="00F85881">
        <w:t>The CEP has identified monitoring and state</w:t>
      </w:r>
      <w:r>
        <w:t xml:space="preserve"> </w:t>
      </w:r>
      <w:r w:rsidRPr="00F85881">
        <w:t>of</w:t>
      </w:r>
      <w:r>
        <w:t xml:space="preserve"> </w:t>
      </w:r>
      <w:r w:rsidRPr="00F85881">
        <w:t>the</w:t>
      </w:r>
      <w:r>
        <w:t xml:space="preserve"> </w:t>
      </w:r>
      <w:r w:rsidRPr="00F85881">
        <w:t>environment reporting as a Priority 2 issue in its 5-Year Work Plan.  Specified actions include:</w:t>
      </w:r>
    </w:p>
    <w:p w14:paraId="4DB41203" w14:textId="77777777" w:rsidR="006432E8" w:rsidRPr="00F85881" w:rsidRDefault="006432E8" w:rsidP="006432E8">
      <w:pPr>
        <w:pStyle w:val="ATSBullet1"/>
        <w:numPr>
          <w:ilvl w:val="0"/>
          <w:numId w:val="11"/>
        </w:numPr>
        <w:rPr>
          <w:rStyle w:val="markedcontent"/>
        </w:rPr>
      </w:pPr>
      <w:r w:rsidRPr="00853F44">
        <w:rPr>
          <w:rStyle w:val="markedcontent"/>
        </w:rPr>
        <w:t>Identify key environmental indicators and tools</w:t>
      </w:r>
      <w:r>
        <w:rPr>
          <w:rStyle w:val="markedcontent"/>
        </w:rPr>
        <w:t>;</w:t>
      </w:r>
    </w:p>
    <w:p w14:paraId="1023D6DB" w14:textId="77777777" w:rsidR="006432E8" w:rsidRPr="00853F44" w:rsidRDefault="006432E8" w:rsidP="006432E8">
      <w:pPr>
        <w:pStyle w:val="ATSBullet1"/>
        <w:numPr>
          <w:ilvl w:val="0"/>
          <w:numId w:val="11"/>
        </w:numPr>
      </w:pPr>
      <w:r w:rsidRPr="00853F44">
        <w:rPr>
          <w:rStyle w:val="markedcontent"/>
        </w:rPr>
        <w:t>Establish a process for reporting to the ATCM</w:t>
      </w:r>
      <w:r>
        <w:rPr>
          <w:rStyle w:val="markedcontent"/>
        </w:rPr>
        <w:t>;</w:t>
      </w:r>
    </w:p>
    <w:p w14:paraId="49F65A43" w14:textId="77777777" w:rsidR="006432E8" w:rsidRPr="00853F44" w:rsidRDefault="006432E8" w:rsidP="006432E8">
      <w:pPr>
        <w:pStyle w:val="ATSBullet1"/>
        <w:numPr>
          <w:ilvl w:val="0"/>
          <w:numId w:val="11"/>
        </w:numPr>
      </w:pPr>
      <w:r w:rsidRPr="00853F44">
        <w:rPr>
          <w:rStyle w:val="markedcontent"/>
        </w:rPr>
        <w:t>SCAR to support information to COMNAP and CEP</w:t>
      </w:r>
      <w:r>
        <w:rPr>
          <w:rStyle w:val="markedcontent"/>
        </w:rPr>
        <w:t>.</w:t>
      </w:r>
    </w:p>
    <w:p w14:paraId="0AF199DB" w14:textId="77777777" w:rsidR="006432E8" w:rsidRPr="00F85881" w:rsidRDefault="006432E8" w:rsidP="006432E8">
      <w:pPr>
        <w:pStyle w:val="ATSNormal"/>
      </w:pPr>
      <w:r>
        <w:t>R</w:t>
      </w:r>
      <w:r w:rsidRPr="00F85881">
        <w:t>eporting concerning the state of the Antarctic environment is likely to further support the work of the Committee (see also ATCM</w:t>
      </w:r>
      <w:r>
        <w:t xml:space="preserve"> </w:t>
      </w:r>
      <w:r w:rsidRPr="00F85881">
        <w:t>XXII IP46</w:t>
      </w:r>
      <w:r>
        <w:rPr>
          <w:rStyle w:val="Refdenotaalpie"/>
        </w:rPr>
        <w:footnoteReference w:id="1"/>
      </w:r>
      <w:r w:rsidRPr="00F85881">
        <w:t xml:space="preserve">). </w:t>
      </w:r>
      <w:r>
        <w:t xml:space="preserve"> </w:t>
      </w:r>
      <w:r w:rsidRPr="00F85881">
        <w:t xml:space="preserve">Such information could potentially be utilised to: </w:t>
      </w:r>
    </w:p>
    <w:p w14:paraId="71A80E0B" w14:textId="77777777" w:rsidR="006432E8" w:rsidRPr="00853F44" w:rsidRDefault="006432E8" w:rsidP="006432E8">
      <w:pPr>
        <w:pStyle w:val="ATSNumber1"/>
        <w:numPr>
          <w:ilvl w:val="0"/>
          <w:numId w:val="21"/>
        </w:numPr>
      </w:pPr>
      <w:r w:rsidRPr="00853F44">
        <w:t xml:space="preserve">inform the development of the Antarctic Protected Area System, </w:t>
      </w:r>
    </w:p>
    <w:p w14:paraId="572FB1A2" w14:textId="77777777" w:rsidR="006432E8" w:rsidRPr="00853F44" w:rsidRDefault="006432E8" w:rsidP="006432E8">
      <w:pPr>
        <w:pStyle w:val="ATSNumber1"/>
        <w:numPr>
          <w:ilvl w:val="0"/>
          <w:numId w:val="21"/>
        </w:numPr>
      </w:pPr>
      <w:r w:rsidRPr="00853F44">
        <w:t xml:space="preserve">increase understanding concerning environmental monitoring needs; </w:t>
      </w:r>
    </w:p>
    <w:p w14:paraId="5BBE7495" w14:textId="77777777" w:rsidR="006432E8" w:rsidRPr="00853F44" w:rsidRDefault="006432E8" w:rsidP="006432E8">
      <w:pPr>
        <w:pStyle w:val="ATSNumber1"/>
        <w:numPr>
          <w:ilvl w:val="0"/>
          <w:numId w:val="21"/>
        </w:numPr>
      </w:pPr>
      <w:r w:rsidRPr="00853F44">
        <w:t xml:space="preserve">identify sites where management could be used to improve environmental state, such as by reducing pollution; and </w:t>
      </w:r>
    </w:p>
    <w:p w14:paraId="348B6513" w14:textId="77777777" w:rsidR="006432E8" w:rsidRPr="00C95AD0" w:rsidRDefault="006432E8" w:rsidP="006432E8">
      <w:pPr>
        <w:pStyle w:val="ATSNumber1"/>
        <w:numPr>
          <w:ilvl w:val="0"/>
          <w:numId w:val="21"/>
        </w:numPr>
      </w:pPr>
      <w:r w:rsidRPr="00853F44">
        <w:lastRenderedPageBreak/>
        <w:t>highlight gaps in scientific knowledge.</w:t>
      </w:r>
    </w:p>
    <w:p w14:paraId="62B167C9" w14:textId="77777777" w:rsidR="006432E8" w:rsidRPr="007F062A" w:rsidRDefault="006432E8" w:rsidP="006432E8">
      <w:pPr>
        <w:pStyle w:val="ATSHeading2"/>
      </w:pPr>
      <w:r w:rsidRPr="007F062A">
        <w:t>Earlier CEP discussion</w:t>
      </w:r>
      <w:r>
        <w:t>s</w:t>
      </w:r>
      <w:r w:rsidRPr="007F062A">
        <w:t xml:space="preserve"> o</w:t>
      </w:r>
      <w:r>
        <w:t>n</w:t>
      </w:r>
      <w:r w:rsidRPr="007F062A">
        <w:t xml:space="preserve"> </w:t>
      </w:r>
      <w:r>
        <w:t>SAER</w:t>
      </w:r>
    </w:p>
    <w:p w14:paraId="4AE77AB6" w14:textId="77777777" w:rsidR="006432E8" w:rsidRDefault="006432E8" w:rsidP="006432E8">
      <w:pPr>
        <w:pStyle w:val="ATSNormal"/>
      </w:pPr>
      <w:r>
        <w:t xml:space="preserve">SCAR has been engaged in discussions concerning SAER since before the Protocol entered into force (ATCM XX Final Report, para. 164; ATCM XXI </w:t>
      </w:r>
      <w:r w:rsidRPr="00C7064B">
        <w:t>WP19</w:t>
      </w:r>
      <w:r>
        <w:rPr>
          <w:rStyle w:val="Refdenotaalpie"/>
        </w:rPr>
        <w:footnoteReference w:id="2"/>
      </w:r>
      <w:r w:rsidRPr="00C7064B">
        <w:t>)</w:t>
      </w:r>
      <w:r>
        <w:t>.  However, r</w:t>
      </w:r>
      <w:r w:rsidRPr="00C7064B">
        <w:t>ecent</w:t>
      </w:r>
      <w:r>
        <w:t xml:space="preserve"> CEP discussions of </w:t>
      </w:r>
      <w:r w:rsidRPr="000F3518">
        <w:t>S</w:t>
      </w:r>
      <w:r>
        <w:t>AER</w:t>
      </w:r>
      <w:r w:rsidRPr="000F3518">
        <w:t xml:space="preserve"> </w:t>
      </w:r>
      <w:r w:rsidRPr="000E3834">
        <w:t xml:space="preserve">have been limited, with the last paper submitted to the CEP on this topic dating from 2008. </w:t>
      </w:r>
    </w:p>
    <w:p w14:paraId="2D5B7927" w14:textId="77777777" w:rsidR="006432E8" w:rsidRPr="00A03F78" w:rsidRDefault="006432E8" w:rsidP="006432E8">
      <w:pPr>
        <w:pStyle w:val="ATSNormal"/>
      </w:pPr>
      <w:r w:rsidRPr="000E3834">
        <w:t>Earlier considerations of which information could be usefully synthesised for SAER are provided in several CEP documents (see ATCM</w:t>
      </w:r>
      <w:r>
        <w:t xml:space="preserve"> </w:t>
      </w:r>
      <w:r w:rsidRPr="000E3834">
        <w:t>XXI WP19; ATCM</w:t>
      </w:r>
      <w:r>
        <w:t xml:space="preserve"> </w:t>
      </w:r>
      <w:r w:rsidRPr="000E3834">
        <w:t>XXII IP46; and ATCM</w:t>
      </w:r>
      <w:r>
        <w:t xml:space="preserve"> </w:t>
      </w:r>
      <w:r w:rsidRPr="000E3834">
        <w:t>XXV IP54</w:t>
      </w:r>
      <w:r>
        <w:rPr>
          <w:rStyle w:val="Refdenotaalpie"/>
        </w:rPr>
        <w:footnoteReference w:id="3"/>
      </w:r>
      <w:r w:rsidRPr="000E3834">
        <w:t xml:space="preserve">) along with information on the development of </w:t>
      </w:r>
      <w:r>
        <w:t>s</w:t>
      </w:r>
      <w:r w:rsidRPr="000E3834">
        <w:t>tate</w:t>
      </w:r>
      <w:r>
        <w:t xml:space="preserve"> </w:t>
      </w:r>
      <w:r w:rsidRPr="000E3834">
        <w:t>of</w:t>
      </w:r>
      <w:r>
        <w:t xml:space="preserve"> </w:t>
      </w:r>
      <w:r w:rsidRPr="000E3834">
        <w:t>the</w:t>
      </w:r>
      <w:r>
        <w:t xml:space="preserve"> e</w:t>
      </w:r>
      <w:r w:rsidRPr="000E3834">
        <w:t>nvironment reports for the Arctic (ATCM</w:t>
      </w:r>
      <w:r>
        <w:t xml:space="preserve"> </w:t>
      </w:r>
      <w:r w:rsidRPr="000E3834">
        <w:t>XXII IP40</w:t>
      </w:r>
      <w:r>
        <w:rPr>
          <w:rStyle w:val="Refdenotaalpie"/>
        </w:rPr>
        <w:footnoteReference w:id="4"/>
      </w:r>
      <w:r w:rsidRPr="000E3834">
        <w:t>), the Ross Sea Region (ATCM</w:t>
      </w:r>
      <w:r>
        <w:t xml:space="preserve"> </w:t>
      </w:r>
      <w:r w:rsidRPr="000E3834">
        <w:t>XXIII IP1</w:t>
      </w:r>
      <w:r>
        <w:rPr>
          <w:rStyle w:val="Refdenotaalpie"/>
        </w:rPr>
        <w:footnoteReference w:id="5"/>
      </w:r>
      <w:r>
        <w:t>;</w:t>
      </w:r>
      <w:r w:rsidRPr="000E3834">
        <w:t xml:space="preserve"> ATCM</w:t>
      </w:r>
      <w:r>
        <w:t xml:space="preserve"> </w:t>
      </w:r>
      <w:r w:rsidRPr="000E3834">
        <w:t>XXV IP7</w:t>
      </w:r>
      <w:r>
        <w:rPr>
          <w:rStyle w:val="Refdenotaalpie"/>
        </w:rPr>
        <w:footnoteReference w:id="6"/>
      </w:r>
      <w:r>
        <w:t>;</w:t>
      </w:r>
      <w:r w:rsidRPr="000E3834">
        <w:t xml:space="preserve"> ATCM</w:t>
      </w:r>
      <w:r>
        <w:t xml:space="preserve"> </w:t>
      </w:r>
      <w:r w:rsidRPr="000E3834">
        <w:t>XXV WP12</w:t>
      </w:r>
      <w:r>
        <w:rPr>
          <w:rStyle w:val="Refdenotaalpie"/>
        </w:rPr>
        <w:footnoteReference w:id="7"/>
      </w:r>
      <w:r w:rsidRPr="000E3834">
        <w:t>); and the European Arctic, India, New Zealand, Norway and the United Kingdom (ATCM</w:t>
      </w:r>
      <w:r>
        <w:t xml:space="preserve"> </w:t>
      </w:r>
      <w:r w:rsidRPr="000E3834">
        <w:t>XXVI WP21</w:t>
      </w:r>
      <w:r>
        <w:rPr>
          <w:rStyle w:val="Refdenotaalpie"/>
        </w:rPr>
        <w:footnoteReference w:id="8"/>
      </w:r>
      <w:r w:rsidRPr="000E3834">
        <w:t>).</w:t>
      </w:r>
    </w:p>
    <w:p w14:paraId="29438943" w14:textId="77777777" w:rsidR="006432E8" w:rsidRPr="00A03F78" w:rsidRDefault="006432E8" w:rsidP="006432E8">
      <w:pPr>
        <w:pStyle w:val="ATSNormal"/>
        <w:rPr>
          <w:szCs w:val="22"/>
        </w:rPr>
      </w:pPr>
      <w:r w:rsidRPr="000E3834">
        <w:rPr>
          <w:szCs w:val="22"/>
        </w:rPr>
        <w:t>Earlier Intersessional Contact Groups (ICGs) on S</w:t>
      </w:r>
      <w:r>
        <w:rPr>
          <w:szCs w:val="22"/>
        </w:rPr>
        <w:t>AER</w:t>
      </w:r>
      <w:r w:rsidRPr="000E3834">
        <w:rPr>
          <w:szCs w:val="22"/>
        </w:rPr>
        <w:t xml:space="preserve"> were established to consider how uncertainties about the focus of a </w:t>
      </w:r>
      <w:r>
        <w:rPr>
          <w:szCs w:val="22"/>
        </w:rPr>
        <w:t>State of the Antarctic Environment Report</w:t>
      </w:r>
      <w:r w:rsidRPr="000E3834">
        <w:rPr>
          <w:szCs w:val="22"/>
        </w:rPr>
        <w:t xml:space="preserve"> and the methodology of production might be resolved (see ATCM</w:t>
      </w:r>
      <w:r>
        <w:rPr>
          <w:szCs w:val="22"/>
        </w:rPr>
        <w:t xml:space="preserve"> </w:t>
      </w:r>
      <w:r w:rsidRPr="000E3834">
        <w:rPr>
          <w:szCs w:val="22"/>
        </w:rPr>
        <w:t>XXII WP11</w:t>
      </w:r>
      <w:r>
        <w:rPr>
          <w:rStyle w:val="Refdenotaalpie"/>
          <w:szCs w:val="22"/>
        </w:rPr>
        <w:footnoteReference w:id="9"/>
      </w:r>
      <w:r w:rsidRPr="000E3834">
        <w:rPr>
          <w:szCs w:val="22"/>
        </w:rPr>
        <w:t xml:space="preserve">) and further clarify </w:t>
      </w:r>
      <w:r w:rsidRPr="00500E9D">
        <w:rPr>
          <w:szCs w:val="22"/>
        </w:rPr>
        <w:t>the report framework, resource implications and the role of SCAR and other experts (see ATCM</w:t>
      </w:r>
      <w:r>
        <w:rPr>
          <w:szCs w:val="22"/>
        </w:rPr>
        <w:t xml:space="preserve"> </w:t>
      </w:r>
      <w:r w:rsidRPr="00500E9D">
        <w:rPr>
          <w:szCs w:val="22"/>
        </w:rPr>
        <w:t>XXIII WP5</w:t>
      </w:r>
      <w:r>
        <w:rPr>
          <w:rStyle w:val="Refdenotaalpie"/>
          <w:szCs w:val="22"/>
        </w:rPr>
        <w:footnoteReference w:id="10"/>
      </w:r>
      <w:r w:rsidRPr="00500E9D">
        <w:rPr>
          <w:szCs w:val="22"/>
        </w:rPr>
        <w:t xml:space="preserve">).  The </w:t>
      </w:r>
      <w:r>
        <w:rPr>
          <w:szCs w:val="22"/>
        </w:rPr>
        <w:t>ICGs</w:t>
      </w:r>
      <w:r w:rsidRPr="00500E9D">
        <w:rPr>
          <w:szCs w:val="22"/>
        </w:rPr>
        <w:t xml:space="preserve"> largely agree</w:t>
      </w:r>
      <w:r>
        <w:rPr>
          <w:szCs w:val="22"/>
        </w:rPr>
        <w:t>d</w:t>
      </w:r>
      <w:r w:rsidRPr="00500E9D">
        <w:rPr>
          <w:szCs w:val="22"/>
        </w:rPr>
        <w:t xml:space="preserve"> that the audience should be environmental manager</w:t>
      </w:r>
      <w:r>
        <w:rPr>
          <w:szCs w:val="22"/>
        </w:rPr>
        <w:t>s</w:t>
      </w:r>
      <w:r w:rsidRPr="00500E9D">
        <w:rPr>
          <w:szCs w:val="22"/>
        </w:rPr>
        <w:t xml:space="preserve">, </w:t>
      </w:r>
      <w:r>
        <w:rPr>
          <w:szCs w:val="22"/>
        </w:rPr>
        <w:t xml:space="preserve">and </w:t>
      </w:r>
      <w:r w:rsidRPr="00500E9D">
        <w:rPr>
          <w:szCs w:val="22"/>
        </w:rPr>
        <w:t>decision- and policy-makers, including governments and the CEP (ATCM</w:t>
      </w:r>
      <w:r>
        <w:rPr>
          <w:szCs w:val="22"/>
        </w:rPr>
        <w:t xml:space="preserve"> </w:t>
      </w:r>
      <w:r w:rsidRPr="00500E9D">
        <w:rPr>
          <w:szCs w:val="22"/>
        </w:rPr>
        <w:t xml:space="preserve">XXIII WP5). </w:t>
      </w:r>
      <w:r>
        <w:rPr>
          <w:szCs w:val="22"/>
        </w:rPr>
        <w:t xml:space="preserve"> </w:t>
      </w:r>
      <w:r w:rsidRPr="00500E9D">
        <w:rPr>
          <w:szCs w:val="22"/>
        </w:rPr>
        <w:t xml:space="preserve">A possible </w:t>
      </w:r>
      <w:r>
        <w:rPr>
          <w:szCs w:val="22"/>
        </w:rPr>
        <w:t xml:space="preserve">focal </w:t>
      </w:r>
      <w:r w:rsidRPr="00500E9D">
        <w:rPr>
          <w:szCs w:val="22"/>
        </w:rPr>
        <w:t xml:space="preserve">area for SAER </w:t>
      </w:r>
      <w:r>
        <w:rPr>
          <w:szCs w:val="22"/>
        </w:rPr>
        <w:t>was considered to be</w:t>
      </w:r>
      <w:r w:rsidRPr="00500E9D">
        <w:rPr>
          <w:szCs w:val="22"/>
        </w:rPr>
        <w:t xml:space="preserve"> the area south of the Antarctic Convergence (ATCM</w:t>
      </w:r>
      <w:r>
        <w:rPr>
          <w:szCs w:val="22"/>
        </w:rPr>
        <w:t xml:space="preserve"> </w:t>
      </w:r>
      <w:r w:rsidRPr="00500E9D">
        <w:rPr>
          <w:szCs w:val="22"/>
        </w:rPr>
        <w:t xml:space="preserve">XXI WP19). </w:t>
      </w:r>
      <w:r>
        <w:rPr>
          <w:szCs w:val="22"/>
        </w:rPr>
        <w:t xml:space="preserve"> </w:t>
      </w:r>
      <w:r w:rsidRPr="00500E9D">
        <w:rPr>
          <w:szCs w:val="22"/>
        </w:rPr>
        <w:t xml:space="preserve">This is an environmental boundary that includes all of the Antarctic Treaty area, and most of the areas subject to </w:t>
      </w:r>
      <w:r>
        <w:rPr>
          <w:szCs w:val="22"/>
        </w:rPr>
        <w:t xml:space="preserve">the </w:t>
      </w:r>
      <w:r w:rsidRPr="00500E9D">
        <w:rPr>
          <w:szCs w:val="22"/>
        </w:rPr>
        <w:t xml:space="preserve">CAMLR </w:t>
      </w:r>
      <w:r>
        <w:rPr>
          <w:szCs w:val="22"/>
        </w:rPr>
        <w:t>Convention.</w:t>
      </w:r>
      <w:r w:rsidRPr="00500E9D">
        <w:rPr>
          <w:szCs w:val="22"/>
        </w:rPr>
        <w:t xml:space="preserve"> </w:t>
      </w:r>
      <w:r>
        <w:rPr>
          <w:szCs w:val="22"/>
        </w:rPr>
        <w:t xml:space="preserve"> The contact groups suggested that </w:t>
      </w:r>
      <w:r w:rsidRPr="00500E9D">
        <w:rPr>
          <w:rStyle w:val="markedcontent"/>
          <w:szCs w:val="22"/>
        </w:rPr>
        <w:t xml:space="preserve">SAER </w:t>
      </w:r>
      <w:r>
        <w:rPr>
          <w:rStyle w:val="markedcontent"/>
          <w:szCs w:val="22"/>
        </w:rPr>
        <w:t>c</w:t>
      </w:r>
      <w:r w:rsidRPr="00500E9D">
        <w:rPr>
          <w:rStyle w:val="markedcontent"/>
          <w:szCs w:val="22"/>
        </w:rPr>
        <w:t>ould be based</w:t>
      </w:r>
      <w:r>
        <w:rPr>
          <w:rStyle w:val="markedcontent"/>
          <w:szCs w:val="22"/>
        </w:rPr>
        <w:t xml:space="preserve"> </w:t>
      </w:r>
      <w:r w:rsidRPr="00500E9D">
        <w:rPr>
          <w:rStyle w:val="markedcontent"/>
          <w:szCs w:val="22"/>
        </w:rPr>
        <w:t>on existing research results</w:t>
      </w:r>
      <w:r>
        <w:rPr>
          <w:rStyle w:val="markedcontent"/>
          <w:szCs w:val="22"/>
        </w:rPr>
        <w:t xml:space="preserve"> and the</w:t>
      </w:r>
      <w:r w:rsidRPr="00500E9D">
        <w:rPr>
          <w:rStyle w:val="markedcontent"/>
          <w:szCs w:val="22"/>
        </w:rPr>
        <w:t xml:space="preserve"> synthes</w:t>
      </w:r>
      <w:r>
        <w:rPr>
          <w:rStyle w:val="markedcontent"/>
          <w:szCs w:val="22"/>
        </w:rPr>
        <w:t xml:space="preserve">is of </w:t>
      </w:r>
      <w:r w:rsidRPr="00500E9D">
        <w:rPr>
          <w:rStyle w:val="markedcontent"/>
          <w:szCs w:val="22"/>
        </w:rPr>
        <w:t>existing knowledge</w:t>
      </w:r>
      <w:r>
        <w:rPr>
          <w:rStyle w:val="markedcontent"/>
          <w:szCs w:val="22"/>
        </w:rPr>
        <w:t xml:space="preserve"> (ATCM XXI WP19)</w:t>
      </w:r>
      <w:r w:rsidRPr="00500E9D">
        <w:rPr>
          <w:rStyle w:val="markedcontent"/>
          <w:szCs w:val="22"/>
        </w:rPr>
        <w:t>.</w:t>
      </w:r>
    </w:p>
    <w:p w14:paraId="1EF59CBE" w14:textId="77777777" w:rsidR="006432E8" w:rsidRPr="00A14AD9" w:rsidRDefault="006432E8" w:rsidP="006432E8">
      <w:pPr>
        <w:pStyle w:val="ATSNormal"/>
      </w:pPr>
      <w:r w:rsidRPr="000E3834">
        <w:rPr>
          <w:lang w:val="en-NZ"/>
        </w:rPr>
        <w:t>In ATCM</w:t>
      </w:r>
      <w:r>
        <w:rPr>
          <w:lang w:val="en-NZ"/>
        </w:rPr>
        <w:t xml:space="preserve"> </w:t>
      </w:r>
      <w:r w:rsidRPr="000E3834">
        <w:rPr>
          <w:lang w:val="en-NZ"/>
        </w:rPr>
        <w:t>XXVI WP21, t</w:t>
      </w:r>
      <w:r w:rsidRPr="000E3834">
        <w:t>he intersessional discussion</w:t>
      </w:r>
      <w:r w:rsidRPr="00A14AD9">
        <w:t xml:space="preserve"> group recognised that indicators of change could be considered under two categorie</w:t>
      </w:r>
      <w:r>
        <w:t>s</w:t>
      </w:r>
      <w:r w:rsidRPr="00A14AD9">
        <w:t>:</w:t>
      </w:r>
    </w:p>
    <w:p w14:paraId="4F8AF0DA" w14:textId="77777777" w:rsidR="006432E8" w:rsidRPr="00A14AD9" w:rsidRDefault="006432E8" w:rsidP="006432E8">
      <w:pPr>
        <w:pStyle w:val="ATSNormal"/>
        <w:ind w:left="708"/>
      </w:pPr>
      <w:r w:rsidRPr="00A14AD9">
        <w:rPr>
          <w:u w:val="single"/>
        </w:rPr>
        <w:t>Pressure indicators</w:t>
      </w:r>
      <w:r w:rsidRPr="0097564C">
        <w:t>:</w:t>
      </w:r>
      <w:r w:rsidRPr="00A14AD9">
        <w:t xml:space="preserve"> (i.e., measurements of activity levels or outputs which may affect environmental condition) relate to many of the requirements under the Protocol (e.g., waste management), and may have immediate management implications for Treaty Parties</w:t>
      </w:r>
      <w:r>
        <w:t>.</w:t>
      </w:r>
    </w:p>
    <w:p w14:paraId="2046AE25" w14:textId="77777777" w:rsidR="006432E8" w:rsidRDefault="006432E8" w:rsidP="006432E8">
      <w:pPr>
        <w:pStyle w:val="ATSNormal"/>
        <w:ind w:left="708"/>
      </w:pPr>
      <w:r w:rsidRPr="00A14AD9">
        <w:rPr>
          <w:u w:val="single"/>
        </w:rPr>
        <w:t>Condition indicators</w:t>
      </w:r>
      <w:r w:rsidRPr="0097564C">
        <w:t>:</w:t>
      </w:r>
      <w:r w:rsidRPr="00A14AD9">
        <w:t xml:space="preserve"> (i.e., measurements of the physical or biotic environment, such as air temperatures or sea ice extent) reflect significant aspects of the Antarctic environment but may have less</w:t>
      </w:r>
      <w:r>
        <w:t>-</w:t>
      </w:r>
      <w:r w:rsidRPr="00A14AD9">
        <w:t>immediate management implications.</w:t>
      </w:r>
    </w:p>
    <w:p w14:paraId="529377D7" w14:textId="77777777" w:rsidR="006432E8" w:rsidRDefault="006432E8" w:rsidP="006432E8">
      <w:pPr>
        <w:pStyle w:val="ATSNormal"/>
      </w:pPr>
      <w:r>
        <w:t xml:space="preserve">The discussion group </w:t>
      </w:r>
      <w:r w:rsidRPr="00A14AD9">
        <w:t>recommended that a set of 10-15 pilot indicators should be developed as the first in a step in developing a SAER system.  It was also considered that a system with devolved responsibilities (i.e.</w:t>
      </w:r>
      <w:r>
        <w:t>,</w:t>
      </w:r>
      <w:r w:rsidRPr="00A14AD9">
        <w:t xml:space="preserve"> where experts in each indicator, rather than the CEP, handle data and generate regular report information) would be of great advantage.</w:t>
      </w:r>
    </w:p>
    <w:p w14:paraId="7E6947FF" w14:textId="77777777" w:rsidR="006432E8" w:rsidRDefault="006432E8" w:rsidP="006432E8">
      <w:pPr>
        <w:pStyle w:val="ATSNormal"/>
      </w:pPr>
      <w:r>
        <w:lastRenderedPageBreak/>
        <w:t>I</w:t>
      </w:r>
      <w:r w:rsidRPr="00A14AD9">
        <w:t>ntersessional</w:t>
      </w:r>
      <w:r>
        <w:t>-</w:t>
      </w:r>
      <w:r w:rsidRPr="00A14AD9">
        <w:t>discussion</w:t>
      </w:r>
      <w:r>
        <w:t xml:space="preserve"> participants</w:t>
      </w:r>
      <w:r w:rsidRPr="00A14AD9">
        <w:t xml:space="preserve"> advocated the establishment of a web-based SAER system that is relevant to and easily accessible by all national Antarctic programmes and Parties to the Protocol (ATCM</w:t>
      </w:r>
      <w:r>
        <w:t xml:space="preserve"> </w:t>
      </w:r>
      <w:r w:rsidRPr="00A14AD9">
        <w:t>XXV IP54</w:t>
      </w:r>
      <w:r>
        <w:rPr>
          <w:rStyle w:val="Refdenotaalpie"/>
        </w:rPr>
        <w:footnoteReference w:id="11"/>
      </w:r>
      <w:r w:rsidRPr="00A14AD9">
        <w:t>; ATCM</w:t>
      </w:r>
      <w:r>
        <w:t xml:space="preserve"> </w:t>
      </w:r>
      <w:r w:rsidRPr="00A14AD9">
        <w:t xml:space="preserve">XXVI WP21).  Consequently, </w:t>
      </w:r>
      <w:r w:rsidRPr="00A14AD9">
        <w:rPr>
          <w:lang w:val="en-NZ"/>
        </w:rPr>
        <w:t xml:space="preserve">a SAER pilot system was developed using temperature as an </w:t>
      </w:r>
      <w:r>
        <w:rPr>
          <w:lang w:val="en-NZ"/>
        </w:rPr>
        <w:t xml:space="preserve">initial </w:t>
      </w:r>
      <w:r w:rsidRPr="00A14AD9">
        <w:rPr>
          <w:lang w:val="en-NZ"/>
        </w:rPr>
        <w:t>example indicator (</w:t>
      </w:r>
      <w:r w:rsidRPr="00A14AD9">
        <w:t>ATCM</w:t>
      </w:r>
      <w:r>
        <w:t xml:space="preserve"> </w:t>
      </w:r>
      <w:r w:rsidRPr="00A14AD9">
        <w:t>XXVII WP20</w:t>
      </w:r>
      <w:r>
        <w:rPr>
          <w:rStyle w:val="Refdenotaalpie"/>
        </w:rPr>
        <w:footnoteReference w:id="12"/>
      </w:r>
      <w:r w:rsidRPr="00A14AD9">
        <w:t>, Annex 3</w:t>
      </w:r>
      <w:r w:rsidRPr="00A14AD9">
        <w:rPr>
          <w:lang w:val="en-NZ"/>
        </w:rPr>
        <w:t xml:space="preserve">).  </w:t>
      </w:r>
      <w:r w:rsidRPr="00A14AD9">
        <w:t xml:space="preserve">The intersessional discussion group considered the use of reporting templates </w:t>
      </w:r>
      <w:r w:rsidRPr="00A14AD9">
        <w:rPr>
          <w:lang w:val="en-NZ"/>
        </w:rPr>
        <w:t>(ATCM XXVIII WP10</w:t>
      </w:r>
      <w:r>
        <w:rPr>
          <w:rStyle w:val="Refdenotaalpie"/>
          <w:lang w:val="en-NZ"/>
        </w:rPr>
        <w:footnoteReference w:id="13"/>
      </w:r>
      <w:r w:rsidRPr="00A14AD9">
        <w:rPr>
          <w:lang w:val="en-NZ"/>
        </w:rPr>
        <w:t>, Annex 4)</w:t>
      </w:r>
      <w:r w:rsidRPr="00A14AD9">
        <w:t xml:space="preserve">, as well </w:t>
      </w:r>
      <w:r w:rsidRPr="00A14AD9">
        <w:rPr>
          <w:lang w:val="en-NZ"/>
        </w:rPr>
        <w:t xml:space="preserve">as the use of a summary page where the state of the Antarctic environment might be gauged “at a glance”. </w:t>
      </w:r>
    </w:p>
    <w:p w14:paraId="27FBFA20" w14:textId="77777777" w:rsidR="006432E8" w:rsidRPr="00B0572F" w:rsidRDefault="006432E8" w:rsidP="006432E8">
      <w:pPr>
        <w:pStyle w:val="ATSNormal"/>
      </w:pPr>
      <w:r w:rsidRPr="00084757">
        <w:t>In ATCM</w:t>
      </w:r>
      <w:r>
        <w:t xml:space="preserve"> </w:t>
      </w:r>
      <w:r w:rsidRPr="00084757">
        <w:t>XXXI WP24</w:t>
      </w:r>
      <w:r>
        <w:rPr>
          <w:rStyle w:val="Refdenotaalpie"/>
        </w:rPr>
        <w:footnoteReference w:id="14"/>
      </w:r>
      <w:r w:rsidRPr="00084757">
        <w:t>, New Zealand suggested that some key, achievable improvements to the way that the CEP works would allow the CEP to have a more systematic approach to fulfilling its functions to provide advice on the state of the Antarctic environment to the ATCM.</w:t>
      </w:r>
      <w:r>
        <w:t xml:space="preserve">  These improvements included regularly reviewing priority work, improving working relationships between CEP participants, and implementing new ways of working, such as utilising web-based approaches.</w:t>
      </w:r>
    </w:p>
    <w:p w14:paraId="08B7541A" w14:textId="77777777" w:rsidR="006432E8" w:rsidRPr="00F3366D" w:rsidRDefault="006432E8" w:rsidP="006432E8">
      <w:pPr>
        <w:pStyle w:val="ATSHeading2"/>
      </w:pPr>
      <w:r w:rsidRPr="00F3366D">
        <w:t>Recent developments</w:t>
      </w:r>
    </w:p>
    <w:p w14:paraId="7C221EF1" w14:textId="77777777" w:rsidR="006432E8" w:rsidRDefault="006432E8" w:rsidP="006432E8">
      <w:pPr>
        <w:pStyle w:val="ATSNormal"/>
      </w:pPr>
      <w:r w:rsidRPr="00C37C13">
        <w:t xml:space="preserve">For many decades, </w:t>
      </w:r>
      <w:r w:rsidRPr="00071AC6">
        <w:t xml:space="preserve">SCAR has provided Antarctic policymakers with information relevant to SAER, but </w:t>
      </w:r>
      <w:r>
        <w:t>generally</w:t>
      </w:r>
      <w:r w:rsidRPr="00071AC6">
        <w:t xml:space="preserve"> </w:t>
      </w:r>
      <w:r>
        <w:t xml:space="preserve">on an </w:t>
      </w:r>
      <w:r w:rsidRPr="00B54566">
        <w:rPr>
          <w:i/>
          <w:iCs/>
        </w:rPr>
        <w:t>ad</w:t>
      </w:r>
      <w:r>
        <w:rPr>
          <w:i/>
          <w:iCs/>
        </w:rPr>
        <w:t>-</w:t>
      </w:r>
      <w:r w:rsidRPr="00B54566">
        <w:rPr>
          <w:i/>
          <w:iCs/>
        </w:rPr>
        <w:t>hoc</w:t>
      </w:r>
      <w:r>
        <w:t xml:space="preserve"> basis (e.g., ATCM XLIV WP30rev.1</w:t>
      </w:r>
      <w:r>
        <w:rPr>
          <w:rStyle w:val="Refdenotaalpie"/>
        </w:rPr>
        <w:footnoteReference w:id="15"/>
      </w:r>
      <w:r>
        <w:t>; ATCM XLII WP68</w:t>
      </w:r>
      <w:r>
        <w:rPr>
          <w:rStyle w:val="Refdenotaalpie"/>
        </w:rPr>
        <w:footnoteReference w:id="16"/>
      </w:r>
      <w:r>
        <w:t>; ATCM XXIX WP37</w:t>
      </w:r>
      <w:r>
        <w:rPr>
          <w:rStyle w:val="Refdenotaalpie"/>
        </w:rPr>
        <w:footnoteReference w:id="17"/>
      </w:r>
      <w:r>
        <w:t>)</w:t>
      </w:r>
      <w:r w:rsidRPr="00071AC6">
        <w:t xml:space="preserve">.  </w:t>
      </w:r>
      <w:r>
        <w:t>Today,</w:t>
      </w:r>
      <w:r w:rsidRPr="00071AC6">
        <w:t xml:space="preserve"> SCAR provide</w:t>
      </w:r>
      <w:r>
        <w:t>s</w:t>
      </w:r>
      <w:r w:rsidRPr="00071AC6">
        <w:t xml:space="preserve"> </w:t>
      </w:r>
      <w:r w:rsidRPr="00387DBC">
        <w:t>independent, relevant and up-to-date scientific information on Antarctic environments and human activities in the region through</w:t>
      </w:r>
      <w:r>
        <w:t xml:space="preserve"> Information Summaries posted on</w:t>
      </w:r>
      <w:r w:rsidRPr="00387DBC">
        <w:t xml:space="preserve"> the SCAR Antarctic Environments Portal.  </w:t>
      </w:r>
      <w:r>
        <w:t>However, there may be an opportunity to provide policymakers, and other stakeholders including COMNAP, with further and potentially more-detailed and area-specific information, with scope to report on environmental change and trends in Antarctica.  With this in mind, t</w:t>
      </w:r>
      <w:r w:rsidRPr="003E6D6F">
        <w:t>he SCAR Scientific Research Programme (SRP) ‘</w:t>
      </w:r>
      <w:r w:rsidRPr="003E6D6F">
        <w:rPr>
          <w:i/>
          <w:iCs/>
        </w:rPr>
        <w:t>Integrated science to inform Antarctic and Southern Ocean Conservation</w:t>
      </w:r>
      <w:r w:rsidRPr="003E6D6F">
        <w:t xml:space="preserve">’ (Ant-ICON) has proposed a community-led initiative to provide information relevant to </w:t>
      </w:r>
      <w:r>
        <w:t xml:space="preserve">elements of </w:t>
      </w:r>
      <w:r w:rsidRPr="003E6D6F">
        <w:t>S</w:t>
      </w:r>
      <w:r>
        <w:t>AER</w:t>
      </w:r>
      <w:r w:rsidRPr="003E6D6F">
        <w:t xml:space="preserve">, in order to support the work of </w:t>
      </w:r>
      <w:r>
        <w:t>Antarctic policymakers</w:t>
      </w:r>
      <w:r w:rsidRPr="003E6D6F">
        <w:t xml:space="preserve">.  </w:t>
      </w:r>
    </w:p>
    <w:p w14:paraId="4409F7EA" w14:textId="77777777" w:rsidR="006432E8" w:rsidRDefault="006432E8" w:rsidP="006432E8">
      <w:pPr>
        <w:pStyle w:val="ATSNormal"/>
      </w:pPr>
      <w:r w:rsidRPr="003E6D6F">
        <w:t xml:space="preserve">The project </w:t>
      </w:r>
      <w:r>
        <w:t>proposes the</w:t>
      </w:r>
      <w:r w:rsidRPr="003E6D6F">
        <w:t xml:space="preserve"> develop</w:t>
      </w:r>
      <w:r>
        <w:t>ment</w:t>
      </w:r>
      <w:r w:rsidRPr="003E6D6F">
        <w:t xml:space="preserve"> </w:t>
      </w:r>
      <w:r>
        <w:t xml:space="preserve">of </w:t>
      </w:r>
      <w:r w:rsidRPr="003E6D6F">
        <w:t xml:space="preserve">a framework </w:t>
      </w:r>
      <w:r>
        <w:t xml:space="preserve">and platform </w:t>
      </w:r>
      <w:r w:rsidRPr="003E6D6F">
        <w:t>for provision of best</w:t>
      </w:r>
      <w:r>
        <w:t>-</w:t>
      </w:r>
      <w:r w:rsidRPr="003E6D6F">
        <w:t xml:space="preserve">available science </w:t>
      </w:r>
      <w:r>
        <w:t xml:space="preserve">on selected topics </w:t>
      </w:r>
      <w:r w:rsidRPr="003E6D6F">
        <w:t xml:space="preserve">to inform policymakers’ </w:t>
      </w:r>
      <w:r>
        <w:t>advice</w:t>
      </w:r>
      <w:r w:rsidRPr="003E6D6F">
        <w:t xml:space="preserve"> on the state of the Antarctic environment</w:t>
      </w:r>
      <w:r>
        <w:t>.  The initial focus would be on ‘drivers of change’ in Antarctica (or pressure indications, as described in ATCM XXVI WP21)</w:t>
      </w:r>
      <w:r w:rsidRPr="003E6D6F">
        <w:t xml:space="preserve">.  </w:t>
      </w:r>
      <w:r w:rsidRPr="003E6D6F">
        <w:rPr>
          <w:color w:val="000000"/>
        </w:rPr>
        <w:t xml:space="preserve">To gauge community interest in </w:t>
      </w:r>
      <w:r>
        <w:rPr>
          <w:color w:val="000000"/>
        </w:rPr>
        <w:t>such a</w:t>
      </w:r>
      <w:r w:rsidRPr="003E6D6F">
        <w:rPr>
          <w:color w:val="000000"/>
        </w:rPr>
        <w:t xml:space="preserve"> project, two online</w:t>
      </w:r>
      <w:r>
        <w:rPr>
          <w:color w:val="000000"/>
        </w:rPr>
        <w:t xml:space="preserve"> community</w:t>
      </w:r>
      <w:r w:rsidRPr="003E6D6F">
        <w:rPr>
          <w:color w:val="000000"/>
        </w:rPr>
        <w:t xml:space="preserve"> workshops were held </w:t>
      </w:r>
      <w:r>
        <w:rPr>
          <w:color w:val="000000"/>
        </w:rPr>
        <w:t>on 25th and 26th</w:t>
      </w:r>
      <w:r w:rsidRPr="003E6D6F">
        <w:rPr>
          <w:color w:val="000000"/>
        </w:rPr>
        <w:t xml:space="preserve"> October 2022.  </w:t>
      </w:r>
      <w:r w:rsidRPr="00BC4295">
        <w:t>In large part</w:t>
      </w:r>
      <w:r>
        <w:t>,</w:t>
      </w:r>
      <w:r w:rsidRPr="00BC4295">
        <w:t xml:space="preserve"> the view</w:t>
      </w:r>
      <w:r>
        <w:t>s</w:t>
      </w:r>
      <w:r w:rsidRPr="00BC4295">
        <w:t xml:space="preserve"> of </w:t>
      </w:r>
      <w:r>
        <w:t xml:space="preserve">many of the </w:t>
      </w:r>
      <w:r w:rsidRPr="00BC4295">
        <w:t xml:space="preserve">workshop participants </w:t>
      </w:r>
      <w:r>
        <w:t>were</w:t>
      </w:r>
      <w:r w:rsidRPr="00BC4295">
        <w:t xml:space="preserve"> similar to those expressed </w:t>
      </w:r>
      <w:r>
        <w:t>during intersessional discussion</w:t>
      </w:r>
      <w:r w:rsidRPr="00BC4295">
        <w:t xml:space="preserve"> on SAER in the </w:t>
      </w:r>
      <w:r>
        <w:t xml:space="preserve">early to </w:t>
      </w:r>
      <w:r w:rsidRPr="00BC4295">
        <w:t>mid-2000s</w:t>
      </w:r>
      <w:r>
        <w:t xml:space="preserve"> (see the Workshop Report in </w:t>
      </w:r>
      <w:r w:rsidRPr="00106751">
        <w:rPr>
          <w:u w:val="single"/>
        </w:rPr>
        <w:t xml:space="preserve">Attachment </w:t>
      </w:r>
      <w:r>
        <w:rPr>
          <w:u w:val="single"/>
        </w:rPr>
        <w:t>A</w:t>
      </w:r>
      <w:r>
        <w:t xml:space="preserve"> to this Working Paper)</w:t>
      </w:r>
      <w:r w:rsidRPr="00BC4295">
        <w:t>.</w:t>
      </w:r>
    </w:p>
    <w:p w14:paraId="4D78A94B" w14:textId="77777777" w:rsidR="006432E8" w:rsidRPr="003E6D6F" w:rsidRDefault="006432E8" w:rsidP="006432E8">
      <w:pPr>
        <w:pStyle w:val="ATSNormal"/>
        <w:rPr>
          <w:color w:val="000000"/>
        </w:rPr>
      </w:pPr>
      <w:r>
        <w:rPr>
          <w:color w:val="000000"/>
        </w:rPr>
        <w:t>Main p</w:t>
      </w:r>
      <w:r w:rsidRPr="003E6D6F">
        <w:rPr>
          <w:color w:val="000000"/>
        </w:rPr>
        <w:t>oints discussed at the workshops include</w:t>
      </w:r>
      <w:r>
        <w:rPr>
          <w:color w:val="000000"/>
        </w:rPr>
        <w:t>d</w:t>
      </w:r>
      <w:r w:rsidRPr="003E6D6F">
        <w:rPr>
          <w:color w:val="000000"/>
        </w:rPr>
        <w:t>:</w:t>
      </w:r>
    </w:p>
    <w:p w14:paraId="2903818E" w14:textId="77777777" w:rsidR="006432E8" w:rsidRPr="00C73E3C" w:rsidRDefault="006432E8" w:rsidP="006432E8">
      <w:pPr>
        <w:pStyle w:val="ATSBullet1"/>
        <w:numPr>
          <w:ilvl w:val="0"/>
          <w:numId w:val="11"/>
        </w:numPr>
      </w:pPr>
      <w:r>
        <w:t>Identifying the</w:t>
      </w:r>
      <w:r w:rsidRPr="00C73E3C">
        <w:t xml:space="preserve"> primary target audience for the reported information </w:t>
      </w:r>
      <w:r>
        <w:t>as</w:t>
      </w:r>
      <w:r w:rsidRPr="00C73E3C">
        <w:t xml:space="preserve"> (i) the decision-makers participating in the policy organisation of the Antarctic Treaty </w:t>
      </w:r>
      <w:r>
        <w:t>S</w:t>
      </w:r>
      <w:r w:rsidRPr="00C73E3C">
        <w:t>ystem (i.e., the ATCM, CCAMLR and CEP), (ii) national governments, and (iii) national Antarctic programmes</w:t>
      </w:r>
      <w:r>
        <w:t xml:space="preserve"> and COMNAP</w:t>
      </w:r>
      <w:r w:rsidRPr="00C73E3C">
        <w:t xml:space="preserve">.  However, other stakeholders, operating within Antarctica and globally, may also find the information useful.  The area under consideration for reporting </w:t>
      </w:r>
      <w:r>
        <w:t>c</w:t>
      </w:r>
      <w:r w:rsidRPr="00C73E3C">
        <w:t>ould include the Antarctic Treaty area, the CAMLR Convention area and</w:t>
      </w:r>
      <w:r>
        <w:t xml:space="preserve">, as relevant, </w:t>
      </w:r>
      <w:r w:rsidRPr="00C73E3C">
        <w:t xml:space="preserve">other dependant and associated ecosystems.  </w:t>
      </w:r>
    </w:p>
    <w:p w14:paraId="068E003A" w14:textId="77777777" w:rsidR="006432E8" w:rsidRPr="000A137D" w:rsidRDefault="006432E8" w:rsidP="006432E8">
      <w:pPr>
        <w:pStyle w:val="ATSBullet1"/>
        <w:numPr>
          <w:ilvl w:val="0"/>
          <w:numId w:val="11"/>
        </w:numPr>
      </w:pPr>
      <w:r w:rsidRPr="00C73E3C">
        <w:lastRenderedPageBreak/>
        <w:t xml:space="preserve">Drivers of change in the Antarctic environment that </w:t>
      </w:r>
      <w:r>
        <w:t>could</w:t>
      </w:r>
      <w:r w:rsidRPr="004A73F1">
        <w:t xml:space="preserve"> be considered under this project include: (i) human </w:t>
      </w:r>
      <w:r>
        <w:t>activities</w:t>
      </w:r>
      <w:r w:rsidRPr="004A73F1">
        <w:t xml:space="preserve"> and land use</w:t>
      </w:r>
      <w:r w:rsidRPr="000A137D">
        <w:t xml:space="preserve">; (ii) non-native species; (iii) pollutants; and </w:t>
      </w:r>
      <w:r>
        <w:t xml:space="preserve">possibly </w:t>
      </w:r>
      <w:r w:rsidRPr="000A137D">
        <w:t>(iv) extraction of resources.  Consideration of climate change and the synergistic</w:t>
      </w:r>
      <w:r>
        <w:t>/cumulative</w:t>
      </w:r>
      <w:r w:rsidRPr="000A137D">
        <w:t xml:space="preserve"> impact of multiple drivers of change will be integral to the project.  </w:t>
      </w:r>
    </w:p>
    <w:p w14:paraId="10AB6A2B" w14:textId="77777777" w:rsidR="006432E8" w:rsidRPr="000A137D" w:rsidRDefault="006432E8" w:rsidP="006432E8">
      <w:pPr>
        <w:pStyle w:val="ATSBullet1"/>
        <w:numPr>
          <w:ilvl w:val="0"/>
          <w:numId w:val="11"/>
        </w:numPr>
      </w:pPr>
      <w:r w:rsidRPr="000A137D">
        <w:t xml:space="preserve">The various drivers of change do not influence all parts of Antarctica equally, resulting in the need for information provision at different spatial scales (i.e., local, regional, and/or continental).  As far as possible, information should be provided at a spatial scale appropriate to the needs of policymakers. </w:t>
      </w:r>
    </w:p>
    <w:p w14:paraId="1B14B6D6" w14:textId="77777777" w:rsidR="006432E8" w:rsidRPr="000A137D" w:rsidRDefault="006432E8" w:rsidP="006432E8">
      <w:pPr>
        <w:pStyle w:val="ATSBullet1"/>
        <w:numPr>
          <w:ilvl w:val="0"/>
          <w:numId w:val="11"/>
        </w:numPr>
      </w:pPr>
      <w:r w:rsidRPr="000A137D">
        <w:t xml:space="preserve">An online and updatable reporting format may be most appropriate.  An interactive online map or Geographic Information System (GIS) may facilitate effective </w:t>
      </w:r>
      <w:r w:rsidRPr="000A137D">
        <w:rPr>
          <w:bdr w:val="none" w:sz="0" w:space="0" w:color="auto" w:frame="1"/>
        </w:rPr>
        <w:t xml:space="preserve">representation of information at different spatial scales. </w:t>
      </w:r>
      <w:r w:rsidRPr="000A137D">
        <w:t xml:space="preserve"> </w:t>
      </w:r>
    </w:p>
    <w:p w14:paraId="04B6E099" w14:textId="77777777" w:rsidR="006432E8" w:rsidRPr="000A137D" w:rsidRDefault="006432E8" w:rsidP="006432E8">
      <w:pPr>
        <w:pStyle w:val="ATSBullet1"/>
        <w:numPr>
          <w:ilvl w:val="0"/>
          <w:numId w:val="11"/>
        </w:numPr>
      </w:pPr>
      <w:r w:rsidRPr="000A137D">
        <w:t xml:space="preserve">The reporting outputs should be presented in an </w:t>
      </w:r>
      <w:r>
        <w:t>independent and objective</w:t>
      </w:r>
      <w:r w:rsidRPr="000A137D">
        <w:t xml:space="preserve">, policy-ready format with </w:t>
      </w:r>
      <w:r>
        <w:t xml:space="preserve">source </w:t>
      </w:r>
      <w:r w:rsidRPr="000A137D">
        <w:t xml:space="preserve">information subject to peer-review, to the maximum extent practicable. </w:t>
      </w:r>
      <w:r>
        <w:t xml:space="preserve"> </w:t>
      </w:r>
      <w:r w:rsidRPr="000A137D">
        <w:t>The SCAR Antarctic Environments Portal (</w:t>
      </w:r>
      <w:hyperlink r:id="rId11" w:history="1">
        <w:r w:rsidRPr="00570028">
          <w:rPr>
            <w:rStyle w:val="Hipervnculo"/>
          </w:rPr>
          <w:t>https://environments.aq/</w:t>
        </w:r>
      </w:hyperlink>
      <w:r w:rsidRPr="000A137D">
        <w:t xml:space="preserve">) provides an existing platform for delivery of policy-relevant information to decision-makers and could prove an effective and updatable mechanism for delivery of information.  </w:t>
      </w:r>
    </w:p>
    <w:p w14:paraId="76D3118A" w14:textId="77777777" w:rsidR="006432E8" w:rsidRPr="00730B7F" w:rsidRDefault="006432E8" w:rsidP="006432E8">
      <w:pPr>
        <w:pStyle w:val="ATSNormal"/>
      </w:pPr>
      <w:r w:rsidRPr="003E6D6F">
        <w:t xml:space="preserve">Several challenges and risks have been identified that will each need to be managed in order to deliver a successful outcome.  Advice from several workshop participants </w:t>
      </w:r>
      <w:r>
        <w:t xml:space="preserve">with experience of large collaborative projects </w:t>
      </w:r>
      <w:r w:rsidRPr="003E6D6F">
        <w:t xml:space="preserve">was to </w:t>
      </w:r>
      <w:r>
        <w:t>‘</w:t>
      </w:r>
      <w:r w:rsidRPr="003E6D6F">
        <w:t>start small and build up slowly</w:t>
      </w:r>
      <w:r>
        <w:t>’</w:t>
      </w:r>
      <w:r w:rsidRPr="003E6D6F">
        <w:t xml:space="preserve">.  To maximise the chances for success, </w:t>
      </w:r>
      <w:r>
        <w:t>it was agreed by workshop participants that</w:t>
      </w:r>
      <w:r w:rsidRPr="003E6D6F">
        <w:t xml:space="preserve"> feedback from stakeholders</w:t>
      </w:r>
      <w:r>
        <w:t>,</w:t>
      </w:r>
      <w:r w:rsidRPr="003E6D6F">
        <w:t xml:space="preserve"> including ATS policymakers</w:t>
      </w:r>
      <w:r>
        <w:t xml:space="preserve">, should be taken into consideration. </w:t>
      </w:r>
    </w:p>
    <w:p w14:paraId="1A54D1AC" w14:textId="77777777" w:rsidR="006432E8" w:rsidRPr="00E53759" w:rsidRDefault="006432E8" w:rsidP="006432E8">
      <w:pPr>
        <w:pStyle w:val="ATSHeading2"/>
      </w:pPr>
      <w:r w:rsidRPr="00E53759">
        <w:t>Recommendation</w:t>
      </w:r>
      <w:r>
        <w:t>s</w:t>
      </w:r>
    </w:p>
    <w:p w14:paraId="42FC74BF" w14:textId="77777777" w:rsidR="006432E8" w:rsidRDefault="006432E8" w:rsidP="006432E8">
      <w:pPr>
        <w:pStyle w:val="ATSNormal"/>
      </w:pPr>
      <w:r>
        <w:t>SCAR recommends that the Committee:</w:t>
      </w:r>
    </w:p>
    <w:p w14:paraId="6A17A53E" w14:textId="77777777" w:rsidR="006432E8" w:rsidRPr="00571332" w:rsidRDefault="006432E8" w:rsidP="006432E8">
      <w:pPr>
        <w:pStyle w:val="ATSBullet1"/>
        <w:numPr>
          <w:ilvl w:val="0"/>
          <w:numId w:val="11"/>
        </w:numPr>
      </w:pPr>
      <w:r w:rsidRPr="00571332">
        <w:t xml:space="preserve">Notes the recent </w:t>
      </w:r>
      <w:r>
        <w:t xml:space="preserve">SCAR workshops held </w:t>
      </w:r>
      <w:r w:rsidRPr="00571332">
        <w:t xml:space="preserve">to consider how best </w:t>
      </w:r>
      <w:r>
        <w:t>the scientific community</w:t>
      </w:r>
      <w:r w:rsidRPr="00571332">
        <w:t xml:space="preserve"> might contribute to </w:t>
      </w:r>
      <w:r>
        <w:t xml:space="preserve">SAER (see the Workshop Report at </w:t>
      </w:r>
      <w:r w:rsidRPr="00106751">
        <w:rPr>
          <w:u w:val="single"/>
        </w:rPr>
        <w:t xml:space="preserve">Attachment </w:t>
      </w:r>
      <w:r>
        <w:rPr>
          <w:u w:val="single"/>
        </w:rPr>
        <w:t>A</w:t>
      </w:r>
      <w:r>
        <w:t xml:space="preserve"> to this Working Paper).</w:t>
      </w:r>
    </w:p>
    <w:p w14:paraId="282B1DE8" w14:textId="77777777" w:rsidR="006432E8" w:rsidRPr="00571332" w:rsidRDefault="006432E8" w:rsidP="006432E8">
      <w:pPr>
        <w:pStyle w:val="ATSBullet1"/>
        <w:numPr>
          <w:ilvl w:val="0"/>
          <w:numId w:val="11"/>
        </w:numPr>
      </w:pPr>
      <w:r w:rsidRPr="00571332">
        <w:t>Consider</w:t>
      </w:r>
      <w:r>
        <w:t>s</w:t>
      </w:r>
      <w:r w:rsidRPr="00571332">
        <w:t xml:space="preserve"> the proposal by SCAR to develop a mechanism for the provision of information relevant to S</w:t>
      </w:r>
      <w:r>
        <w:t>AER</w:t>
      </w:r>
      <w:r w:rsidRPr="00571332">
        <w:t xml:space="preserve">; and </w:t>
      </w:r>
    </w:p>
    <w:p w14:paraId="192713B7" w14:textId="77777777" w:rsidR="006432E8" w:rsidRPr="00D6345C" w:rsidRDefault="006432E8" w:rsidP="006432E8">
      <w:pPr>
        <w:pStyle w:val="ATSBullet1"/>
        <w:numPr>
          <w:ilvl w:val="0"/>
          <w:numId w:val="11"/>
        </w:numPr>
      </w:pPr>
      <w:bookmarkStart w:id="8" w:name="_Hlk127455554"/>
      <w:r w:rsidRPr="00853F44">
        <w:t xml:space="preserve">Requests the views of CEP Members </w:t>
      </w:r>
      <w:r>
        <w:t>regarding (i)</w:t>
      </w:r>
      <w:r w:rsidRPr="00853F44">
        <w:t xml:space="preserve"> the usefulness of this proposal and</w:t>
      </w:r>
      <w:r>
        <w:t xml:space="preserve"> (ii) if considered beneficial, what information would be most useful for </w:t>
      </w:r>
      <w:r w:rsidRPr="00853F44">
        <w:t>support</w:t>
      </w:r>
      <w:r>
        <w:t>ing</w:t>
      </w:r>
      <w:r w:rsidRPr="00853F44">
        <w:t xml:space="preserve"> the Committee in their provision of advice to the ATCM on the state of the Antarctic environment.</w:t>
      </w:r>
    </w:p>
    <w:bookmarkEnd w:id="8"/>
    <w:p w14:paraId="146D879D" w14:textId="77777777" w:rsidR="006432E8" w:rsidRDefault="006432E8" w:rsidP="00952E9F"/>
    <w:sectPr w:rsidR="006432E8"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8D1F0" w14:textId="77777777" w:rsidR="00000000" w:rsidRDefault="006432E8">
      <w:r>
        <w:separator/>
      </w:r>
    </w:p>
  </w:endnote>
  <w:endnote w:type="continuationSeparator" w:id="0">
    <w:p w14:paraId="57041D3B" w14:textId="77777777" w:rsidR="00000000" w:rsidRDefault="00643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775B" w14:textId="77777777" w:rsidR="00FA0B9F" w:rsidRDefault="006432E8" w:rsidP="00CF5C82">
    <w:pPr>
      <w:framePr w:wrap="around" w:vAnchor="text" w:hAnchor="margin" w:xAlign="right" w:y="1"/>
    </w:pPr>
    <w:r>
      <w:fldChar w:fldCharType="begin"/>
    </w:r>
    <w:r>
      <w:instrText xml:space="preserve">PAGE  </w:instrText>
    </w:r>
    <w:r>
      <w:fldChar w:fldCharType="separate"/>
    </w:r>
    <w:r>
      <w:fldChar w:fldCharType="end"/>
    </w:r>
  </w:p>
  <w:p w14:paraId="5694BA85" w14:textId="77777777" w:rsidR="00FA0B9F" w:rsidRDefault="006432E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838A2" w14:textId="77777777" w:rsidR="00FA0B9F" w:rsidRDefault="006432E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4C17A31" w14:textId="77777777" w:rsidR="00FA0B9F" w:rsidRDefault="006432E8" w:rsidP="00FA0B9F">
    <w:pPr>
      <w:ind w:right="360"/>
    </w:pPr>
    <w:r>
      <w:t xml:space="preserve">Attachments: </w:t>
    </w:r>
  </w:p>
  <w:p w14:paraId="741E8105" w14:textId="7BC99E8C" w:rsidR="006432E8" w:rsidRDefault="006432E8" w:rsidP="006432E8">
    <w:pPr>
      <w:ind w:right="360"/>
    </w:pPr>
    <w:r>
      <w:t xml:space="preserve">Atcm45_att021_e.pdf: </w:t>
    </w:r>
    <w:r>
      <w:t>Report of the SCAR Ant-ICON Workshops on State of the Environment Reporting (SAER)</w:t>
    </w:r>
  </w:p>
  <w:p w14:paraId="4349751C" w14:textId="77777777" w:rsidR="006432E8" w:rsidRDefault="006432E8"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B159A" w14:textId="77777777" w:rsidR="00E311C9" w:rsidRDefault="006432E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E988ECA" w14:textId="77777777" w:rsidR="00E311C9" w:rsidRDefault="006432E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37814" w14:textId="77777777" w:rsidR="00000000" w:rsidRDefault="006432E8">
      <w:r>
        <w:separator/>
      </w:r>
    </w:p>
  </w:footnote>
  <w:footnote w:type="continuationSeparator" w:id="0">
    <w:p w14:paraId="24A5E218" w14:textId="77777777" w:rsidR="00000000" w:rsidRDefault="006432E8">
      <w:r>
        <w:continuationSeparator/>
      </w:r>
    </w:p>
  </w:footnote>
  <w:footnote w:id="1">
    <w:p w14:paraId="0B2C236F" w14:textId="77777777" w:rsidR="006432E8" w:rsidRPr="006E4011" w:rsidRDefault="006432E8" w:rsidP="006432E8">
      <w:pPr>
        <w:spacing w:before="60" w:after="60"/>
        <w:rPr>
          <w:sz w:val="20"/>
          <w:szCs w:val="20"/>
        </w:rPr>
      </w:pPr>
      <w:r w:rsidRPr="006E4011">
        <w:rPr>
          <w:rStyle w:val="Refdenotaalpie"/>
          <w:sz w:val="20"/>
          <w:szCs w:val="20"/>
        </w:rPr>
        <w:footnoteRef/>
      </w:r>
      <w:r w:rsidRPr="006E4011">
        <w:rPr>
          <w:sz w:val="20"/>
          <w:szCs w:val="20"/>
        </w:rPr>
        <w:t xml:space="preserve"> ATCM XXII IP46 </w:t>
      </w:r>
      <w:r w:rsidRPr="006E4011">
        <w:rPr>
          <w:i/>
          <w:iCs/>
          <w:sz w:val="20"/>
          <w:szCs w:val="20"/>
        </w:rPr>
        <w:t>Ross Sea Region State of Environment Report</w:t>
      </w:r>
    </w:p>
  </w:footnote>
  <w:footnote w:id="2">
    <w:p w14:paraId="37580588" w14:textId="77777777" w:rsidR="006432E8" w:rsidRPr="006E4011" w:rsidRDefault="006432E8" w:rsidP="006432E8">
      <w:pPr>
        <w:pStyle w:val="Textonotapie"/>
        <w:rPr>
          <w:sz w:val="20"/>
          <w:szCs w:val="20"/>
        </w:rPr>
      </w:pPr>
      <w:r w:rsidRPr="006E4011">
        <w:rPr>
          <w:rStyle w:val="Refdenotaalpie"/>
          <w:sz w:val="20"/>
          <w:szCs w:val="20"/>
        </w:rPr>
        <w:footnoteRef/>
      </w:r>
      <w:r w:rsidRPr="006E4011">
        <w:rPr>
          <w:sz w:val="20"/>
          <w:szCs w:val="20"/>
        </w:rPr>
        <w:t xml:space="preserve"> ATCM XXI WP19 </w:t>
      </w:r>
      <w:r w:rsidRPr="006E4011">
        <w:rPr>
          <w:i/>
          <w:iCs/>
          <w:sz w:val="20"/>
          <w:szCs w:val="20"/>
        </w:rPr>
        <w:t>State of the Antarctic Environment Report</w:t>
      </w:r>
    </w:p>
  </w:footnote>
  <w:footnote w:id="3">
    <w:p w14:paraId="46D912B0" w14:textId="77777777" w:rsidR="006432E8" w:rsidRPr="006E4011" w:rsidRDefault="006432E8" w:rsidP="006432E8">
      <w:pPr>
        <w:rPr>
          <w:sz w:val="20"/>
          <w:szCs w:val="20"/>
        </w:rPr>
      </w:pPr>
      <w:r w:rsidRPr="006E4011">
        <w:rPr>
          <w:rStyle w:val="Refdenotaalpie"/>
          <w:sz w:val="20"/>
          <w:szCs w:val="20"/>
        </w:rPr>
        <w:footnoteRef/>
      </w:r>
      <w:r w:rsidRPr="006E4011">
        <w:rPr>
          <w:sz w:val="20"/>
          <w:szCs w:val="20"/>
        </w:rPr>
        <w:t xml:space="preserve"> ATCM XXV IP54 </w:t>
      </w:r>
      <w:r w:rsidRPr="006E4011">
        <w:rPr>
          <w:i/>
          <w:iCs/>
          <w:sz w:val="20"/>
          <w:szCs w:val="20"/>
        </w:rPr>
        <w:t>Antarctic State of the Environment Reporting</w:t>
      </w:r>
    </w:p>
  </w:footnote>
  <w:footnote w:id="4">
    <w:p w14:paraId="10AED371" w14:textId="77777777" w:rsidR="006432E8" w:rsidRPr="006E4011" w:rsidRDefault="006432E8" w:rsidP="006432E8">
      <w:pPr>
        <w:rPr>
          <w:sz w:val="20"/>
          <w:szCs w:val="20"/>
        </w:rPr>
      </w:pPr>
      <w:r w:rsidRPr="006E4011">
        <w:rPr>
          <w:rStyle w:val="Refdenotaalpie"/>
          <w:sz w:val="20"/>
          <w:szCs w:val="20"/>
        </w:rPr>
        <w:footnoteRef/>
      </w:r>
      <w:r w:rsidRPr="006E4011">
        <w:rPr>
          <w:sz w:val="20"/>
          <w:szCs w:val="20"/>
        </w:rPr>
        <w:t xml:space="preserve"> ATCM XXII IP40</w:t>
      </w:r>
      <w:r w:rsidRPr="006E4011">
        <w:rPr>
          <w:i/>
          <w:iCs/>
          <w:sz w:val="20"/>
          <w:szCs w:val="20"/>
        </w:rPr>
        <w:t xml:space="preserve"> Development of "State of the Environment" Reports in the North - Experiences with the EEA and AMAP processes</w:t>
      </w:r>
    </w:p>
  </w:footnote>
  <w:footnote w:id="5">
    <w:p w14:paraId="1DF23FF0" w14:textId="77777777" w:rsidR="006432E8" w:rsidRPr="006E4011" w:rsidRDefault="006432E8" w:rsidP="006432E8">
      <w:pPr>
        <w:pStyle w:val="Textonotapie"/>
        <w:rPr>
          <w:sz w:val="20"/>
          <w:szCs w:val="20"/>
        </w:rPr>
      </w:pPr>
      <w:r w:rsidRPr="006E4011">
        <w:rPr>
          <w:rStyle w:val="Refdenotaalpie"/>
          <w:sz w:val="20"/>
          <w:szCs w:val="20"/>
        </w:rPr>
        <w:footnoteRef/>
      </w:r>
      <w:r w:rsidRPr="006E4011">
        <w:rPr>
          <w:sz w:val="20"/>
          <w:szCs w:val="20"/>
        </w:rPr>
        <w:t xml:space="preserve"> ATCM XXIII IP1 </w:t>
      </w:r>
      <w:r w:rsidRPr="006E4011">
        <w:rPr>
          <w:i/>
          <w:iCs/>
          <w:sz w:val="20"/>
          <w:szCs w:val="20"/>
        </w:rPr>
        <w:t>Ross Sea Region State of the Environment Report: An Update on Progress</w:t>
      </w:r>
    </w:p>
  </w:footnote>
  <w:footnote w:id="6">
    <w:p w14:paraId="718BA244" w14:textId="77777777" w:rsidR="006432E8" w:rsidRPr="006E4011" w:rsidRDefault="006432E8" w:rsidP="006432E8">
      <w:pPr>
        <w:pStyle w:val="Textonotapie"/>
        <w:rPr>
          <w:sz w:val="20"/>
          <w:szCs w:val="20"/>
        </w:rPr>
      </w:pPr>
      <w:r w:rsidRPr="006E4011">
        <w:rPr>
          <w:rStyle w:val="Refdenotaalpie"/>
          <w:sz w:val="20"/>
          <w:szCs w:val="20"/>
        </w:rPr>
        <w:footnoteRef/>
      </w:r>
      <w:r w:rsidRPr="006E4011">
        <w:rPr>
          <w:sz w:val="20"/>
          <w:szCs w:val="20"/>
        </w:rPr>
        <w:t xml:space="preserve"> ATCM XXV IP7 </w:t>
      </w:r>
      <w:r w:rsidRPr="006E4011">
        <w:rPr>
          <w:i/>
          <w:iCs/>
          <w:sz w:val="20"/>
          <w:szCs w:val="20"/>
        </w:rPr>
        <w:t>Ross Sea Region 2001: A State of the Environment Report for the Ross Sea Region of Antarctica</w:t>
      </w:r>
    </w:p>
  </w:footnote>
  <w:footnote w:id="7">
    <w:p w14:paraId="14DD00DE" w14:textId="77777777" w:rsidR="006432E8" w:rsidRPr="006E4011" w:rsidRDefault="006432E8" w:rsidP="006432E8">
      <w:pPr>
        <w:pStyle w:val="Textonotapie"/>
        <w:rPr>
          <w:sz w:val="20"/>
          <w:szCs w:val="20"/>
        </w:rPr>
      </w:pPr>
      <w:r w:rsidRPr="006E4011">
        <w:rPr>
          <w:rStyle w:val="Refdenotaalpie"/>
          <w:sz w:val="20"/>
          <w:szCs w:val="20"/>
        </w:rPr>
        <w:footnoteRef/>
      </w:r>
      <w:r w:rsidRPr="006E4011">
        <w:rPr>
          <w:sz w:val="20"/>
          <w:szCs w:val="20"/>
        </w:rPr>
        <w:t xml:space="preserve"> ATCM XXV WP12</w:t>
      </w:r>
      <w:r w:rsidRPr="006E4011">
        <w:rPr>
          <w:i/>
          <w:iCs/>
          <w:sz w:val="20"/>
          <w:szCs w:val="20"/>
        </w:rPr>
        <w:t xml:space="preserve"> Ross Sea Region 2001: A State of the Environment Report for the Ross Sea Region of Antarctica</w:t>
      </w:r>
    </w:p>
  </w:footnote>
  <w:footnote w:id="8">
    <w:p w14:paraId="7D77095B" w14:textId="77777777" w:rsidR="006432E8" w:rsidRPr="006E4011" w:rsidRDefault="006432E8" w:rsidP="006432E8">
      <w:pPr>
        <w:pStyle w:val="Textonotapie"/>
        <w:rPr>
          <w:sz w:val="20"/>
          <w:szCs w:val="20"/>
        </w:rPr>
      </w:pPr>
      <w:r w:rsidRPr="006E4011">
        <w:rPr>
          <w:rStyle w:val="Refdenotaalpie"/>
          <w:sz w:val="20"/>
          <w:szCs w:val="20"/>
        </w:rPr>
        <w:footnoteRef/>
      </w:r>
      <w:r w:rsidRPr="006E4011">
        <w:rPr>
          <w:sz w:val="20"/>
          <w:szCs w:val="20"/>
        </w:rPr>
        <w:t xml:space="preserve"> ATCM XXVI WP21</w:t>
      </w:r>
      <w:r w:rsidRPr="006E4011">
        <w:rPr>
          <w:i/>
          <w:iCs/>
          <w:sz w:val="20"/>
          <w:szCs w:val="20"/>
        </w:rPr>
        <w:t xml:space="preserve"> Report of the Intercessional Discussion Group on State of the Antarctic Environment Reporting</w:t>
      </w:r>
    </w:p>
  </w:footnote>
  <w:footnote w:id="9">
    <w:p w14:paraId="5AAED78D" w14:textId="77777777" w:rsidR="006432E8" w:rsidRPr="006E4011" w:rsidRDefault="006432E8" w:rsidP="006432E8">
      <w:pPr>
        <w:pStyle w:val="Textonotapie"/>
        <w:rPr>
          <w:sz w:val="20"/>
          <w:szCs w:val="20"/>
        </w:rPr>
      </w:pPr>
      <w:r w:rsidRPr="006E4011">
        <w:rPr>
          <w:rStyle w:val="Refdenotaalpie"/>
          <w:sz w:val="20"/>
          <w:szCs w:val="20"/>
        </w:rPr>
        <w:footnoteRef/>
      </w:r>
      <w:r w:rsidRPr="006E4011">
        <w:rPr>
          <w:sz w:val="20"/>
          <w:szCs w:val="20"/>
        </w:rPr>
        <w:t xml:space="preserve"> ATCM XXII WP11 </w:t>
      </w:r>
      <w:r w:rsidRPr="006E4011">
        <w:rPr>
          <w:i/>
          <w:iCs/>
          <w:sz w:val="20"/>
          <w:szCs w:val="20"/>
        </w:rPr>
        <w:t>Report on the Work of the Intersessional Contact Group on a State of the Antarctic Environment Report</w:t>
      </w:r>
    </w:p>
  </w:footnote>
  <w:footnote w:id="10">
    <w:p w14:paraId="009020DB" w14:textId="77777777" w:rsidR="006432E8" w:rsidRDefault="006432E8" w:rsidP="006432E8">
      <w:pPr>
        <w:pStyle w:val="Textonotapie"/>
      </w:pPr>
      <w:r w:rsidRPr="006E4011">
        <w:rPr>
          <w:rStyle w:val="Refdenotaalpie"/>
          <w:sz w:val="20"/>
          <w:szCs w:val="20"/>
        </w:rPr>
        <w:footnoteRef/>
      </w:r>
      <w:r w:rsidRPr="006E4011">
        <w:rPr>
          <w:sz w:val="20"/>
          <w:szCs w:val="20"/>
        </w:rPr>
        <w:t xml:space="preserve"> ATCM XXIII WP5 </w:t>
      </w:r>
      <w:r w:rsidRPr="006E4011">
        <w:rPr>
          <w:i/>
          <w:iCs/>
          <w:sz w:val="20"/>
          <w:szCs w:val="20"/>
        </w:rPr>
        <w:t>Report on the Work of the Intersessional Contact Group on SAER</w:t>
      </w:r>
    </w:p>
  </w:footnote>
  <w:footnote w:id="11">
    <w:p w14:paraId="344922DD" w14:textId="77777777" w:rsidR="006432E8" w:rsidRPr="006E4011" w:rsidRDefault="006432E8" w:rsidP="006432E8">
      <w:pPr>
        <w:pStyle w:val="Textonotapie"/>
        <w:rPr>
          <w:sz w:val="20"/>
          <w:szCs w:val="20"/>
        </w:rPr>
      </w:pPr>
      <w:r w:rsidRPr="006E4011">
        <w:rPr>
          <w:rStyle w:val="Refdenotaalpie"/>
          <w:sz w:val="20"/>
          <w:szCs w:val="20"/>
        </w:rPr>
        <w:footnoteRef/>
      </w:r>
      <w:r w:rsidRPr="006E4011">
        <w:rPr>
          <w:sz w:val="20"/>
          <w:szCs w:val="20"/>
        </w:rPr>
        <w:t xml:space="preserve"> ATCM XXV IP54 </w:t>
      </w:r>
      <w:r w:rsidRPr="006E4011">
        <w:rPr>
          <w:i/>
          <w:iCs/>
          <w:sz w:val="20"/>
          <w:szCs w:val="20"/>
        </w:rPr>
        <w:t>Antarctic State of the Environment Reporting</w:t>
      </w:r>
    </w:p>
  </w:footnote>
  <w:footnote w:id="12">
    <w:p w14:paraId="74CB3FB1" w14:textId="77777777" w:rsidR="006432E8" w:rsidRPr="006E4011" w:rsidRDefault="006432E8" w:rsidP="006432E8">
      <w:pPr>
        <w:pStyle w:val="Textonotapie"/>
        <w:rPr>
          <w:sz w:val="20"/>
          <w:szCs w:val="20"/>
        </w:rPr>
      </w:pPr>
      <w:r w:rsidRPr="006E4011">
        <w:rPr>
          <w:rStyle w:val="Refdenotaalpie"/>
          <w:sz w:val="20"/>
          <w:szCs w:val="20"/>
        </w:rPr>
        <w:footnoteRef/>
      </w:r>
      <w:r w:rsidRPr="006E4011">
        <w:rPr>
          <w:sz w:val="20"/>
          <w:szCs w:val="20"/>
        </w:rPr>
        <w:t xml:space="preserve"> ATCM XXVII WP20 </w:t>
      </w:r>
      <w:r w:rsidRPr="006E4011">
        <w:rPr>
          <w:i/>
          <w:iCs/>
          <w:sz w:val="20"/>
          <w:szCs w:val="20"/>
        </w:rPr>
        <w:t>Towards a CEP State of the Antarctic Environments Reporting System: Report of the Intersessional Contact Group</w:t>
      </w:r>
    </w:p>
  </w:footnote>
  <w:footnote w:id="13">
    <w:p w14:paraId="3457529D" w14:textId="77777777" w:rsidR="006432E8" w:rsidRPr="006E4011" w:rsidRDefault="006432E8" w:rsidP="006432E8">
      <w:pPr>
        <w:pStyle w:val="Textonotapie"/>
        <w:rPr>
          <w:sz w:val="20"/>
          <w:szCs w:val="20"/>
        </w:rPr>
      </w:pPr>
      <w:r w:rsidRPr="006E4011">
        <w:rPr>
          <w:rStyle w:val="Refdenotaalpie"/>
          <w:sz w:val="20"/>
          <w:szCs w:val="20"/>
        </w:rPr>
        <w:footnoteRef/>
      </w:r>
      <w:r w:rsidRPr="006E4011">
        <w:rPr>
          <w:sz w:val="20"/>
          <w:szCs w:val="20"/>
        </w:rPr>
        <w:t xml:space="preserve"> </w:t>
      </w:r>
      <w:r w:rsidRPr="006E4011">
        <w:rPr>
          <w:sz w:val="20"/>
          <w:szCs w:val="20"/>
          <w:lang w:val="en-NZ"/>
        </w:rPr>
        <w:t xml:space="preserve">ATCM XXVIII WP10 </w:t>
      </w:r>
      <w:r w:rsidRPr="006E4011">
        <w:rPr>
          <w:i/>
          <w:iCs/>
          <w:sz w:val="20"/>
          <w:szCs w:val="20"/>
        </w:rPr>
        <w:t>State of the Antarctic Environment Reporting System: Report of the Intersessional Contact Group</w:t>
      </w:r>
    </w:p>
  </w:footnote>
  <w:footnote w:id="14">
    <w:p w14:paraId="15092316" w14:textId="77777777" w:rsidR="006432E8" w:rsidRPr="006E4011" w:rsidRDefault="006432E8" w:rsidP="006432E8">
      <w:pPr>
        <w:rPr>
          <w:sz w:val="20"/>
          <w:szCs w:val="20"/>
        </w:rPr>
      </w:pPr>
      <w:r w:rsidRPr="006E4011">
        <w:rPr>
          <w:rStyle w:val="Refdenotaalpie"/>
          <w:sz w:val="20"/>
          <w:szCs w:val="20"/>
        </w:rPr>
        <w:footnoteRef/>
      </w:r>
      <w:r w:rsidRPr="006E4011">
        <w:rPr>
          <w:sz w:val="20"/>
          <w:szCs w:val="20"/>
        </w:rPr>
        <w:t xml:space="preserve"> ATCM XXXI WP24</w:t>
      </w:r>
      <w:r w:rsidRPr="006E4011">
        <w:rPr>
          <w:i/>
          <w:iCs/>
          <w:sz w:val="20"/>
          <w:szCs w:val="20"/>
        </w:rPr>
        <w:t xml:space="preserve"> Improving the CEP’s Role in Advising the ATCM on the State of Antarctic Environments</w:t>
      </w:r>
    </w:p>
  </w:footnote>
  <w:footnote w:id="15">
    <w:p w14:paraId="1A93B280" w14:textId="77777777" w:rsidR="006432E8" w:rsidRPr="006E4011" w:rsidRDefault="006432E8" w:rsidP="006432E8">
      <w:pPr>
        <w:pStyle w:val="Textonotapie"/>
        <w:rPr>
          <w:sz w:val="20"/>
          <w:szCs w:val="20"/>
        </w:rPr>
      </w:pPr>
      <w:r w:rsidRPr="006E4011">
        <w:rPr>
          <w:rStyle w:val="Refdenotaalpie"/>
          <w:sz w:val="20"/>
          <w:szCs w:val="20"/>
        </w:rPr>
        <w:footnoteRef/>
      </w:r>
      <w:r w:rsidRPr="006E4011">
        <w:rPr>
          <w:sz w:val="20"/>
          <w:szCs w:val="20"/>
        </w:rPr>
        <w:t xml:space="preserve"> ATCM XLIV WP30rev.1 </w:t>
      </w:r>
      <w:r w:rsidRPr="006E4011">
        <w:rPr>
          <w:i/>
          <w:iCs/>
          <w:sz w:val="20"/>
          <w:szCs w:val="20"/>
        </w:rPr>
        <w:t>Antarctic Climate Change and the Environment: A Decadal Synopsis. Findings and Policy Recommendations</w:t>
      </w:r>
    </w:p>
  </w:footnote>
  <w:footnote w:id="16">
    <w:p w14:paraId="2F33921F" w14:textId="77777777" w:rsidR="006432E8" w:rsidRPr="006E4011" w:rsidRDefault="006432E8" w:rsidP="006432E8">
      <w:pPr>
        <w:pStyle w:val="Textonotapie"/>
        <w:rPr>
          <w:sz w:val="20"/>
          <w:szCs w:val="20"/>
        </w:rPr>
      </w:pPr>
      <w:r w:rsidRPr="006E4011">
        <w:rPr>
          <w:rStyle w:val="Refdenotaalpie"/>
          <w:sz w:val="20"/>
          <w:szCs w:val="20"/>
        </w:rPr>
        <w:footnoteRef/>
      </w:r>
      <w:r w:rsidRPr="006E4011">
        <w:rPr>
          <w:sz w:val="20"/>
          <w:szCs w:val="20"/>
        </w:rPr>
        <w:t xml:space="preserve"> ATCM XLII WP68 </w:t>
      </w:r>
      <w:r w:rsidRPr="006E4011">
        <w:rPr>
          <w:i/>
          <w:iCs/>
          <w:sz w:val="20"/>
          <w:szCs w:val="20"/>
        </w:rPr>
        <w:t>Anthropogenic Noise in the Southern Ocean: an Update</w:t>
      </w:r>
    </w:p>
  </w:footnote>
  <w:footnote w:id="17">
    <w:p w14:paraId="68797CE3" w14:textId="77777777" w:rsidR="006432E8" w:rsidRDefault="006432E8" w:rsidP="006432E8">
      <w:pPr>
        <w:pStyle w:val="Textonotapie"/>
      </w:pPr>
      <w:r w:rsidRPr="006E4011">
        <w:rPr>
          <w:rStyle w:val="Refdenotaalpie"/>
          <w:sz w:val="20"/>
          <w:szCs w:val="20"/>
        </w:rPr>
        <w:footnoteRef/>
      </w:r>
      <w:r w:rsidRPr="006E4011">
        <w:rPr>
          <w:sz w:val="20"/>
          <w:szCs w:val="20"/>
        </w:rPr>
        <w:t xml:space="preserve"> ATCM XXIX WP37 </w:t>
      </w:r>
      <w:r w:rsidRPr="006E4011">
        <w:rPr>
          <w:i/>
          <w:iCs/>
          <w:sz w:val="20"/>
          <w:szCs w:val="20"/>
        </w:rPr>
        <w:t>Biodiversity in the Antarctic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59755B" w14:paraId="6269A7E8" w14:textId="77777777" w:rsidTr="002E12EC">
      <w:trPr>
        <w:trHeight w:val="344"/>
        <w:jc w:val="center"/>
      </w:trPr>
      <w:tc>
        <w:tcPr>
          <w:tcW w:w="5495" w:type="dxa"/>
        </w:tcPr>
        <w:p w14:paraId="436F226F" w14:textId="77777777" w:rsidR="00DB7C09" w:rsidRDefault="006432E8" w:rsidP="00F968D4"/>
      </w:tc>
      <w:tc>
        <w:tcPr>
          <w:tcW w:w="4253" w:type="dxa"/>
          <w:gridSpan w:val="2"/>
        </w:tcPr>
        <w:p w14:paraId="1988CF46" w14:textId="77777777" w:rsidR="00DB7C09" w:rsidRPr="00BD47E4" w:rsidRDefault="006432E8" w:rsidP="002A07BC">
          <w:pPr>
            <w:jc w:val="right"/>
            <w:rPr>
              <w:b/>
              <w:sz w:val="32"/>
              <w:szCs w:val="32"/>
            </w:rPr>
          </w:pPr>
          <w:bookmarkStart w:id="2" w:name="type"/>
          <w:r w:rsidRPr="00BD47E4">
            <w:rPr>
              <w:b/>
              <w:sz w:val="32"/>
              <w:szCs w:val="32"/>
            </w:rPr>
            <w:t>WP</w:t>
          </w:r>
          <w:bookmarkEnd w:id="2"/>
        </w:p>
      </w:tc>
      <w:tc>
        <w:tcPr>
          <w:tcW w:w="1524" w:type="dxa"/>
          <w:gridSpan w:val="2"/>
        </w:tcPr>
        <w:p w14:paraId="308466D4" w14:textId="77777777" w:rsidR="00DB7C09" w:rsidRPr="00BD47E4" w:rsidRDefault="006432E8" w:rsidP="00DB7C09">
          <w:pPr>
            <w:rPr>
              <w:b/>
              <w:sz w:val="32"/>
              <w:szCs w:val="32"/>
            </w:rPr>
          </w:pPr>
          <w:bookmarkStart w:id="3" w:name="number"/>
          <w:r w:rsidRPr="00BD47E4">
            <w:rPr>
              <w:b/>
              <w:sz w:val="32"/>
              <w:szCs w:val="32"/>
            </w:rPr>
            <w:t>18</w:t>
          </w:r>
          <w:bookmarkEnd w:id="3"/>
        </w:p>
      </w:tc>
    </w:tr>
    <w:tr w:rsidR="0059755B" w14:paraId="341D067F" w14:textId="77777777" w:rsidTr="002E12EC">
      <w:trPr>
        <w:trHeight w:val="2165"/>
        <w:jc w:val="center"/>
      </w:trPr>
      <w:tc>
        <w:tcPr>
          <w:tcW w:w="5495" w:type="dxa"/>
        </w:tcPr>
        <w:p w14:paraId="0A5B67C5" w14:textId="77777777" w:rsidR="00490760" w:rsidRPr="00EE4D48" w:rsidRDefault="006432E8" w:rsidP="002A07BC">
          <w:pPr>
            <w:rPr>
              <w:b/>
              <w:sz w:val="28"/>
              <w:szCs w:val="28"/>
            </w:rPr>
          </w:pPr>
          <w:r>
            <w:rPr>
              <w:noProof/>
            </w:rPr>
            <w:drawing>
              <wp:inline distT="0" distB="0" distL="0" distR="0" wp14:anchorId="6A600D86" wp14:editId="01F3BFCD">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74953"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6FA8A709" w14:textId="77777777" w:rsidR="00490760" w:rsidRPr="00FE5146" w:rsidRDefault="006432E8" w:rsidP="00490760">
          <w:pPr>
            <w:jc w:val="right"/>
            <w:rPr>
              <w:sz w:val="144"/>
              <w:szCs w:val="144"/>
            </w:rPr>
          </w:pPr>
          <w:r w:rsidRPr="00FE5146">
            <w:rPr>
              <w:sz w:val="144"/>
              <w:szCs w:val="144"/>
            </w:rPr>
            <w:t>ENG</w:t>
          </w:r>
        </w:p>
      </w:tc>
    </w:tr>
    <w:tr w:rsidR="0059755B" w14:paraId="3600FBDA" w14:textId="77777777" w:rsidTr="002E12EC">
      <w:trPr>
        <w:trHeight w:val="409"/>
        <w:jc w:val="center"/>
      </w:trPr>
      <w:tc>
        <w:tcPr>
          <w:tcW w:w="8500" w:type="dxa"/>
          <w:gridSpan w:val="2"/>
        </w:tcPr>
        <w:p w14:paraId="588F0449" w14:textId="77777777" w:rsidR="00BD47E4" w:rsidRDefault="006432E8" w:rsidP="002C30DA">
          <w:pPr>
            <w:jc w:val="right"/>
          </w:pPr>
          <w:r>
            <w:t>Agenda Item:</w:t>
          </w:r>
        </w:p>
      </w:tc>
      <w:tc>
        <w:tcPr>
          <w:tcW w:w="2382" w:type="dxa"/>
          <w:gridSpan w:val="2"/>
        </w:tcPr>
        <w:p w14:paraId="01A44FAC" w14:textId="77777777" w:rsidR="00BD47E4" w:rsidRDefault="006432E8" w:rsidP="002C30DA">
          <w:pPr>
            <w:jc w:val="right"/>
          </w:pPr>
          <w:bookmarkStart w:id="4" w:name="agenda"/>
          <w:r>
            <w:t>CEP 11</w:t>
          </w:r>
          <w:bookmarkEnd w:id="4"/>
        </w:p>
      </w:tc>
      <w:tc>
        <w:tcPr>
          <w:tcW w:w="390" w:type="dxa"/>
        </w:tcPr>
        <w:p w14:paraId="17912339" w14:textId="77777777" w:rsidR="00BD47E4" w:rsidRDefault="006432E8" w:rsidP="00387A65">
          <w:pPr>
            <w:jc w:val="right"/>
          </w:pPr>
        </w:p>
      </w:tc>
    </w:tr>
    <w:tr w:rsidR="0059755B" w14:paraId="7E728EFA" w14:textId="77777777" w:rsidTr="002E12EC">
      <w:trPr>
        <w:trHeight w:val="397"/>
        <w:jc w:val="center"/>
      </w:trPr>
      <w:tc>
        <w:tcPr>
          <w:tcW w:w="8500" w:type="dxa"/>
          <w:gridSpan w:val="2"/>
        </w:tcPr>
        <w:p w14:paraId="5ECABDBC" w14:textId="77777777" w:rsidR="00BD47E4" w:rsidRDefault="006432E8" w:rsidP="002C30DA">
          <w:pPr>
            <w:jc w:val="right"/>
          </w:pPr>
          <w:r>
            <w:t>Presented by:</w:t>
          </w:r>
        </w:p>
      </w:tc>
      <w:tc>
        <w:tcPr>
          <w:tcW w:w="2382" w:type="dxa"/>
          <w:gridSpan w:val="2"/>
        </w:tcPr>
        <w:p w14:paraId="22DDCE3C" w14:textId="77777777" w:rsidR="00BD47E4" w:rsidRDefault="006432E8" w:rsidP="002C30DA">
          <w:pPr>
            <w:jc w:val="right"/>
          </w:pPr>
          <w:bookmarkStart w:id="5" w:name="party"/>
          <w:r>
            <w:t>SCAR</w:t>
          </w:r>
          <w:bookmarkEnd w:id="5"/>
        </w:p>
      </w:tc>
      <w:tc>
        <w:tcPr>
          <w:tcW w:w="390" w:type="dxa"/>
        </w:tcPr>
        <w:p w14:paraId="323D8DB8" w14:textId="77777777" w:rsidR="00BD47E4" w:rsidRDefault="006432E8" w:rsidP="00387A65">
          <w:pPr>
            <w:jc w:val="right"/>
          </w:pPr>
        </w:p>
      </w:tc>
    </w:tr>
    <w:tr w:rsidR="0059755B" w14:paraId="07DE7CA8" w14:textId="77777777" w:rsidTr="002E12EC">
      <w:trPr>
        <w:trHeight w:val="409"/>
        <w:jc w:val="center"/>
      </w:trPr>
      <w:tc>
        <w:tcPr>
          <w:tcW w:w="8500" w:type="dxa"/>
          <w:gridSpan w:val="2"/>
        </w:tcPr>
        <w:p w14:paraId="0BE4036F" w14:textId="77777777" w:rsidR="00BD47E4" w:rsidRDefault="006432E8" w:rsidP="002C30DA">
          <w:pPr>
            <w:jc w:val="right"/>
          </w:pPr>
          <w:r>
            <w:t>Original:</w:t>
          </w:r>
        </w:p>
      </w:tc>
      <w:tc>
        <w:tcPr>
          <w:tcW w:w="2382" w:type="dxa"/>
          <w:gridSpan w:val="2"/>
        </w:tcPr>
        <w:p w14:paraId="4564817B" w14:textId="77777777" w:rsidR="00BD47E4" w:rsidRDefault="006432E8" w:rsidP="002C30DA">
          <w:pPr>
            <w:jc w:val="right"/>
          </w:pPr>
          <w:bookmarkStart w:id="6" w:name="language"/>
          <w:r>
            <w:t>English</w:t>
          </w:r>
          <w:bookmarkEnd w:id="6"/>
        </w:p>
      </w:tc>
      <w:tc>
        <w:tcPr>
          <w:tcW w:w="390" w:type="dxa"/>
        </w:tcPr>
        <w:p w14:paraId="3BC82273" w14:textId="77777777" w:rsidR="00BD47E4" w:rsidRDefault="006432E8" w:rsidP="00387A65">
          <w:pPr>
            <w:jc w:val="right"/>
          </w:pPr>
        </w:p>
      </w:tc>
    </w:tr>
    <w:tr w:rsidR="0059755B" w14:paraId="1FEB42C5" w14:textId="77777777" w:rsidTr="002E12EC">
      <w:trPr>
        <w:trHeight w:val="409"/>
        <w:jc w:val="center"/>
      </w:trPr>
      <w:tc>
        <w:tcPr>
          <w:tcW w:w="8500" w:type="dxa"/>
          <w:gridSpan w:val="2"/>
        </w:tcPr>
        <w:p w14:paraId="7D60FB90" w14:textId="77777777" w:rsidR="0097629D" w:rsidRDefault="006432E8" w:rsidP="002C30DA">
          <w:pPr>
            <w:jc w:val="right"/>
          </w:pPr>
          <w:r>
            <w:t>Submitted:</w:t>
          </w:r>
        </w:p>
      </w:tc>
      <w:tc>
        <w:tcPr>
          <w:tcW w:w="2382" w:type="dxa"/>
          <w:gridSpan w:val="2"/>
        </w:tcPr>
        <w:p w14:paraId="0C9FCEE8" w14:textId="77777777" w:rsidR="0097629D" w:rsidRDefault="006432E8" w:rsidP="0097629D">
          <w:pPr>
            <w:jc w:val="right"/>
          </w:pPr>
          <w:bookmarkStart w:id="7" w:name="date_submission"/>
          <w:r>
            <w:t xml:space="preserve">13 Apr </w:t>
          </w:r>
          <w:r>
            <w:t>2023</w:t>
          </w:r>
          <w:bookmarkEnd w:id="7"/>
        </w:p>
      </w:tc>
      <w:tc>
        <w:tcPr>
          <w:tcW w:w="390" w:type="dxa"/>
        </w:tcPr>
        <w:p w14:paraId="69D15D0A" w14:textId="77777777" w:rsidR="0097629D" w:rsidRDefault="006432E8" w:rsidP="00387A65">
          <w:pPr>
            <w:jc w:val="right"/>
          </w:pPr>
        </w:p>
      </w:tc>
    </w:tr>
  </w:tbl>
  <w:p w14:paraId="1F6D35E4" w14:textId="77777777" w:rsidR="00AE5DD0" w:rsidRDefault="006432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9755B" w14:paraId="755AD791" w14:textId="77777777">
      <w:trPr>
        <w:trHeight w:val="354"/>
        <w:jc w:val="center"/>
      </w:trPr>
      <w:tc>
        <w:tcPr>
          <w:tcW w:w="9694" w:type="dxa"/>
        </w:tcPr>
        <w:p w14:paraId="325BA49F" w14:textId="7CBDB109" w:rsidR="00AE5DD0" w:rsidRPr="00BD47E4" w:rsidRDefault="006432E8" w:rsidP="00C26F2D">
          <w:pPr>
            <w:jc w:val="right"/>
            <w:rPr>
              <w:b/>
              <w:sz w:val="32"/>
              <w:szCs w:val="32"/>
            </w:rPr>
          </w:pPr>
          <w:r>
            <w:rPr>
              <w:b/>
              <w:sz w:val="32"/>
              <w:szCs w:val="32"/>
            </w:rPr>
            <w:t>WP</w:t>
          </w:r>
        </w:p>
      </w:tc>
      <w:tc>
        <w:tcPr>
          <w:tcW w:w="1332" w:type="dxa"/>
        </w:tcPr>
        <w:p w14:paraId="00C73577" w14:textId="29F7293B" w:rsidR="00AE5DD0" w:rsidRPr="00BD47E4" w:rsidRDefault="006432E8" w:rsidP="00080F4C">
          <w:pPr>
            <w:rPr>
              <w:b/>
              <w:sz w:val="32"/>
              <w:szCs w:val="32"/>
            </w:rPr>
          </w:pPr>
          <w:r>
            <w:rPr>
              <w:b/>
              <w:sz w:val="32"/>
              <w:szCs w:val="32"/>
            </w:rPr>
            <w:t>18</w:t>
          </w:r>
        </w:p>
      </w:tc>
    </w:tr>
  </w:tbl>
  <w:p w14:paraId="390CBE81" w14:textId="77777777" w:rsidR="00AE5DD0" w:rsidRDefault="006432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45A9422">
      <w:start w:val="1"/>
      <w:numFmt w:val="bullet"/>
      <w:pStyle w:val="ATSBullet1"/>
      <w:lvlText w:val=""/>
      <w:lvlJc w:val="left"/>
      <w:pPr>
        <w:tabs>
          <w:tab w:val="num" w:pos="360"/>
        </w:tabs>
        <w:ind w:left="360" w:hanging="360"/>
      </w:pPr>
      <w:rPr>
        <w:rFonts w:ascii="Symbol" w:hAnsi="Symbol" w:hint="default"/>
        <w:color w:val="auto"/>
      </w:rPr>
    </w:lvl>
    <w:lvl w:ilvl="1" w:tplc="6606923E" w:tentative="1">
      <w:start w:val="1"/>
      <w:numFmt w:val="bullet"/>
      <w:lvlText w:val="o"/>
      <w:lvlJc w:val="left"/>
      <w:pPr>
        <w:tabs>
          <w:tab w:val="num" w:pos="1440"/>
        </w:tabs>
        <w:ind w:left="1440" w:hanging="360"/>
      </w:pPr>
      <w:rPr>
        <w:rFonts w:ascii="Courier New" w:hAnsi="Courier New" w:cs="Courier New" w:hint="default"/>
      </w:rPr>
    </w:lvl>
    <w:lvl w:ilvl="2" w:tplc="E4EE3BB6" w:tentative="1">
      <w:start w:val="1"/>
      <w:numFmt w:val="bullet"/>
      <w:lvlText w:val=""/>
      <w:lvlJc w:val="left"/>
      <w:pPr>
        <w:tabs>
          <w:tab w:val="num" w:pos="2160"/>
        </w:tabs>
        <w:ind w:left="2160" w:hanging="360"/>
      </w:pPr>
      <w:rPr>
        <w:rFonts w:ascii="Wingdings" w:hAnsi="Wingdings" w:hint="default"/>
      </w:rPr>
    </w:lvl>
    <w:lvl w:ilvl="3" w:tplc="0B44979C" w:tentative="1">
      <w:start w:val="1"/>
      <w:numFmt w:val="bullet"/>
      <w:lvlText w:val=""/>
      <w:lvlJc w:val="left"/>
      <w:pPr>
        <w:tabs>
          <w:tab w:val="num" w:pos="2880"/>
        </w:tabs>
        <w:ind w:left="2880" w:hanging="360"/>
      </w:pPr>
      <w:rPr>
        <w:rFonts w:ascii="Symbol" w:hAnsi="Symbol" w:hint="default"/>
      </w:rPr>
    </w:lvl>
    <w:lvl w:ilvl="4" w:tplc="A836A5BC" w:tentative="1">
      <w:start w:val="1"/>
      <w:numFmt w:val="bullet"/>
      <w:lvlText w:val="o"/>
      <w:lvlJc w:val="left"/>
      <w:pPr>
        <w:tabs>
          <w:tab w:val="num" w:pos="3600"/>
        </w:tabs>
        <w:ind w:left="3600" w:hanging="360"/>
      </w:pPr>
      <w:rPr>
        <w:rFonts w:ascii="Courier New" w:hAnsi="Courier New" w:cs="Courier New" w:hint="default"/>
      </w:rPr>
    </w:lvl>
    <w:lvl w:ilvl="5" w:tplc="A60ED586" w:tentative="1">
      <w:start w:val="1"/>
      <w:numFmt w:val="bullet"/>
      <w:lvlText w:val=""/>
      <w:lvlJc w:val="left"/>
      <w:pPr>
        <w:tabs>
          <w:tab w:val="num" w:pos="4320"/>
        </w:tabs>
        <w:ind w:left="4320" w:hanging="360"/>
      </w:pPr>
      <w:rPr>
        <w:rFonts w:ascii="Wingdings" w:hAnsi="Wingdings" w:hint="default"/>
      </w:rPr>
    </w:lvl>
    <w:lvl w:ilvl="6" w:tplc="FD7C00AE" w:tentative="1">
      <w:start w:val="1"/>
      <w:numFmt w:val="bullet"/>
      <w:lvlText w:val=""/>
      <w:lvlJc w:val="left"/>
      <w:pPr>
        <w:tabs>
          <w:tab w:val="num" w:pos="5040"/>
        </w:tabs>
        <w:ind w:left="5040" w:hanging="360"/>
      </w:pPr>
      <w:rPr>
        <w:rFonts w:ascii="Symbol" w:hAnsi="Symbol" w:hint="default"/>
      </w:rPr>
    </w:lvl>
    <w:lvl w:ilvl="7" w:tplc="90D2608E" w:tentative="1">
      <w:start w:val="1"/>
      <w:numFmt w:val="bullet"/>
      <w:lvlText w:val="o"/>
      <w:lvlJc w:val="left"/>
      <w:pPr>
        <w:tabs>
          <w:tab w:val="num" w:pos="5760"/>
        </w:tabs>
        <w:ind w:left="5760" w:hanging="360"/>
      </w:pPr>
      <w:rPr>
        <w:rFonts w:ascii="Courier New" w:hAnsi="Courier New" w:cs="Courier New" w:hint="default"/>
      </w:rPr>
    </w:lvl>
    <w:lvl w:ilvl="8" w:tplc="C6BEDA7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501317"/>
    <w:multiLevelType w:val="hybridMultilevel"/>
    <w:tmpl w:val="FE0A4BEE"/>
    <w:lvl w:ilvl="0" w:tplc="2B060B9E">
      <w:start w:val="1"/>
      <w:numFmt w:val="lowerRoman"/>
      <w:lvlText w:val="(%1)"/>
      <w:lvlJc w:val="left"/>
      <w:pPr>
        <w:ind w:left="720" w:hanging="360"/>
      </w:pPr>
      <w:rPr>
        <w:rFonts w:hint="default"/>
        <w:i/>
      </w:rPr>
    </w:lvl>
    <w:lvl w:ilvl="1" w:tplc="69845F76" w:tentative="1">
      <w:start w:val="1"/>
      <w:numFmt w:val="lowerLetter"/>
      <w:lvlText w:val="%2."/>
      <w:lvlJc w:val="left"/>
      <w:pPr>
        <w:tabs>
          <w:tab w:val="num" w:pos="1440"/>
        </w:tabs>
        <w:ind w:left="1440" w:hanging="360"/>
      </w:pPr>
    </w:lvl>
    <w:lvl w:ilvl="2" w:tplc="8D14B20C" w:tentative="1">
      <w:start w:val="1"/>
      <w:numFmt w:val="lowerRoman"/>
      <w:lvlText w:val="%3."/>
      <w:lvlJc w:val="right"/>
      <w:pPr>
        <w:tabs>
          <w:tab w:val="num" w:pos="2160"/>
        </w:tabs>
        <w:ind w:left="2160" w:hanging="180"/>
      </w:pPr>
    </w:lvl>
    <w:lvl w:ilvl="3" w:tplc="E50A49E6" w:tentative="1">
      <w:start w:val="1"/>
      <w:numFmt w:val="decimal"/>
      <w:lvlText w:val="%4."/>
      <w:lvlJc w:val="left"/>
      <w:pPr>
        <w:tabs>
          <w:tab w:val="num" w:pos="2880"/>
        </w:tabs>
        <w:ind w:left="2880" w:hanging="360"/>
      </w:pPr>
    </w:lvl>
    <w:lvl w:ilvl="4" w:tplc="609C9EBA" w:tentative="1">
      <w:start w:val="1"/>
      <w:numFmt w:val="lowerLetter"/>
      <w:lvlText w:val="%5."/>
      <w:lvlJc w:val="left"/>
      <w:pPr>
        <w:tabs>
          <w:tab w:val="num" w:pos="3600"/>
        </w:tabs>
        <w:ind w:left="3600" w:hanging="360"/>
      </w:pPr>
    </w:lvl>
    <w:lvl w:ilvl="5" w:tplc="C172D612" w:tentative="1">
      <w:start w:val="1"/>
      <w:numFmt w:val="lowerRoman"/>
      <w:lvlText w:val="%6."/>
      <w:lvlJc w:val="right"/>
      <w:pPr>
        <w:tabs>
          <w:tab w:val="num" w:pos="4320"/>
        </w:tabs>
        <w:ind w:left="4320" w:hanging="180"/>
      </w:pPr>
    </w:lvl>
    <w:lvl w:ilvl="6" w:tplc="1C56554A" w:tentative="1">
      <w:start w:val="1"/>
      <w:numFmt w:val="decimal"/>
      <w:lvlText w:val="%7."/>
      <w:lvlJc w:val="left"/>
      <w:pPr>
        <w:tabs>
          <w:tab w:val="num" w:pos="5040"/>
        </w:tabs>
        <w:ind w:left="5040" w:hanging="360"/>
      </w:pPr>
    </w:lvl>
    <w:lvl w:ilvl="7" w:tplc="850CBEB2" w:tentative="1">
      <w:start w:val="1"/>
      <w:numFmt w:val="lowerLetter"/>
      <w:lvlText w:val="%8."/>
      <w:lvlJc w:val="left"/>
      <w:pPr>
        <w:tabs>
          <w:tab w:val="num" w:pos="5760"/>
        </w:tabs>
        <w:ind w:left="5760" w:hanging="360"/>
      </w:pPr>
    </w:lvl>
    <w:lvl w:ilvl="8" w:tplc="28BABD4C" w:tentative="1">
      <w:start w:val="1"/>
      <w:numFmt w:val="lowerRoman"/>
      <w:lvlText w:val="%9."/>
      <w:lvlJc w:val="right"/>
      <w:pPr>
        <w:tabs>
          <w:tab w:val="num" w:pos="6480"/>
        </w:tabs>
        <w:ind w:left="6480" w:hanging="180"/>
      </w:pPr>
    </w:lvl>
  </w:abstractNum>
  <w:abstractNum w:abstractNumId="13" w15:restartNumberingAfterBreak="0">
    <w:nsid w:val="49D35C15"/>
    <w:multiLevelType w:val="hybridMultilevel"/>
    <w:tmpl w:val="A8A2E45C"/>
    <w:lvl w:ilvl="0" w:tplc="1CD4456E">
      <w:start w:val="1"/>
      <w:numFmt w:val="decimal"/>
      <w:lvlText w:val="%1)"/>
      <w:lvlJc w:val="left"/>
      <w:pPr>
        <w:tabs>
          <w:tab w:val="num" w:pos="340"/>
        </w:tabs>
        <w:ind w:left="340" w:hanging="340"/>
      </w:pPr>
      <w:rPr>
        <w:rFonts w:hint="default"/>
      </w:rPr>
    </w:lvl>
    <w:lvl w:ilvl="1" w:tplc="0C128682" w:tentative="1">
      <w:start w:val="1"/>
      <w:numFmt w:val="lowerLetter"/>
      <w:lvlText w:val="%2."/>
      <w:lvlJc w:val="left"/>
      <w:pPr>
        <w:tabs>
          <w:tab w:val="num" w:pos="1440"/>
        </w:tabs>
        <w:ind w:left="1440" w:hanging="360"/>
      </w:pPr>
    </w:lvl>
    <w:lvl w:ilvl="2" w:tplc="B22A9572" w:tentative="1">
      <w:start w:val="1"/>
      <w:numFmt w:val="lowerRoman"/>
      <w:lvlText w:val="%3."/>
      <w:lvlJc w:val="right"/>
      <w:pPr>
        <w:tabs>
          <w:tab w:val="num" w:pos="2160"/>
        </w:tabs>
        <w:ind w:left="2160" w:hanging="180"/>
      </w:pPr>
    </w:lvl>
    <w:lvl w:ilvl="3" w:tplc="9C4E054E" w:tentative="1">
      <w:start w:val="1"/>
      <w:numFmt w:val="decimal"/>
      <w:lvlText w:val="%4."/>
      <w:lvlJc w:val="left"/>
      <w:pPr>
        <w:tabs>
          <w:tab w:val="num" w:pos="2880"/>
        </w:tabs>
        <w:ind w:left="2880" w:hanging="360"/>
      </w:pPr>
    </w:lvl>
    <w:lvl w:ilvl="4" w:tplc="036CA9EE" w:tentative="1">
      <w:start w:val="1"/>
      <w:numFmt w:val="lowerLetter"/>
      <w:lvlText w:val="%5."/>
      <w:lvlJc w:val="left"/>
      <w:pPr>
        <w:tabs>
          <w:tab w:val="num" w:pos="3600"/>
        </w:tabs>
        <w:ind w:left="3600" w:hanging="360"/>
      </w:pPr>
    </w:lvl>
    <w:lvl w:ilvl="5" w:tplc="A036E128" w:tentative="1">
      <w:start w:val="1"/>
      <w:numFmt w:val="lowerRoman"/>
      <w:lvlText w:val="%6."/>
      <w:lvlJc w:val="right"/>
      <w:pPr>
        <w:tabs>
          <w:tab w:val="num" w:pos="4320"/>
        </w:tabs>
        <w:ind w:left="4320" w:hanging="180"/>
      </w:pPr>
    </w:lvl>
    <w:lvl w:ilvl="6" w:tplc="46FCA206" w:tentative="1">
      <w:start w:val="1"/>
      <w:numFmt w:val="decimal"/>
      <w:lvlText w:val="%7."/>
      <w:lvlJc w:val="left"/>
      <w:pPr>
        <w:tabs>
          <w:tab w:val="num" w:pos="5040"/>
        </w:tabs>
        <w:ind w:left="5040" w:hanging="360"/>
      </w:pPr>
    </w:lvl>
    <w:lvl w:ilvl="7" w:tplc="5A18B8DA" w:tentative="1">
      <w:start w:val="1"/>
      <w:numFmt w:val="lowerLetter"/>
      <w:lvlText w:val="%8."/>
      <w:lvlJc w:val="left"/>
      <w:pPr>
        <w:tabs>
          <w:tab w:val="num" w:pos="5760"/>
        </w:tabs>
        <w:ind w:left="5760" w:hanging="360"/>
      </w:pPr>
    </w:lvl>
    <w:lvl w:ilvl="8" w:tplc="38BCECD8"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888E4B2C">
      <w:start w:val="1"/>
      <w:numFmt w:val="decimal"/>
      <w:lvlText w:val="%1."/>
      <w:lvlJc w:val="left"/>
      <w:pPr>
        <w:tabs>
          <w:tab w:val="num" w:pos="1057"/>
        </w:tabs>
        <w:ind w:left="1057" w:hanging="360"/>
      </w:pPr>
      <w:rPr>
        <w:rFonts w:hint="default"/>
      </w:rPr>
    </w:lvl>
    <w:lvl w:ilvl="1" w:tplc="6808884A" w:tentative="1">
      <w:start w:val="1"/>
      <w:numFmt w:val="lowerLetter"/>
      <w:lvlText w:val="%2."/>
      <w:lvlJc w:val="left"/>
      <w:pPr>
        <w:tabs>
          <w:tab w:val="num" w:pos="2137"/>
        </w:tabs>
        <w:ind w:left="2137" w:hanging="360"/>
      </w:pPr>
    </w:lvl>
    <w:lvl w:ilvl="2" w:tplc="120828B6" w:tentative="1">
      <w:start w:val="1"/>
      <w:numFmt w:val="lowerRoman"/>
      <w:lvlText w:val="%3."/>
      <w:lvlJc w:val="right"/>
      <w:pPr>
        <w:tabs>
          <w:tab w:val="num" w:pos="2857"/>
        </w:tabs>
        <w:ind w:left="2857" w:hanging="180"/>
      </w:pPr>
    </w:lvl>
    <w:lvl w:ilvl="3" w:tplc="24DC993A" w:tentative="1">
      <w:start w:val="1"/>
      <w:numFmt w:val="decimal"/>
      <w:lvlText w:val="%4."/>
      <w:lvlJc w:val="left"/>
      <w:pPr>
        <w:tabs>
          <w:tab w:val="num" w:pos="3577"/>
        </w:tabs>
        <w:ind w:left="3577" w:hanging="360"/>
      </w:pPr>
    </w:lvl>
    <w:lvl w:ilvl="4" w:tplc="BAE69744" w:tentative="1">
      <w:start w:val="1"/>
      <w:numFmt w:val="lowerLetter"/>
      <w:lvlText w:val="%5."/>
      <w:lvlJc w:val="left"/>
      <w:pPr>
        <w:tabs>
          <w:tab w:val="num" w:pos="4297"/>
        </w:tabs>
        <w:ind w:left="4297" w:hanging="360"/>
      </w:pPr>
    </w:lvl>
    <w:lvl w:ilvl="5" w:tplc="7B62F50E" w:tentative="1">
      <w:start w:val="1"/>
      <w:numFmt w:val="lowerRoman"/>
      <w:lvlText w:val="%6."/>
      <w:lvlJc w:val="right"/>
      <w:pPr>
        <w:tabs>
          <w:tab w:val="num" w:pos="5017"/>
        </w:tabs>
        <w:ind w:left="5017" w:hanging="180"/>
      </w:pPr>
    </w:lvl>
    <w:lvl w:ilvl="6" w:tplc="D5465B02" w:tentative="1">
      <w:start w:val="1"/>
      <w:numFmt w:val="decimal"/>
      <w:lvlText w:val="%7."/>
      <w:lvlJc w:val="left"/>
      <w:pPr>
        <w:tabs>
          <w:tab w:val="num" w:pos="5737"/>
        </w:tabs>
        <w:ind w:left="5737" w:hanging="360"/>
      </w:pPr>
    </w:lvl>
    <w:lvl w:ilvl="7" w:tplc="F74CD17A" w:tentative="1">
      <w:start w:val="1"/>
      <w:numFmt w:val="lowerLetter"/>
      <w:lvlText w:val="%8."/>
      <w:lvlJc w:val="left"/>
      <w:pPr>
        <w:tabs>
          <w:tab w:val="num" w:pos="6457"/>
        </w:tabs>
        <w:ind w:left="6457" w:hanging="360"/>
      </w:pPr>
    </w:lvl>
    <w:lvl w:ilvl="8" w:tplc="EE224CD0"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45F4063C">
      <w:start w:val="1"/>
      <w:numFmt w:val="decimal"/>
      <w:pStyle w:val="ATSNumber1"/>
      <w:lvlText w:val="%1)"/>
      <w:lvlJc w:val="left"/>
      <w:pPr>
        <w:tabs>
          <w:tab w:val="num" w:pos="720"/>
        </w:tabs>
        <w:ind w:left="720" w:hanging="360"/>
      </w:pPr>
    </w:lvl>
    <w:lvl w:ilvl="1" w:tplc="8834AA6E" w:tentative="1">
      <w:start w:val="1"/>
      <w:numFmt w:val="lowerLetter"/>
      <w:lvlText w:val="%2."/>
      <w:lvlJc w:val="left"/>
      <w:pPr>
        <w:tabs>
          <w:tab w:val="num" w:pos="1440"/>
        </w:tabs>
        <w:ind w:left="1440" w:hanging="360"/>
      </w:pPr>
    </w:lvl>
    <w:lvl w:ilvl="2" w:tplc="AA96AF26" w:tentative="1">
      <w:start w:val="1"/>
      <w:numFmt w:val="lowerRoman"/>
      <w:lvlText w:val="%3."/>
      <w:lvlJc w:val="right"/>
      <w:pPr>
        <w:tabs>
          <w:tab w:val="num" w:pos="2160"/>
        </w:tabs>
        <w:ind w:left="2160" w:hanging="180"/>
      </w:pPr>
    </w:lvl>
    <w:lvl w:ilvl="3" w:tplc="C9DCBAF6" w:tentative="1">
      <w:start w:val="1"/>
      <w:numFmt w:val="decimal"/>
      <w:lvlText w:val="%4."/>
      <w:lvlJc w:val="left"/>
      <w:pPr>
        <w:tabs>
          <w:tab w:val="num" w:pos="2880"/>
        </w:tabs>
        <w:ind w:left="2880" w:hanging="360"/>
      </w:pPr>
    </w:lvl>
    <w:lvl w:ilvl="4" w:tplc="EA36CC36" w:tentative="1">
      <w:start w:val="1"/>
      <w:numFmt w:val="lowerLetter"/>
      <w:lvlText w:val="%5."/>
      <w:lvlJc w:val="left"/>
      <w:pPr>
        <w:tabs>
          <w:tab w:val="num" w:pos="3600"/>
        </w:tabs>
        <w:ind w:left="3600" w:hanging="360"/>
      </w:pPr>
    </w:lvl>
    <w:lvl w:ilvl="5" w:tplc="F23A3F0C" w:tentative="1">
      <w:start w:val="1"/>
      <w:numFmt w:val="lowerRoman"/>
      <w:lvlText w:val="%6."/>
      <w:lvlJc w:val="right"/>
      <w:pPr>
        <w:tabs>
          <w:tab w:val="num" w:pos="4320"/>
        </w:tabs>
        <w:ind w:left="4320" w:hanging="180"/>
      </w:pPr>
    </w:lvl>
    <w:lvl w:ilvl="6" w:tplc="FE62B438" w:tentative="1">
      <w:start w:val="1"/>
      <w:numFmt w:val="decimal"/>
      <w:lvlText w:val="%7."/>
      <w:lvlJc w:val="left"/>
      <w:pPr>
        <w:tabs>
          <w:tab w:val="num" w:pos="5040"/>
        </w:tabs>
        <w:ind w:left="5040" w:hanging="360"/>
      </w:pPr>
    </w:lvl>
    <w:lvl w:ilvl="7" w:tplc="7A78EF92" w:tentative="1">
      <w:start w:val="1"/>
      <w:numFmt w:val="lowerLetter"/>
      <w:lvlText w:val="%8."/>
      <w:lvlJc w:val="left"/>
      <w:pPr>
        <w:tabs>
          <w:tab w:val="num" w:pos="5760"/>
        </w:tabs>
        <w:ind w:left="5760" w:hanging="360"/>
      </w:pPr>
    </w:lvl>
    <w:lvl w:ilvl="8" w:tplc="5E0422A6"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938E2D1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C6E75F8" w:tentative="1">
      <w:start w:val="1"/>
      <w:numFmt w:val="bullet"/>
      <w:lvlText w:val="o"/>
      <w:lvlJc w:val="left"/>
      <w:pPr>
        <w:tabs>
          <w:tab w:val="num" w:pos="2517"/>
        </w:tabs>
        <w:ind w:left="2517" w:hanging="360"/>
      </w:pPr>
      <w:rPr>
        <w:rFonts w:ascii="Courier New" w:hAnsi="Courier New" w:cs="Courier New" w:hint="default"/>
      </w:rPr>
    </w:lvl>
    <w:lvl w:ilvl="2" w:tplc="2D6611A4" w:tentative="1">
      <w:start w:val="1"/>
      <w:numFmt w:val="bullet"/>
      <w:lvlText w:val=""/>
      <w:lvlJc w:val="left"/>
      <w:pPr>
        <w:tabs>
          <w:tab w:val="num" w:pos="3237"/>
        </w:tabs>
        <w:ind w:left="3237" w:hanging="360"/>
      </w:pPr>
      <w:rPr>
        <w:rFonts w:ascii="Wingdings" w:hAnsi="Wingdings" w:hint="default"/>
      </w:rPr>
    </w:lvl>
    <w:lvl w:ilvl="3" w:tplc="107CCDAE" w:tentative="1">
      <w:start w:val="1"/>
      <w:numFmt w:val="bullet"/>
      <w:lvlText w:val=""/>
      <w:lvlJc w:val="left"/>
      <w:pPr>
        <w:tabs>
          <w:tab w:val="num" w:pos="3957"/>
        </w:tabs>
        <w:ind w:left="3957" w:hanging="360"/>
      </w:pPr>
      <w:rPr>
        <w:rFonts w:ascii="Symbol" w:hAnsi="Symbol" w:hint="default"/>
      </w:rPr>
    </w:lvl>
    <w:lvl w:ilvl="4" w:tplc="4004265E" w:tentative="1">
      <w:start w:val="1"/>
      <w:numFmt w:val="bullet"/>
      <w:lvlText w:val="o"/>
      <w:lvlJc w:val="left"/>
      <w:pPr>
        <w:tabs>
          <w:tab w:val="num" w:pos="4677"/>
        </w:tabs>
        <w:ind w:left="4677" w:hanging="360"/>
      </w:pPr>
      <w:rPr>
        <w:rFonts w:ascii="Courier New" w:hAnsi="Courier New" w:cs="Courier New" w:hint="default"/>
      </w:rPr>
    </w:lvl>
    <w:lvl w:ilvl="5" w:tplc="50B8FDDA" w:tentative="1">
      <w:start w:val="1"/>
      <w:numFmt w:val="bullet"/>
      <w:lvlText w:val=""/>
      <w:lvlJc w:val="left"/>
      <w:pPr>
        <w:tabs>
          <w:tab w:val="num" w:pos="5397"/>
        </w:tabs>
        <w:ind w:left="5397" w:hanging="360"/>
      </w:pPr>
      <w:rPr>
        <w:rFonts w:ascii="Wingdings" w:hAnsi="Wingdings" w:hint="default"/>
      </w:rPr>
    </w:lvl>
    <w:lvl w:ilvl="6" w:tplc="51F21D72" w:tentative="1">
      <w:start w:val="1"/>
      <w:numFmt w:val="bullet"/>
      <w:lvlText w:val=""/>
      <w:lvlJc w:val="left"/>
      <w:pPr>
        <w:tabs>
          <w:tab w:val="num" w:pos="6117"/>
        </w:tabs>
        <w:ind w:left="6117" w:hanging="360"/>
      </w:pPr>
      <w:rPr>
        <w:rFonts w:ascii="Symbol" w:hAnsi="Symbol" w:hint="default"/>
      </w:rPr>
    </w:lvl>
    <w:lvl w:ilvl="7" w:tplc="EC0AEA80" w:tentative="1">
      <w:start w:val="1"/>
      <w:numFmt w:val="bullet"/>
      <w:lvlText w:val="o"/>
      <w:lvlJc w:val="left"/>
      <w:pPr>
        <w:tabs>
          <w:tab w:val="num" w:pos="6837"/>
        </w:tabs>
        <w:ind w:left="6837" w:hanging="360"/>
      </w:pPr>
      <w:rPr>
        <w:rFonts w:ascii="Courier New" w:hAnsi="Courier New" w:cs="Courier New" w:hint="default"/>
      </w:rPr>
    </w:lvl>
    <w:lvl w:ilvl="8" w:tplc="B7167922"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8CE6D0D0">
      <w:start w:val="1"/>
      <w:numFmt w:val="decimal"/>
      <w:pStyle w:val="ATSNumber2"/>
      <w:lvlText w:val="%1."/>
      <w:lvlJc w:val="left"/>
      <w:pPr>
        <w:tabs>
          <w:tab w:val="num" w:pos="720"/>
        </w:tabs>
        <w:ind w:left="720" w:hanging="360"/>
      </w:pPr>
      <w:rPr>
        <w:rFonts w:hint="default"/>
      </w:rPr>
    </w:lvl>
    <w:lvl w:ilvl="1" w:tplc="61489C1E" w:tentative="1">
      <w:start w:val="1"/>
      <w:numFmt w:val="lowerLetter"/>
      <w:lvlText w:val="%2."/>
      <w:lvlJc w:val="left"/>
      <w:pPr>
        <w:tabs>
          <w:tab w:val="num" w:pos="1440"/>
        </w:tabs>
        <w:ind w:left="1440" w:hanging="360"/>
      </w:pPr>
    </w:lvl>
    <w:lvl w:ilvl="2" w:tplc="C5668888" w:tentative="1">
      <w:start w:val="1"/>
      <w:numFmt w:val="lowerRoman"/>
      <w:lvlText w:val="%3."/>
      <w:lvlJc w:val="right"/>
      <w:pPr>
        <w:tabs>
          <w:tab w:val="num" w:pos="2160"/>
        </w:tabs>
        <w:ind w:left="2160" w:hanging="180"/>
      </w:pPr>
    </w:lvl>
    <w:lvl w:ilvl="3" w:tplc="4D4E1734" w:tentative="1">
      <w:start w:val="1"/>
      <w:numFmt w:val="decimal"/>
      <w:lvlText w:val="%4."/>
      <w:lvlJc w:val="left"/>
      <w:pPr>
        <w:tabs>
          <w:tab w:val="num" w:pos="2880"/>
        </w:tabs>
        <w:ind w:left="2880" w:hanging="360"/>
      </w:pPr>
    </w:lvl>
    <w:lvl w:ilvl="4" w:tplc="8408C150" w:tentative="1">
      <w:start w:val="1"/>
      <w:numFmt w:val="lowerLetter"/>
      <w:lvlText w:val="%5."/>
      <w:lvlJc w:val="left"/>
      <w:pPr>
        <w:tabs>
          <w:tab w:val="num" w:pos="3600"/>
        </w:tabs>
        <w:ind w:left="3600" w:hanging="360"/>
      </w:pPr>
    </w:lvl>
    <w:lvl w:ilvl="5" w:tplc="9D4ABB8C" w:tentative="1">
      <w:start w:val="1"/>
      <w:numFmt w:val="lowerRoman"/>
      <w:lvlText w:val="%6."/>
      <w:lvlJc w:val="right"/>
      <w:pPr>
        <w:tabs>
          <w:tab w:val="num" w:pos="4320"/>
        </w:tabs>
        <w:ind w:left="4320" w:hanging="180"/>
      </w:pPr>
    </w:lvl>
    <w:lvl w:ilvl="6" w:tplc="8D74414A" w:tentative="1">
      <w:start w:val="1"/>
      <w:numFmt w:val="decimal"/>
      <w:lvlText w:val="%7."/>
      <w:lvlJc w:val="left"/>
      <w:pPr>
        <w:tabs>
          <w:tab w:val="num" w:pos="5040"/>
        </w:tabs>
        <w:ind w:left="5040" w:hanging="360"/>
      </w:pPr>
    </w:lvl>
    <w:lvl w:ilvl="7" w:tplc="41AA6CBE" w:tentative="1">
      <w:start w:val="1"/>
      <w:numFmt w:val="lowerLetter"/>
      <w:lvlText w:val="%8."/>
      <w:lvlJc w:val="left"/>
      <w:pPr>
        <w:tabs>
          <w:tab w:val="num" w:pos="5760"/>
        </w:tabs>
        <w:ind w:left="5760" w:hanging="360"/>
      </w:pPr>
    </w:lvl>
    <w:lvl w:ilvl="8" w:tplc="1EEC9958" w:tentative="1">
      <w:start w:val="1"/>
      <w:numFmt w:val="lowerRoman"/>
      <w:lvlText w:val="%9."/>
      <w:lvlJc w:val="right"/>
      <w:pPr>
        <w:tabs>
          <w:tab w:val="num" w:pos="6480"/>
        </w:tabs>
        <w:ind w:left="6480" w:hanging="180"/>
      </w:pPr>
    </w:lvl>
  </w:abstractNum>
  <w:num w:numId="1" w16cid:durableId="603803316">
    <w:abstractNumId w:val="9"/>
  </w:num>
  <w:num w:numId="2" w16cid:durableId="475220381">
    <w:abstractNumId w:val="7"/>
  </w:num>
  <w:num w:numId="3" w16cid:durableId="552695225">
    <w:abstractNumId w:val="6"/>
  </w:num>
  <w:num w:numId="4" w16cid:durableId="633486607">
    <w:abstractNumId w:val="5"/>
  </w:num>
  <w:num w:numId="5" w16cid:durableId="1565678126">
    <w:abstractNumId w:val="4"/>
  </w:num>
  <w:num w:numId="6" w16cid:durableId="363797136">
    <w:abstractNumId w:val="8"/>
  </w:num>
  <w:num w:numId="7" w16cid:durableId="532309423">
    <w:abstractNumId w:val="3"/>
  </w:num>
  <w:num w:numId="8" w16cid:durableId="471215250">
    <w:abstractNumId w:val="2"/>
  </w:num>
  <w:num w:numId="9" w16cid:durableId="699088636">
    <w:abstractNumId w:val="1"/>
  </w:num>
  <w:num w:numId="10" w16cid:durableId="1294599341">
    <w:abstractNumId w:val="0"/>
  </w:num>
  <w:num w:numId="11" w16cid:durableId="541941203">
    <w:abstractNumId w:val="11"/>
  </w:num>
  <w:num w:numId="12" w16cid:durableId="1339960804">
    <w:abstractNumId w:val="16"/>
  </w:num>
  <w:num w:numId="13" w16cid:durableId="1379352415">
    <w:abstractNumId w:val="15"/>
  </w:num>
  <w:num w:numId="14" w16cid:durableId="2017422419">
    <w:abstractNumId w:val="13"/>
  </w:num>
  <w:num w:numId="15" w16cid:durableId="1888375506">
    <w:abstractNumId w:val="14"/>
  </w:num>
  <w:num w:numId="16" w16cid:durableId="88352411">
    <w:abstractNumId w:val="10"/>
  </w:num>
  <w:num w:numId="17" w16cid:durableId="1543715171">
    <w:abstractNumId w:val="11"/>
  </w:num>
  <w:num w:numId="18" w16cid:durableId="191387163">
    <w:abstractNumId w:val="16"/>
  </w:num>
  <w:num w:numId="19" w16cid:durableId="1544826958">
    <w:abstractNumId w:val="15"/>
  </w:num>
  <w:num w:numId="20" w16cid:durableId="1785344867">
    <w:abstractNumId w:val="17"/>
  </w:num>
  <w:num w:numId="21" w16cid:durableId="15923504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5B"/>
    <w:rsid w:val="0059755B"/>
    <w:rsid w:val="006432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2949E0"/>
  <w15:chartTrackingRefBased/>
  <w15:docId w15:val="{32ADA294-8BE7-4FD5-B466-ADC3A2673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6432E8"/>
    <w:rPr>
      <w:rFonts w:ascii="Arial" w:hAnsi="Arial"/>
      <w:b/>
      <w:i/>
      <w:sz w:val="24"/>
      <w:szCs w:val="22"/>
      <w:lang w:val="en-GB" w:eastAsia="en-GB"/>
    </w:rPr>
  </w:style>
  <w:style w:type="character" w:customStyle="1" w:styleId="markedcontent">
    <w:name w:val="markedcontent"/>
    <w:basedOn w:val="Fuentedeprrafopredeter"/>
    <w:rsid w:val="00643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vironments.aq/"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1655</Words>
  <Characters>9402</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2023-04-13T15:11:00Z</dcterms:modified>
</cp:coreProperties>
</file>