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2053" w14:textId="77777777" w:rsidR="00C26F2D" w:rsidRPr="00BF077B" w:rsidRDefault="00E561F0" w:rsidP="00BF077B">
      <w:pPr>
        <w:pStyle w:val="ATSNormal"/>
        <w:rPr>
          <w:rStyle w:val="Ttulodellibro"/>
        </w:rPr>
      </w:pPr>
    </w:p>
    <w:p w14:paraId="5767E3C5" w14:textId="77777777" w:rsidR="002F0A13" w:rsidRDefault="00E561F0" w:rsidP="004B4A60">
      <w:pPr>
        <w:rPr>
          <w:b/>
          <w:u w:val="single"/>
          <w:lang w:val="es-ES_tradnl"/>
        </w:rPr>
      </w:pPr>
    </w:p>
    <w:p w14:paraId="4799F1AE" w14:textId="77777777" w:rsidR="002F0A13" w:rsidRDefault="00E561F0" w:rsidP="004B4A60">
      <w:pPr>
        <w:rPr>
          <w:b/>
          <w:u w:val="single"/>
          <w:lang w:val="es-ES_tradnl"/>
        </w:rPr>
      </w:pPr>
    </w:p>
    <w:p w14:paraId="77D97660" w14:textId="77777777" w:rsidR="002F0A13" w:rsidRDefault="00E561F0" w:rsidP="004B4A60">
      <w:pPr>
        <w:rPr>
          <w:b/>
          <w:u w:val="single"/>
          <w:lang w:val="es-ES_tradnl"/>
        </w:rPr>
      </w:pPr>
    </w:p>
    <w:p w14:paraId="6C9F3CBB" w14:textId="77777777" w:rsidR="002F0A13" w:rsidRDefault="00E561F0" w:rsidP="004B4A60">
      <w:pPr>
        <w:rPr>
          <w:b/>
          <w:u w:val="single"/>
          <w:lang w:val="es-ES_tradnl"/>
        </w:rPr>
      </w:pPr>
    </w:p>
    <w:p w14:paraId="33E9B584" w14:textId="77777777" w:rsidR="00C26F2D" w:rsidRDefault="00E561F0" w:rsidP="004B4A60">
      <w:pPr>
        <w:rPr>
          <w:b/>
          <w:u w:val="single"/>
          <w:lang w:val="es-ES_tradnl"/>
        </w:rPr>
      </w:pPr>
    </w:p>
    <w:p w14:paraId="27E54BDE" w14:textId="77777777" w:rsidR="004B4A60" w:rsidRPr="0057246E" w:rsidRDefault="00E561F0" w:rsidP="001B789F">
      <w:pPr>
        <w:pStyle w:val="ATSTitle"/>
      </w:pPr>
      <w:bookmarkStart w:id="0" w:name="name"/>
      <w:r>
        <w:t xml:space="preserve">Urgent measures to be taken with respect to certain tourist and non-governmental activities </w:t>
      </w:r>
      <w:bookmarkEnd w:id="0"/>
    </w:p>
    <w:p w14:paraId="229C3EFE" w14:textId="77777777" w:rsidR="004B4A60" w:rsidRPr="0057246E" w:rsidRDefault="00E561F0" w:rsidP="00F75424">
      <w:pPr>
        <w:jc w:val="center"/>
      </w:pPr>
    </w:p>
    <w:p w14:paraId="5F296AB7" w14:textId="77777777" w:rsidR="004B4A60" w:rsidRPr="002F0A13" w:rsidRDefault="00E561F0" w:rsidP="002F0A13"/>
    <w:p w14:paraId="52EFE385" w14:textId="77777777" w:rsidR="004B4A60" w:rsidRDefault="00E561F0" w:rsidP="00F75424">
      <w:pPr>
        <w:jc w:val="center"/>
      </w:pPr>
      <w:bookmarkStart w:id="1" w:name="memo"/>
      <w:bookmarkEnd w:id="1"/>
    </w:p>
    <w:p w14:paraId="57F83484" w14:textId="77777777" w:rsidR="0097629D" w:rsidRDefault="00E561F0" w:rsidP="00F75424">
      <w:pPr>
        <w:jc w:val="center"/>
      </w:pPr>
    </w:p>
    <w:p w14:paraId="68038591" w14:textId="77777777" w:rsidR="0097629D" w:rsidRDefault="00E561F0" w:rsidP="00F75424">
      <w:pPr>
        <w:jc w:val="center"/>
      </w:pPr>
    </w:p>
    <w:p w14:paraId="6A27EECE" w14:textId="77777777" w:rsidR="0097629D" w:rsidRDefault="00E561F0" w:rsidP="00F75424">
      <w:pPr>
        <w:jc w:val="center"/>
      </w:pPr>
    </w:p>
    <w:p w14:paraId="19013A97" w14:textId="77777777" w:rsidR="0097629D" w:rsidRPr="00C26F2D" w:rsidRDefault="00E561F0" w:rsidP="00F75424">
      <w:pPr>
        <w:jc w:val="center"/>
      </w:pPr>
    </w:p>
    <w:p w14:paraId="5F317FF5" w14:textId="77777777" w:rsidR="004B4A60" w:rsidRPr="0057246E" w:rsidRDefault="00E561F0" w:rsidP="004B4A60"/>
    <w:p w14:paraId="0906B053" w14:textId="77777777" w:rsidR="00C26F2D" w:rsidRDefault="00E561F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6360E18" w14:textId="77777777" w:rsidR="00E561F0" w:rsidRPr="00E561F0" w:rsidRDefault="00E561F0" w:rsidP="00E561F0">
      <w:pPr>
        <w:pStyle w:val="ATSHeading1"/>
      </w:pPr>
      <w:r w:rsidRPr="00E561F0">
        <w:lastRenderedPageBreak/>
        <w:t xml:space="preserve">Urgent measures to be taken with respect to certain tourist and non-governmental </w:t>
      </w:r>
      <w:proofErr w:type="gramStart"/>
      <w:r w:rsidRPr="00E561F0">
        <w:t>activities</w:t>
      </w:r>
      <w:proofErr w:type="gramEnd"/>
    </w:p>
    <w:p w14:paraId="62C76CE8" w14:textId="77777777" w:rsidR="00E561F0" w:rsidRDefault="00E561F0" w:rsidP="00E561F0">
      <w:pPr>
        <w:pStyle w:val="Sinespaciado"/>
        <w:rPr>
          <w:rFonts w:ascii="Times New Roman" w:hAnsi="Times New Roman" w:cs="Times New Roman"/>
          <w:b/>
          <w:color w:val="000000" w:themeColor="text1"/>
          <w:lang w:val="en-GB" w:eastAsia="nl-NL"/>
        </w:rPr>
      </w:pPr>
    </w:p>
    <w:p w14:paraId="17A9F758" w14:textId="77777777" w:rsidR="00E561F0" w:rsidRPr="00C16765" w:rsidRDefault="00E561F0" w:rsidP="00E561F0">
      <w:pPr>
        <w:pStyle w:val="ATSHeading2"/>
      </w:pPr>
      <w:r w:rsidRPr="00C16765">
        <w:t>Summary</w:t>
      </w:r>
    </w:p>
    <w:p w14:paraId="6E82B67E" w14:textId="77777777" w:rsidR="00E561F0" w:rsidRDefault="00E561F0" w:rsidP="00E561F0">
      <w:pPr>
        <w:rPr>
          <w:b/>
          <w:i/>
          <w:lang w:eastAsia="nl-NL"/>
        </w:rPr>
      </w:pPr>
      <w:r w:rsidRPr="00385146">
        <w:rPr>
          <w:lang w:eastAsia="nl-NL"/>
        </w:rPr>
        <w:t xml:space="preserve">In order to address the urgency highlighted by previous formal and informal ATCM discussions regarding Antarctic </w:t>
      </w:r>
      <w:r w:rsidRPr="00A13000">
        <w:rPr>
          <w:lang w:eastAsia="nl-NL"/>
        </w:rPr>
        <w:t>tourism, in particular issues related to increasing visitor numbers and diversification of activities, France and the Netherlands propose</w:t>
      </w:r>
      <w:r w:rsidRPr="00385146">
        <w:rPr>
          <w:lang w:eastAsia="nl-NL"/>
        </w:rPr>
        <w:t xml:space="preserve"> the adoption of a </w:t>
      </w:r>
      <w:r>
        <w:rPr>
          <w:lang w:eastAsia="nl-NL"/>
        </w:rPr>
        <w:t>Resolution</w:t>
      </w:r>
      <w:r w:rsidRPr="00385146">
        <w:rPr>
          <w:lang w:eastAsia="nl-NL"/>
        </w:rPr>
        <w:t xml:space="preserve"> </w:t>
      </w:r>
      <w:r>
        <w:rPr>
          <w:lang w:eastAsia="nl-NL"/>
        </w:rPr>
        <w:t xml:space="preserve">calling on Governments to </w:t>
      </w:r>
      <w:r w:rsidRPr="00385146">
        <w:rPr>
          <w:lang w:eastAsia="nl-NL"/>
        </w:rPr>
        <w:t>prevent</w:t>
      </w:r>
      <w:r>
        <w:rPr>
          <w:lang w:eastAsia="nl-NL"/>
        </w:rPr>
        <w:t xml:space="preserve"> </w:t>
      </w:r>
      <w:r w:rsidRPr="00385146">
        <w:rPr>
          <w:lang w:eastAsia="nl-NL"/>
        </w:rPr>
        <w:t xml:space="preserve">the development of certain tourism and non-governmental activities that are found to be inconsistent with </w:t>
      </w:r>
      <w:r>
        <w:rPr>
          <w:lang w:eastAsia="nl-NL"/>
        </w:rPr>
        <w:t xml:space="preserve">rules and principles </w:t>
      </w:r>
      <w:r w:rsidRPr="00385146">
        <w:rPr>
          <w:lang w:eastAsia="nl-NL"/>
        </w:rPr>
        <w:t>of the Antarctic Treaty System</w:t>
      </w:r>
      <w:r>
        <w:rPr>
          <w:lang w:eastAsia="nl-NL"/>
        </w:rPr>
        <w:t xml:space="preserve">, </w:t>
      </w:r>
      <w:r w:rsidRPr="004E0D01">
        <w:rPr>
          <w:lang w:eastAsia="nl-NL"/>
        </w:rPr>
        <w:t>pending the completion of the discussion</w:t>
      </w:r>
      <w:r>
        <w:rPr>
          <w:lang w:eastAsia="nl-NL"/>
        </w:rPr>
        <w:t>s</w:t>
      </w:r>
      <w:r w:rsidRPr="004E0D01">
        <w:rPr>
          <w:lang w:eastAsia="nl-NL"/>
        </w:rPr>
        <w:t xml:space="preserve"> o</w:t>
      </w:r>
      <w:r>
        <w:rPr>
          <w:lang w:eastAsia="nl-NL"/>
        </w:rPr>
        <w:t>n</w:t>
      </w:r>
      <w:r w:rsidRPr="004E0D01">
        <w:rPr>
          <w:lang w:eastAsia="nl-NL"/>
        </w:rPr>
        <w:t xml:space="preserve"> a </w:t>
      </w:r>
      <w:r>
        <w:rPr>
          <w:lang w:eastAsia="nl-NL"/>
        </w:rPr>
        <w:t>comprehensive</w:t>
      </w:r>
      <w:r w:rsidRPr="004E0D01">
        <w:rPr>
          <w:lang w:eastAsia="nl-NL"/>
        </w:rPr>
        <w:t xml:space="preserve"> instrument dedicated to tourism</w:t>
      </w:r>
      <w:r>
        <w:rPr>
          <w:lang w:eastAsia="nl-NL"/>
        </w:rPr>
        <w:t>.</w:t>
      </w:r>
    </w:p>
    <w:p w14:paraId="27A00393" w14:textId="77777777" w:rsidR="00E561F0" w:rsidRPr="00555DBE" w:rsidRDefault="00E561F0" w:rsidP="00E561F0">
      <w:pPr>
        <w:pStyle w:val="ATSHeading2"/>
      </w:pPr>
      <w:r w:rsidRPr="00555DBE">
        <w:t xml:space="preserve">Introduction </w:t>
      </w:r>
    </w:p>
    <w:p w14:paraId="40B5E55C" w14:textId="77777777" w:rsidR="00E561F0" w:rsidRPr="00385146" w:rsidRDefault="00E561F0" w:rsidP="00E561F0">
      <w:pPr>
        <w:pStyle w:val="ATSNormal"/>
      </w:pPr>
      <w:r w:rsidRPr="00385146">
        <w:t>France and the Netherlands co-chaired an informal workshop on a strategic vision and policy program for Antarctic tourism, hosted by France in Paris (8 to 10 March 2023). In this framework, participants from 17 Consultative Parties, 2 Non-Consultative Parties, 4 Experts and Observer organisations discussed Antarctic tourism issues. Based on previous ATCM formal and informal discussions, the debates highlighted that he ATCM should take action to address Antarctic tourism related concerns, such as growth, diversification, monitoring</w:t>
      </w:r>
      <w:r>
        <w:t xml:space="preserve">, </w:t>
      </w:r>
      <w:r w:rsidRPr="00385146">
        <w:t>compliance</w:t>
      </w:r>
      <w:r>
        <w:t xml:space="preserve"> and governance</w:t>
      </w:r>
      <w:r w:rsidRPr="00385146">
        <w:t xml:space="preserve">. </w:t>
      </w:r>
      <w:r w:rsidRPr="004E0D01">
        <w:t>The workshop also emphasize</w:t>
      </w:r>
      <w:r>
        <w:t>d</w:t>
      </w:r>
      <w:r w:rsidRPr="004E0D01">
        <w:t xml:space="preserve"> the need to act quickly to address certain urgent issues, such as those related to </w:t>
      </w:r>
      <w:r>
        <w:t>specific</w:t>
      </w:r>
      <w:r w:rsidRPr="004E0D01">
        <w:t xml:space="preserve"> tourism activities</w:t>
      </w:r>
      <w:r>
        <w:t>. These urgent measures</w:t>
      </w:r>
      <w:r w:rsidRPr="004E0D01">
        <w:t xml:space="preserve"> are the subject of this WP.</w:t>
      </w:r>
    </w:p>
    <w:p w14:paraId="1D2CD4CA" w14:textId="77777777" w:rsidR="00E561F0" w:rsidRPr="00385146" w:rsidRDefault="00E561F0" w:rsidP="00E561F0">
      <w:pPr>
        <w:pStyle w:val="ATSNormal"/>
      </w:pPr>
    </w:p>
    <w:p w14:paraId="5BEBFF1B" w14:textId="77777777" w:rsidR="00E561F0" w:rsidRPr="00385146" w:rsidRDefault="00E561F0" w:rsidP="00E561F0">
      <w:pPr>
        <w:pStyle w:val="ATSNormal"/>
      </w:pPr>
      <w:r w:rsidRPr="00385146">
        <w:t xml:space="preserve">This WP acknowledges that the main outcome of the workshop is the proposal to discuss at ATCM 45 the draft-Decision to start a </w:t>
      </w:r>
      <w:r w:rsidRPr="00A13000">
        <w:t>dedicated process on the development of a comprehensive and consistent framework for tourism and other non-governmental activities in Antarctica (see W</w:t>
      </w:r>
      <w:r>
        <w:t xml:space="preserve">orking </w:t>
      </w:r>
      <w:r w:rsidRPr="00A13000">
        <w:t>P</w:t>
      </w:r>
      <w:r>
        <w:t>aper</w:t>
      </w:r>
      <w:r w:rsidRPr="00A13000">
        <w:t xml:space="preserve"> </w:t>
      </w:r>
      <w:r>
        <w:t xml:space="preserve">13 </w:t>
      </w:r>
      <w:r w:rsidRPr="00A13000">
        <w:t>“</w:t>
      </w:r>
      <w:r w:rsidRPr="00A13000">
        <w:rPr>
          <w:i/>
          <w:iCs/>
        </w:rPr>
        <w:t>Dedicated process for the development of a comprehensive and consistent framework for Antarctic tourism and other non-governmental activities</w:t>
      </w:r>
      <w:r>
        <w:t xml:space="preserve">” submitted to </w:t>
      </w:r>
      <w:r w:rsidRPr="00654B3C">
        <w:t>ATCM XLV</w:t>
      </w:r>
      <w:r>
        <w:t>, hereafter referred to as the “WP013”</w:t>
      </w:r>
      <w:r w:rsidRPr="00A13000">
        <w:t>). However</w:t>
      </w:r>
      <w:r w:rsidRPr="00385146">
        <w:t>, the above-mentioned urgency on identified specific issues also justif</w:t>
      </w:r>
      <w:r>
        <w:t>ies</w:t>
      </w:r>
      <w:r w:rsidRPr="00385146">
        <w:t xml:space="preserve"> a discussion on the adoption of immediate measures. </w:t>
      </w:r>
      <w:r>
        <w:t xml:space="preserve">Acknowledging that developing a comprehensive and consistent framework will take time, immediate </w:t>
      </w:r>
      <w:r w:rsidRPr="004E0D01">
        <w:t>action</w:t>
      </w:r>
      <w:r>
        <w:t xml:space="preserve"> is</w:t>
      </w:r>
      <w:r w:rsidRPr="004E0D01">
        <w:t xml:space="preserve"> necessary to prevent the continued increase and diversification of tourism activities from leading to </w:t>
      </w:r>
      <w:r>
        <w:t xml:space="preserve">a situation of </w:t>
      </w:r>
      <w:r w:rsidRPr="004E0D01">
        <w:t xml:space="preserve">hard-to-reverse non-compliance with the </w:t>
      </w:r>
      <w:r>
        <w:t xml:space="preserve">ATS </w:t>
      </w:r>
      <w:r w:rsidRPr="004E0D01">
        <w:t>rules and principles</w:t>
      </w:r>
      <w:r>
        <w:t xml:space="preserve">. </w:t>
      </w:r>
      <w:r w:rsidRPr="00517825">
        <w:t xml:space="preserve">The </w:t>
      </w:r>
      <w:r w:rsidRPr="00555DBE">
        <w:t xml:space="preserve">proponents </w:t>
      </w:r>
      <w:r w:rsidRPr="00517825">
        <w:t xml:space="preserve">would like to emphasize the complementary nature of the approaches </w:t>
      </w:r>
      <w:r w:rsidRPr="00A13000">
        <w:t xml:space="preserve">presented in </w:t>
      </w:r>
      <w:r>
        <w:t>the above-mentioned WP013</w:t>
      </w:r>
      <w:r w:rsidRPr="00A13000">
        <w:rPr>
          <w:i/>
          <w:iCs/>
        </w:rPr>
        <w:t xml:space="preserve"> </w:t>
      </w:r>
      <w:r w:rsidRPr="00A13000">
        <w:t xml:space="preserve">and the present WP. The latter does not call into question the need expressed by </w:t>
      </w:r>
      <w:r>
        <w:t>WP013</w:t>
      </w:r>
      <w:r w:rsidRPr="00A13000">
        <w:t xml:space="preserve"> to</w:t>
      </w:r>
      <w:r w:rsidRPr="00517825">
        <w:t xml:space="preserve"> break with a </w:t>
      </w:r>
      <w:r>
        <w:t>piecemeal</w:t>
      </w:r>
      <w:r w:rsidRPr="00517825">
        <w:t xml:space="preserve"> approach </w:t>
      </w:r>
      <w:r>
        <w:t>with regards to</w:t>
      </w:r>
      <w:r w:rsidRPr="00517825">
        <w:t xml:space="preserve"> tourism management. It falls within </w:t>
      </w:r>
      <w:r w:rsidRPr="00A13000">
        <w:t>a different time frame, and simply aims to address</w:t>
      </w:r>
      <w:r>
        <w:t xml:space="preserve"> urgent</w:t>
      </w:r>
      <w:r w:rsidRPr="00A13000">
        <w:t xml:space="preserve"> issues that cannot wait for the process proposed by </w:t>
      </w:r>
      <w:r>
        <w:t xml:space="preserve">the </w:t>
      </w:r>
      <w:r w:rsidRPr="00A13000">
        <w:t>WP</w:t>
      </w:r>
      <w:r>
        <w:t>013</w:t>
      </w:r>
      <w:r w:rsidRPr="00A13000">
        <w:t xml:space="preserve"> to</w:t>
      </w:r>
      <w:r w:rsidRPr="00517825">
        <w:t xml:space="preserve"> be completed.</w:t>
      </w:r>
    </w:p>
    <w:p w14:paraId="07A691B8" w14:textId="77777777" w:rsidR="00E561F0" w:rsidRPr="0062031C" w:rsidRDefault="00E561F0" w:rsidP="00E561F0">
      <w:pPr>
        <w:pStyle w:val="ATSHeading2"/>
      </w:pPr>
      <w:r w:rsidRPr="0062031C">
        <w:t>‘No regret’ measures</w:t>
      </w:r>
    </w:p>
    <w:p w14:paraId="1C30EA55" w14:textId="77777777" w:rsidR="00E561F0" w:rsidRDefault="00E561F0" w:rsidP="00E561F0">
      <w:pPr>
        <w:pStyle w:val="ATSNormal"/>
      </w:pPr>
      <w:r w:rsidRPr="00555DBE">
        <w:t>Based on the discussions in the Paris Workshop, the proponents of this WP</w:t>
      </w:r>
      <w:r>
        <w:t xml:space="preserve"> propose to the ATCM to discourage the following activities from being carried out in the Antarctic:</w:t>
      </w:r>
    </w:p>
    <w:p w14:paraId="1B9A71FC" w14:textId="77777777" w:rsidR="00E561F0" w:rsidRPr="00171E2B" w:rsidRDefault="00E561F0" w:rsidP="00E561F0">
      <w:pPr>
        <w:pStyle w:val="ATSBullet1"/>
        <w:numPr>
          <w:ilvl w:val="0"/>
          <w:numId w:val="11"/>
        </w:numPr>
        <w:rPr>
          <w:lang w:val="en-US"/>
        </w:rPr>
      </w:pPr>
      <w:r w:rsidRPr="00171E2B">
        <w:rPr>
          <w:lang w:val="en-US"/>
        </w:rPr>
        <w:t xml:space="preserve">overnight camping in the top-20 </w:t>
      </w:r>
      <w:r>
        <w:rPr>
          <w:lang w:val="en-US"/>
        </w:rPr>
        <w:t>most visited</w:t>
      </w:r>
      <w:r w:rsidRPr="00171E2B">
        <w:rPr>
          <w:lang w:val="en-US"/>
        </w:rPr>
        <w:t xml:space="preserve"> </w:t>
      </w:r>
      <w:proofErr w:type="gramStart"/>
      <w:r w:rsidRPr="00171E2B">
        <w:rPr>
          <w:lang w:val="en-US"/>
        </w:rPr>
        <w:t>sites;</w:t>
      </w:r>
      <w:proofErr w:type="gramEnd"/>
    </w:p>
    <w:p w14:paraId="0F137F61" w14:textId="77777777" w:rsidR="00E561F0" w:rsidRPr="00171E2B" w:rsidRDefault="00E561F0" w:rsidP="00E561F0">
      <w:pPr>
        <w:pStyle w:val="ATSBullet1"/>
        <w:numPr>
          <w:ilvl w:val="0"/>
          <w:numId w:val="11"/>
        </w:numPr>
        <w:rPr>
          <w:lang w:eastAsia="nl-NL"/>
        </w:rPr>
      </w:pPr>
      <w:r w:rsidRPr="00171E2B">
        <w:rPr>
          <w:lang w:eastAsia="nl-NL"/>
        </w:rPr>
        <w:lastRenderedPageBreak/>
        <w:t>any off-ship activities in Antarctica from vessels carrying more than 500 passengers (additionally to the landing prohibition of Measure 15 (2009)</w:t>
      </w:r>
      <w:r>
        <w:rPr>
          <w:lang w:eastAsia="nl-NL"/>
        </w:rPr>
        <w:t>)</w:t>
      </w:r>
      <w:r w:rsidRPr="00171E2B">
        <w:rPr>
          <w:lang w:eastAsia="nl-NL"/>
        </w:rPr>
        <w:t xml:space="preserve">, to ensure these activities are real ‘cruise only’ </w:t>
      </w:r>
      <w:proofErr w:type="gramStart"/>
      <w:r w:rsidRPr="00171E2B">
        <w:rPr>
          <w:lang w:eastAsia="nl-NL"/>
        </w:rPr>
        <w:t>activities;</w:t>
      </w:r>
      <w:proofErr w:type="gramEnd"/>
    </w:p>
    <w:p w14:paraId="7A0A73DE" w14:textId="77777777" w:rsidR="00E561F0" w:rsidRPr="00171E2B" w:rsidRDefault="00E561F0" w:rsidP="00E561F0">
      <w:pPr>
        <w:pStyle w:val="ATSBullet1"/>
        <w:numPr>
          <w:ilvl w:val="0"/>
          <w:numId w:val="11"/>
        </w:numPr>
        <w:rPr>
          <w:lang w:eastAsia="nl-NL"/>
        </w:rPr>
      </w:pPr>
      <w:r w:rsidRPr="00171E2B">
        <w:rPr>
          <w:lang w:eastAsia="nl-NL"/>
        </w:rPr>
        <w:t>helicopter</w:t>
      </w:r>
      <w:r>
        <w:rPr>
          <w:lang w:eastAsia="nl-NL"/>
        </w:rPr>
        <w:t xml:space="preserve"> </w:t>
      </w:r>
      <w:r w:rsidRPr="005176E9">
        <w:rPr>
          <w:lang w:eastAsia="nl-NL"/>
        </w:rPr>
        <w:t>or any other motorized land vehicle</w:t>
      </w:r>
      <w:r w:rsidRPr="00171E2B">
        <w:rPr>
          <w:lang w:eastAsia="nl-NL"/>
        </w:rPr>
        <w:t xml:space="preserve"> use for tourism and other non-governmental activities, except in case of emergencies and for the purpose of enhancing human </w:t>
      </w:r>
      <w:proofErr w:type="gramStart"/>
      <w:r w:rsidRPr="00171E2B">
        <w:rPr>
          <w:lang w:eastAsia="nl-NL"/>
        </w:rPr>
        <w:t>safety;</w:t>
      </w:r>
      <w:proofErr w:type="gramEnd"/>
    </w:p>
    <w:p w14:paraId="7E0BFE5C" w14:textId="77777777" w:rsidR="00E561F0" w:rsidRDefault="00E561F0" w:rsidP="00E561F0">
      <w:pPr>
        <w:pStyle w:val="ATSBullet1"/>
        <w:numPr>
          <w:ilvl w:val="0"/>
          <w:numId w:val="11"/>
        </w:numPr>
        <w:rPr>
          <w:lang w:val="en-US"/>
        </w:rPr>
      </w:pPr>
      <w:bookmarkStart w:id="8" w:name="_Hlk130478344"/>
      <w:r w:rsidRPr="00D64B82">
        <w:rPr>
          <w:lang w:eastAsia="nl-NL"/>
        </w:rPr>
        <w:t>site visits that are not covered by ATCM or IAATO site-specific guidelines</w:t>
      </w:r>
      <w:bookmarkEnd w:id="8"/>
      <w:r>
        <w:rPr>
          <w:lang w:eastAsia="nl-NL"/>
        </w:rPr>
        <w:t xml:space="preserve"> and/or ATCM management plans</w:t>
      </w:r>
      <w:r>
        <w:rPr>
          <w:lang w:val="en-US"/>
        </w:rPr>
        <w:t xml:space="preserve"> and/or </w:t>
      </w:r>
      <w:r w:rsidRPr="00171E2B">
        <w:rPr>
          <w:lang w:val="en-US"/>
        </w:rPr>
        <w:t>visits to sites that have never been visited by tourists or other non-governmental activities</w:t>
      </w:r>
      <w:r>
        <w:rPr>
          <w:lang w:val="en-US"/>
        </w:rPr>
        <w:t>.</w:t>
      </w:r>
    </w:p>
    <w:p w14:paraId="2D2A1339" w14:textId="77777777" w:rsidR="00E561F0" w:rsidRDefault="00E561F0" w:rsidP="00E561F0">
      <w:pPr>
        <w:pStyle w:val="ATSNormal"/>
        <w:rPr>
          <w:lang w:val="en-US"/>
        </w:rPr>
      </w:pPr>
      <w:r>
        <w:rPr>
          <w:lang w:val="en-US"/>
        </w:rPr>
        <w:t>The proponents of this WP consider that these activities may contravene Article 3 of the P</w:t>
      </w:r>
      <w:r w:rsidRPr="00343668">
        <w:rPr>
          <w:lang w:val="en-US"/>
        </w:rPr>
        <w:t xml:space="preserve">rotocol on </w:t>
      </w:r>
      <w:r>
        <w:rPr>
          <w:lang w:val="en-US"/>
        </w:rPr>
        <w:t>E</w:t>
      </w:r>
      <w:r w:rsidRPr="00343668">
        <w:rPr>
          <w:lang w:val="en-US"/>
        </w:rPr>
        <w:t xml:space="preserve">nvironmental </w:t>
      </w:r>
      <w:r>
        <w:rPr>
          <w:lang w:val="en-US"/>
        </w:rPr>
        <w:t>P</w:t>
      </w:r>
      <w:r w:rsidRPr="00343668">
        <w:rPr>
          <w:lang w:val="en-US"/>
        </w:rPr>
        <w:t xml:space="preserve">rotection to the </w:t>
      </w:r>
      <w:r>
        <w:rPr>
          <w:lang w:val="en-US"/>
        </w:rPr>
        <w:t xml:space="preserve">Antarctic </w:t>
      </w:r>
      <w:r w:rsidRPr="00343668">
        <w:rPr>
          <w:lang w:val="en-US"/>
        </w:rPr>
        <w:t>Treaty</w:t>
      </w:r>
      <w:r>
        <w:rPr>
          <w:lang w:val="en-US"/>
        </w:rPr>
        <w:t xml:space="preserve">. </w:t>
      </w:r>
      <w:r w:rsidRPr="00285B9D">
        <w:rPr>
          <w:lang w:val="en-US"/>
        </w:rPr>
        <w:t>Overnight stays, off-ship activities conducted by large numbers of passengers</w:t>
      </w:r>
      <w:r>
        <w:rPr>
          <w:lang w:val="en-US"/>
        </w:rPr>
        <w:t xml:space="preserve"> during a long period of the day</w:t>
      </w:r>
      <w:r w:rsidRPr="00285B9D">
        <w:rPr>
          <w:lang w:val="en-US"/>
        </w:rPr>
        <w:t xml:space="preserve">, recreational use of motorized vehicles, visits to </w:t>
      </w:r>
      <w:r>
        <w:rPr>
          <w:lang w:val="en-US"/>
        </w:rPr>
        <w:t>unexplored</w:t>
      </w:r>
      <w:r w:rsidRPr="00285B9D">
        <w:rPr>
          <w:lang w:val="en-US"/>
        </w:rPr>
        <w:t xml:space="preserve"> sites, or access to new wildlife colonies on which little or no scientific data are available, are found to be inconsistent </w:t>
      </w:r>
      <w:r>
        <w:rPr>
          <w:lang w:val="en-US"/>
        </w:rPr>
        <w:t xml:space="preserve">with the respect of </w:t>
      </w:r>
      <w:r w:rsidRPr="00285B9D">
        <w:rPr>
          <w:lang w:val="en-US"/>
        </w:rPr>
        <w:t>the intrinsic value of Antarctica, including its wilderness and aesthetic</w:t>
      </w:r>
      <w:r>
        <w:rPr>
          <w:lang w:val="en-US"/>
        </w:rPr>
        <w:t xml:space="preserve"> </w:t>
      </w:r>
      <w:r w:rsidRPr="00285B9D">
        <w:rPr>
          <w:lang w:val="en-US"/>
        </w:rPr>
        <w:t>values and its value as an area for the conduct of scientific research</w:t>
      </w:r>
      <w:r>
        <w:rPr>
          <w:lang w:val="en-US"/>
        </w:rPr>
        <w:t>. In addition, these activities may pose safety issues that could pose serious threats on the ability of operators to respond efficiently and timely to incidents.</w:t>
      </w:r>
    </w:p>
    <w:p w14:paraId="423038AA" w14:textId="77777777" w:rsidR="00E561F0" w:rsidRDefault="00E561F0" w:rsidP="00E561F0">
      <w:pPr>
        <w:pStyle w:val="ATSNormal"/>
        <w:rPr>
          <w:lang w:val="en-US"/>
        </w:rPr>
      </w:pPr>
      <w:r>
        <w:rPr>
          <w:lang w:val="en-US"/>
        </w:rPr>
        <w:t>P</w:t>
      </w:r>
      <w:r w:rsidRPr="004E0D01">
        <w:rPr>
          <w:lang w:val="en-US"/>
        </w:rPr>
        <w:t xml:space="preserve">roponents of this WP suggest </w:t>
      </w:r>
      <w:r w:rsidRPr="00517825">
        <w:rPr>
          <w:lang w:val="en-US"/>
        </w:rPr>
        <w:t>that the implementation of these activities be discouraged through a specific Resolution.</w:t>
      </w:r>
      <w:r w:rsidRPr="00517825" w:rsidDel="00517825">
        <w:rPr>
          <w:lang w:val="en-US"/>
        </w:rPr>
        <w:t xml:space="preserve"> </w:t>
      </w:r>
      <w:r>
        <w:rPr>
          <w:lang w:val="en-US"/>
        </w:rPr>
        <w:t xml:space="preserve">It </w:t>
      </w:r>
      <w:r w:rsidRPr="004E0D01">
        <w:rPr>
          <w:lang w:val="en-US"/>
        </w:rPr>
        <w:t>will have the following benefits:</w:t>
      </w:r>
    </w:p>
    <w:p w14:paraId="4EFAAC1F" w14:textId="77777777" w:rsidR="00E561F0" w:rsidRDefault="00E561F0" w:rsidP="00E561F0">
      <w:pPr>
        <w:pStyle w:val="ATSBullet1"/>
        <w:numPr>
          <w:ilvl w:val="0"/>
          <w:numId w:val="11"/>
        </w:numPr>
        <w:rPr>
          <w:lang w:val="en-US"/>
        </w:rPr>
      </w:pPr>
      <w:r w:rsidRPr="00C3295E">
        <w:rPr>
          <w:lang w:val="en-US"/>
        </w:rPr>
        <w:t xml:space="preserve">It will provide the </w:t>
      </w:r>
      <w:r>
        <w:rPr>
          <w:lang w:val="en-US"/>
        </w:rPr>
        <w:t>P</w:t>
      </w:r>
      <w:r w:rsidRPr="00C3295E">
        <w:rPr>
          <w:lang w:val="en-US"/>
        </w:rPr>
        <w:t>arties with an ATCM instrument to use to prevent the development</w:t>
      </w:r>
      <w:r w:rsidRPr="00C3295E" w:rsidDel="00C3295E">
        <w:rPr>
          <w:lang w:val="en-US"/>
        </w:rPr>
        <w:t xml:space="preserve"> </w:t>
      </w:r>
      <w:r w:rsidRPr="00343668">
        <w:rPr>
          <w:lang w:val="en-US"/>
        </w:rPr>
        <w:t xml:space="preserve">of activities that are not in line with the principles, values and rules of the ATS, </w:t>
      </w:r>
      <w:r>
        <w:rPr>
          <w:lang w:val="en-US"/>
        </w:rPr>
        <w:t xml:space="preserve">especially article 3 of the EP, </w:t>
      </w:r>
      <w:r w:rsidRPr="00343668">
        <w:rPr>
          <w:lang w:val="en-US"/>
        </w:rPr>
        <w:t xml:space="preserve">taking into account the fact that it is easier to act before these activities develop too widely, </w:t>
      </w:r>
      <w:r>
        <w:rPr>
          <w:lang w:val="en-US"/>
        </w:rPr>
        <w:t xml:space="preserve">while </w:t>
      </w:r>
      <w:r w:rsidRPr="00343668">
        <w:rPr>
          <w:lang w:val="en-US"/>
        </w:rPr>
        <w:t>it is more difficult to go back and stop activities that have already been deployed</w:t>
      </w:r>
      <w:r>
        <w:rPr>
          <w:lang w:val="en-US"/>
        </w:rPr>
        <w:t xml:space="preserve"> at a large scale;</w:t>
      </w:r>
    </w:p>
    <w:p w14:paraId="01A9FD5A" w14:textId="77777777" w:rsidR="00E561F0" w:rsidRDefault="00E561F0" w:rsidP="00E561F0">
      <w:pPr>
        <w:pStyle w:val="ATSBullet1"/>
        <w:numPr>
          <w:ilvl w:val="0"/>
          <w:numId w:val="11"/>
        </w:numPr>
        <w:rPr>
          <w:lang w:val="en-US"/>
        </w:rPr>
      </w:pPr>
      <w:r>
        <w:rPr>
          <w:lang w:val="en-US"/>
        </w:rPr>
        <w:t xml:space="preserve">It will contribute to meet the </w:t>
      </w:r>
      <w:r w:rsidRPr="00514AE0">
        <w:rPr>
          <w:lang w:val="en-US"/>
        </w:rPr>
        <w:t>General Principles of Antarctic Tourism</w:t>
      </w:r>
      <w:r>
        <w:rPr>
          <w:lang w:val="en-US"/>
        </w:rPr>
        <w:t xml:space="preserve"> adopted by Resolution 7 (2009</w:t>
      </w:r>
      <w:proofErr w:type="gramStart"/>
      <w:r>
        <w:rPr>
          <w:lang w:val="en-US"/>
        </w:rPr>
        <w:t>);</w:t>
      </w:r>
      <w:proofErr w:type="gramEnd"/>
    </w:p>
    <w:p w14:paraId="7169223C" w14:textId="77777777" w:rsidR="00E561F0" w:rsidRDefault="00E561F0" w:rsidP="00E561F0">
      <w:pPr>
        <w:pStyle w:val="ATSBullet1"/>
        <w:numPr>
          <w:ilvl w:val="0"/>
          <w:numId w:val="11"/>
        </w:numPr>
        <w:rPr>
          <w:lang w:val="en-US"/>
        </w:rPr>
      </w:pPr>
      <w:r>
        <w:rPr>
          <w:lang w:val="en-US"/>
        </w:rPr>
        <w:t>I</w:t>
      </w:r>
      <w:r w:rsidRPr="00285B9D">
        <w:rPr>
          <w:lang w:val="en-US"/>
        </w:rPr>
        <w:t>t will allow for the harmonization of practices of all Parties, avoid inconsistency</w:t>
      </w:r>
      <w:r>
        <w:rPr>
          <w:lang w:val="en-US"/>
        </w:rPr>
        <w:t xml:space="preserve"> in this regard</w:t>
      </w:r>
      <w:r w:rsidRPr="00285B9D">
        <w:rPr>
          <w:lang w:val="en-US"/>
        </w:rPr>
        <w:t>, and thus provide a level playing field for operators</w:t>
      </w:r>
      <w:r>
        <w:rPr>
          <w:lang w:val="en-US"/>
        </w:rPr>
        <w:t>.</w:t>
      </w:r>
    </w:p>
    <w:p w14:paraId="69534F02" w14:textId="77777777" w:rsidR="00E561F0" w:rsidRDefault="00E561F0" w:rsidP="00E561F0">
      <w:pPr>
        <w:pStyle w:val="ATSHeading2"/>
      </w:pPr>
      <w:r>
        <w:t>Proposals to the 45</w:t>
      </w:r>
      <w:r w:rsidRPr="00171E2B">
        <w:rPr>
          <w:vertAlign w:val="superscript"/>
        </w:rPr>
        <w:t>th</w:t>
      </w:r>
      <w:r>
        <w:t xml:space="preserve"> ATCM in Helsinki</w:t>
      </w:r>
    </w:p>
    <w:p w14:paraId="3C0AE4CE" w14:textId="77777777" w:rsidR="00E561F0" w:rsidRDefault="00E561F0" w:rsidP="00E561F0">
      <w:pPr>
        <w:shd w:val="clear" w:color="auto" w:fill="FFFFFF"/>
        <w:rPr>
          <w:color w:val="000000" w:themeColor="text1"/>
          <w:sz w:val="24"/>
          <w:lang w:eastAsia="nl-NL"/>
        </w:rPr>
      </w:pPr>
    </w:p>
    <w:p w14:paraId="08F88DF4" w14:textId="77777777" w:rsidR="00E561F0" w:rsidRPr="00645155" w:rsidRDefault="00E561F0" w:rsidP="00E561F0">
      <w:pPr>
        <w:pStyle w:val="ATSNormal"/>
      </w:pPr>
      <w:r w:rsidRPr="00171E2B">
        <w:t>France</w:t>
      </w:r>
      <w:r>
        <w:t xml:space="preserve"> and </w:t>
      </w:r>
      <w:r w:rsidRPr="00171E2B">
        <w:t xml:space="preserve">the Netherlands, propose to the </w:t>
      </w:r>
      <w:r>
        <w:t>4</w:t>
      </w:r>
      <w:r w:rsidRPr="00171E2B">
        <w:t>5</w:t>
      </w:r>
      <w:r w:rsidRPr="00171E2B">
        <w:rPr>
          <w:vertAlign w:val="superscript"/>
        </w:rPr>
        <w:t>th</w:t>
      </w:r>
      <w:r w:rsidRPr="00171E2B">
        <w:t xml:space="preserve"> ATCM in Helsinki</w:t>
      </w:r>
      <w:r w:rsidRPr="00645155">
        <w:t>:</w:t>
      </w:r>
    </w:p>
    <w:p w14:paraId="426A7852" w14:textId="77777777" w:rsidR="00E561F0" w:rsidRPr="00171E2B" w:rsidRDefault="00E561F0" w:rsidP="00E561F0">
      <w:pPr>
        <w:shd w:val="clear" w:color="auto" w:fill="FFFFFF"/>
        <w:rPr>
          <w:color w:val="000000" w:themeColor="text1"/>
          <w:sz w:val="24"/>
          <w:lang w:eastAsia="nl-NL"/>
        </w:rPr>
      </w:pPr>
    </w:p>
    <w:p w14:paraId="0996C1DA" w14:textId="77777777" w:rsidR="00E561F0" w:rsidRPr="00FB4707" w:rsidRDefault="00E561F0" w:rsidP="00E561F0">
      <w:pPr>
        <w:pStyle w:val="ATSBullet1"/>
        <w:numPr>
          <w:ilvl w:val="0"/>
          <w:numId w:val="11"/>
        </w:numPr>
        <w:rPr>
          <w:color w:val="000000" w:themeColor="text1"/>
          <w:lang w:eastAsia="nl-NL"/>
        </w:rPr>
      </w:pPr>
      <w:r w:rsidRPr="00645155">
        <w:rPr>
          <w:color w:val="000000" w:themeColor="text1"/>
          <w:lang w:eastAsia="nl-NL"/>
        </w:rPr>
        <w:t>to d</w:t>
      </w:r>
      <w:r w:rsidRPr="00171E2B">
        <w:rPr>
          <w:color w:val="000000" w:themeColor="text1"/>
          <w:lang w:eastAsia="nl-NL"/>
        </w:rPr>
        <w:t>iscuss</w:t>
      </w:r>
      <w:r>
        <w:rPr>
          <w:color w:val="000000" w:themeColor="text1"/>
          <w:lang w:eastAsia="nl-NL"/>
        </w:rPr>
        <w:t xml:space="preserve"> and adopt</w:t>
      </w:r>
      <w:r w:rsidRPr="00645155">
        <w:rPr>
          <w:color w:val="000000" w:themeColor="text1"/>
          <w:lang w:eastAsia="nl-NL"/>
        </w:rPr>
        <w:t xml:space="preserve"> </w:t>
      </w:r>
      <w:r>
        <w:t>the proposed</w:t>
      </w:r>
      <w:r w:rsidRPr="00645155">
        <w:t xml:space="preserve"> </w:t>
      </w:r>
      <w:r>
        <w:t xml:space="preserve">Resolution annexed to the present </w:t>
      </w:r>
      <w:proofErr w:type="gramStart"/>
      <w:r>
        <w:t>WP</w:t>
      </w:r>
      <w:proofErr w:type="gramEnd"/>
      <w:r>
        <w:t xml:space="preserve"> </w:t>
      </w:r>
    </w:p>
    <w:p w14:paraId="7797766C" w14:textId="77777777" w:rsidR="00E561F0" w:rsidRDefault="00E561F0" w:rsidP="00E561F0">
      <w:pPr>
        <w:pStyle w:val="ATSBullet1"/>
        <w:numPr>
          <w:ilvl w:val="0"/>
          <w:numId w:val="0"/>
        </w:numPr>
        <w:rPr>
          <w:color w:val="000000" w:themeColor="text1"/>
          <w:lang w:eastAsia="nl-NL"/>
        </w:rPr>
      </w:pPr>
    </w:p>
    <w:p w14:paraId="08A71036" w14:textId="77777777" w:rsidR="00E561F0" w:rsidRDefault="00E561F0" w:rsidP="00E561F0">
      <w:pPr>
        <w:rPr>
          <w:color w:val="000000" w:themeColor="text1"/>
          <w:sz w:val="28"/>
          <w:szCs w:val="28"/>
          <w:lang w:eastAsia="nl-NL"/>
        </w:rPr>
      </w:pPr>
      <w:r>
        <w:rPr>
          <w:color w:val="000000" w:themeColor="text1"/>
          <w:sz w:val="28"/>
          <w:szCs w:val="28"/>
          <w:lang w:eastAsia="nl-NL"/>
        </w:rPr>
        <w:br w:type="page"/>
      </w:r>
    </w:p>
    <w:p w14:paraId="0C25AE94" w14:textId="77777777" w:rsidR="00E561F0" w:rsidRDefault="00E561F0" w:rsidP="00E561F0">
      <w:pPr>
        <w:pStyle w:val="ATSHeading1"/>
      </w:pPr>
      <w:r>
        <w:lastRenderedPageBreak/>
        <w:t>Resolution XX (2023)</w:t>
      </w:r>
    </w:p>
    <w:p w14:paraId="6CF8F1AB" w14:textId="2589772C" w:rsidR="00E561F0" w:rsidRPr="00E561F0" w:rsidRDefault="00E561F0" w:rsidP="00E561F0">
      <w:pPr>
        <w:pStyle w:val="ATSNormal"/>
        <w:jc w:val="center"/>
      </w:pPr>
      <w:r>
        <w:t>[title]</w:t>
      </w:r>
    </w:p>
    <w:p w14:paraId="1CA717C5" w14:textId="77777777" w:rsidR="00E561F0" w:rsidRPr="0062031C" w:rsidRDefault="00E561F0" w:rsidP="00E561F0">
      <w:pPr>
        <w:pStyle w:val="ATSNormal"/>
        <w:rPr>
          <w:sz w:val="24"/>
        </w:rPr>
      </w:pPr>
    </w:p>
    <w:p w14:paraId="5147964A" w14:textId="77777777" w:rsidR="00E561F0" w:rsidRPr="006F133C" w:rsidRDefault="00E561F0" w:rsidP="00E561F0">
      <w:pPr>
        <w:pStyle w:val="ATSNormal"/>
        <w:rPr>
          <w:szCs w:val="22"/>
        </w:rPr>
      </w:pPr>
      <w:r w:rsidRPr="0062031C">
        <w:rPr>
          <w:sz w:val="24"/>
        </w:rPr>
        <w:br/>
      </w:r>
      <w:r w:rsidRPr="006F133C">
        <w:rPr>
          <w:szCs w:val="22"/>
        </w:rPr>
        <w:t>The Representatives,</w:t>
      </w:r>
      <w:r w:rsidRPr="006F133C">
        <w:rPr>
          <w:szCs w:val="22"/>
        </w:rPr>
        <w:br/>
      </w:r>
      <w:r w:rsidRPr="006F133C">
        <w:rPr>
          <w:szCs w:val="22"/>
        </w:rPr>
        <w:br/>
        <w:t xml:space="preserve">Concerned about the continuing and substantial increase in the numbers and diversity of tourism and other non-governmental activities in </w:t>
      </w:r>
      <w:proofErr w:type="gramStart"/>
      <w:r w:rsidRPr="006F133C">
        <w:rPr>
          <w:szCs w:val="22"/>
        </w:rPr>
        <w:t>Antarctica;</w:t>
      </w:r>
      <w:proofErr w:type="gramEnd"/>
    </w:p>
    <w:p w14:paraId="425D77CA" w14:textId="77777777" w:rsidR="00E561F0" w:rsidRPr="006F133C" w:rsidRDefault="00E561F0" w:rsidP="00E561F0">
      <w:pPr>
        <w:pStyle w:val="ATSNormal"/>
        <w:rPr>
          <w:szCs w:val="22"/>
        </w:rPr>
      </w:pPr>
      <w:r w:rsidRPr="006F133C">
        <w:rPr>
          <w:szCs w:val="22"/>
        </w:rPr>
        <w:t xml:space="preserve">Acknowledging that the concerns associated with the growth, diversification, monitoring, compliance and governance in relation to Antarctic tourism and other non-governmental activities in Antarctica require the ATCM to take urgent responsibility for international governance </w:t>
      </w:r>
      <w:proofErr w:type="gramStart"/>
      <w:r w:rsidRPr="006F133C">
        <w:rPr>
          <w:szCs w:val="22"/>
        </w:rPr>
        <w:t>action;</w:t>
      </w:r>
      <w:proofErr w:type="gramEnd"/>
    </w:p>
    <w:p w14:paraId="16C9513C" w14:textId="77777777" w:rsidR="00E561F0" w:rsidRPr="006F133C" w:rsidRDefault="00E561F0" w:rsidP="00E561F0">
      <w:pPr>
        <w:pStyle w:val="ATSNormal"/>
        <w:rPr>
          <w:szCs w:val="22"/>
        </w:rPr>
      </w:pPr>
      <w:r w:rsidRPr="006F133C">
        <w:rPr>
          <w:szCs w:val="22"/>
        </w:rPr>
        <w:t>Recalling Resolutions 2 (2022), which adopted and updated lists of sites subject to Site Guidelines for Visitors (“Site Guidelines”</w:t>
      </w:r>
      <w:proofErr w:type="gramStart"/>
      <w:r w:rsidRPr="006F133C">
        <w:rPr>
          <w:szCs w:val="22"/>
        </w:rPr>
        <w:t>);</w:t>
      </w:r>
      <w:proofErr w:type="gramEnd"/>
    </w:p>
    <w:p w14:paraId="443E1DE6" w14:textId="77777777" w:rsidR="00E561F0" w:rsidRPr="006F133C" w:rsidRDefault="00E561F0" w:rsidP="00E561F0">
      <w:pPr>
        <w:pStyle w:val="ATSNormal"/>
        <w:rPr>
          <w:szCs w:val="22"/>
        </w:rPr>
      </w:pPr>
      <w:r w:rsidRPr="006F133C">
        <w:rPr>
          <w:szCs w:val="22"/>
        </w:rPr>
        <w:t>Recalling Measure 15 (2009) and the “General Principles of Antarctic Tourism” adopted by Resolution 7 (2009</w:t>
      </w:r>
      <w:proofErr w:type="gramStart"/>
      <w:r w:rsidRPr="006F133C">
        <w:rPr>
          <w:szCs w:val="22"/>
        </w:rPr>
        <w:t>);</w:t>
      </w:r>
      <w:proofErr w:type="gramEnd"/>
    </w:p>
    <w:p w14:paraId="1E0DD5C0" w14:textId="77777777" w:rsidR="00E561F0" w:rsidRPr="0062031C" w:rsidRDefault="00E561F0" w:rsidP="00E561F0">
      <w:pPr>
        <w:pStyle w:val="ATSNormal"/>
        <w:rPr>
          <w:sz w:val="24"/>
        </w:rPr>
      </w:pPr>
    </w:p>
    <w:p w14:paraId="13CDEE62" w14:textId="77777777" w:rsidR="00E561F0" w:rsidRPr="00FB4707" w:rsidRDefault="00E561F0" w:rsidP="00E561F0">
      <w:pPr>
        <w:pStyle w:val="ATSNormal"/>
        <w:rPr>
          <w:sz w:val="24"/>
        </w:rPr>
      </w:pPr>
      <w:r>
        <w:t xml:space="preserve">Recommend that their </w:t>
      </w:r>
      <w:proofErr w:type="gramStart"/>
      <w:r>
        <w:t>Governments</w:t>
      </w:r>
      <w:proofErr w:type="gramEnd"/>
      <w:r w:rsidRPr="00FB4707">
        <w:rPr>
          <w:sz w:val="24"/>
        </w:rPr>
        <w:t>:</w:t>
      </w:r>
    </w:p>
    <w:p w14:paraId="5E3EF1F4" w14:textId="77777777" w:rsidR="00E561F0" w:rsidRPr="00FB4707" w:rsidRDefault="00E561F0" w:rsidP="00E561F0">
      <w:pPr>
        <w:rPr>
          <w:color w:val="000000" w:themeColor="text1"/>
          <w:sz w:val="24"/>
          <w:lang w:eastAsia="nl-NL"/>
        </w:rPr>
      </w:pPr>
    </w:p>
    <w:p w14:paraId="2FD4FB01" w14:textId="77777777" w:rsidR="00E561F0" w:rsidRPr="00C60E4B" w:rsidRDefault="00E561F0" w:rsidP="00E561F0">
      <w:pPr>
        <w:pStyle w:val="ATSBullet1"/>
        <w:numPr>
          <w:ilvl w:val="0"/>
          <w:numId w:val="11"/>
        </w:numPr>
        <w:rPr>
          <w:color w:val="000000" w:themeColor="text1"/>
          <w:lang w:eastAsia="nl-NL"/>
        </w:rPr>
      </w:pPr>
      <w:r>
        <w:t xml:space="preserve">Require their operators organizing or conducting tourist or other non-governmental activities in the Antarctic Treaty area, for which advance notification is required in accordance with Article </w:t>
      </w:r>
      <w:proofErr w:type="gramStart"/>
      <w:r>
        <w:t>VII(</w:t>
      </w:r>
      <w:proofErr w:type="gramEnd"/>
      <w:r>
        <w:t>5) of the Antarctic Treaty:</w:t>
      </w:r>
    </w:p>
    <w:p w14:paraId="18AE1548" w14:textId="77777777" w:rsidR="00E561F0" w:rsidRPr="000379FF" w:rsidRDefault="00E561F0" w:rsidP="00E561F0">
      <w:pPr>
        <w:pStyle w:val="ATSNumber2"/>
        <w:rPr>
          <w:color w:val="000000" w:themeColor="text1"/>
          <w:lang w:eastAsia="nl-NL"/>
        </w:rPr>
      </w:pPr>
      <w:r>
        <w:t xml:space="preserve">to refrain from conducting overnight camping activities in </w:t>
      </w:r>
      <w:r w:rsidRPr="0087060B">
        <w:t>Top Twenty Most-Visited Sites between the 2016-17 and 2021-22</w:t>
      </w:r>
      <w:r>
        <w:t xml:space="preserve"> seasons, as listed in Appendix 1 to the present </w:t>
      </w:r>
      <w:proofErr w:type="gramStart"/>
      <w:r>
        <w:t>Resolution;</w:t>
      </w:r>
      <w:proofErr w:type="gramEnd"/>
      <w:r>
        <w:t xml:space="preserve"> </w:t>
      </w:r>
    </w:p>
    <w:p w14:paraId="69731C4F" w14:textId="77777777" w:rsidR="00E561F0" w:rsidRPr="0087060B" w:rsidRDefault="00E561F0" w:rsidP="00E561F0">
      <w:pPr>
        <w:pStyle w:val="ATSNumber2"/>
      </w:pPr>
      <w:r>
        <w:t xml:space="preserve">to refrain from conducting </w:t>
      </w:r>
      <w:r w:rsidRPr="0087060B">
        <w:t xml:space="preserve">any off-ship activities in Antarctica from vessels carrying more than 500 </w:t>
      </w:r>
      <w:proofErr w:type="gramStart"/>
      <w:r w:rsidRPr="0087060B">
        <w:t>passengers;</w:t>
      </w:r>
      <w:proofErr w:type="gramEnd"/>
    </w:p>
    <w:p w14:paraId="0011E289" w14:textId="77777777" w:rsidR="00E561F0" w:rsidRPr="0087060B" w:rsidRDefault="00E561F0" w:rsidP="00E561F0">
      <w:pPr>
        <w:pStyle w:val="ATSNumber2"/>
      </w:pPr>
      <w:r>
        <w:t xml:space="preserve">to refrain from using </w:t>
      </w:r>
      <w:r w:rsidRPr="0087060B">
        <w:t xml:space="preserve">helicopter or any other motorized land vehicle for tourism and other non-governmental activities, except in case of emergencies and for the purpose of enhancing human </w:t>
      </w:r>
      <w:proofErr w:type="gramStart"/>
      <w:r w:rsidRPr="0087060B">
        <w:t>safety;</w:t>
      </w:r>
      <w:proofErr w:type="gramEnd"/>
    </w:p>
    <w:p w14:paraId="492C6175" w14:textId="77777777" w:rsidR="00E561F0" w:rsidRPr="0087060B" w:rsidRDefault="00E561F0" w:rsidP="00E561F0">
      <w:pPr>
        <w:pStyle w:val="ATSNumber2"/>
      </w:pPr>
      <w:r>
        <w:t xml:space="preserve">to refrain from landing in sites </w:t>
      </w:r>
      <w:r w:rsidRPr="0087060B">
        <w:t>that are not covered by ATCM or IAATO site-specific guidelines and/or ATCM management plans and/or visits to sites that have never been visited by tourists or other non-governmental activities.</w:t>
      </w:r>
    </w:p>
    <w:p w14:paraId="46A3AE7B" w14:textId="77777777" w:rsidR="00E561F0" w:rsidRDefault="00E561F0" w:rsidP="00E561F0">
      <w:pPr>
        <w:pStyle w:val="ATSNumber2"/>
        <w:numPr>
          <w:ilvl w:val="0"/>
          <w:numId w:val="0"/>
        </w:numPr>
        <w:ind w:left="720"/>
      </w:pPr>
    </w:p>
    <w:p w14:paraId="10697828" w14:textId="77777777" w:rsidR="00E561F0" w:rsidRDefault="00E561F0" w:rsidP="00E561F0">
      <w:pPr>
        <w:pStyle w:val="ATSNumber2"/>
        <w:numPr>
          <w:ilvl w:val="0"/>
          <w:numId w:val="0"/>
        </w:numPr>
        <w:ind w:left="720"/>
      </w:pPr>
    </w:p>
    <w:p w14:paraId="39335758" w14:textId="77777777" w:rsidR="00E561F0" w:rsidRDefault="00E561F0" w:rsidP="00E561F0">
      <w:pPr>
        <w:pStyle w:val="ATSNumber2"/>
        <w:numPr>
          <w:ilvl w:val="0"/>
          <w:numId w:val="0"/>
        </w:numPr>
        <w:ind w:left="360"/>
      </w:pPr>
    </w:p>
    <w:p w14:paraId="01AAA962" w14:textId="77777777" w:rsidR="00E561F0" w:rsidRDefault="00E561F0" w:rsidP="00E561F0">
      <w:pPr>
        <w:pStyle w:val="ATSNumber2"/>
        <w:numPr>
          <w:ilvl w:val="0"/>
          <w:numId w:val="0"/>
        </w:numPr>
        <w:ind w:left="360"/>
      </w:pPr>
    </w:p>
    <w:p w14:paraId="0B30C2FC" w14:textId="77777777" w:rsidR="00E561F0" w:rsidRDefault="00E561F0" w:rsidP="00E561F0">
      <w:pPr>
        <w:pStyle w:val="ATSNumber2"/>
        <w:numPr>
          <w:ilvl w:val="0"/>
          <w:numId w:val="0"/>
        </w:numPr>
        <w:ind w:left="360"/>
      </w:pPr>
    </w:p>
    <w:p w14:paraId="68B501BB" w14:textId="77777777" w:rsidR="00E561F0" w:rsidRDefault="00E561F0" w:rsidP="00E561F0">
      <w:pPr>
        <w:pStyle w:val="ATSHeading2"/>
      </w:pPr>
    </w:p>
    <w:p w14:paraId="03105F02" w14:textId="77777777" w:rsidR="00E561F0" w:rsidRDefault="00E561F0" w:rsidP="00E561F0">
      <w:pPr>
        <w:pStyle w:val="ATSHeading2"/>
      </w:pPr>
    </w:p>
    <w:p w14:paraId="2619927D" w14:textId="77777777" w:rsidR="00E561F0" w:rsidRPr="006F133C" w:rsidRDefault="00E561F0" w:rsidP="00E561F0">
      <w:pPr>
        <w:pStyle w:val="ATSNormal"/>
      </w:pPr>
    </w:p>
    <w:p w14:paraId="6808319C" w14:textId="77777777" w:rsidR="00E561F0" w:rsidRDefault="00E561F0" w:rsidP="00E561F0">
      <w:pPr>
        <w:pStyle w:val="ATSHeading2"/>
      </w:pPr>
    </w:p>
    <w:p w14:paraId="3E15992F" w14:textId="0F55C235" w:rsidR="00E561F0" w:rsidRPr="0087060B" w:rsidRDefault="00E561F0" w:rsidP="00E561F0">
      <w:pPr>
        <w:pStyle w:val="ATSHeading2"/>
      </w:pPr>
      <w:r w:rsidRPr="0087060B">
        <w:t>Appendix 1</w:t>
      </w:r>
    </w:p>
    <w:p w14:paraId="5DA26D66" w14:textId="77777777" w:rsidR="00E561F0" w:rsidRDefault="00E561F0" w:rsidP="00E561F0">
      <w:pPr>
        <w:pStyle w:val="ATSNumber2"/>
        <w:numPr>
          <w:ilvl w:val="0"/>
          <w:numId w:val="0"/>
        </w:numPr>
        <w:ind w:left="360"/>
      </w:pPr>
    </w:p>
    <w:p w14:paraId="3B4BCD47" w14:textId="77777777" w:rsidR="00E561F0" w:rsidRDefault="00E561F0" w:rsidP="00E561F0">
      <w:pPr>
        <w:ind w:left="1416" w:hanging="1416"/>
        <w:rPr>
          <w:lang w:val="en-US"/>
        </w:rPr>
      </w:pPr>
      <w:r>
        <w:rPr>
          <w:bCs/>
          <w:lang w:val="en-US"/>
        </w:rPr>
        <w:t>Top Twenty Most-Visited Sites between the 2016-17 and 2021-22 seasons (including yacht visits), 2020-21 season excluded (Ref. IP 43, ATCM XLIV, IAATO)</w:t>
      </w:r>
    </w:p>
    <w:p w14:paraId="660EF3DC" w14:textId="77777777" w:rsidR="00E561F0" w:rsidRDefault="00E561F0" w:rsidP="00E561F0">
      <w:pPr>
        <w:rPr>
          <w:lang w:val="en-US"/>
        </w:rPr>
      </w:pPr>
    </w:p>
    <w:tbl>
      <w:tblPr>
        <w:tblW w:w="2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tblGrid>
      <w:tr w:rsidR="00E561F0" w14:paraId="405A7E1D"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66AE1B4E" w14:textId="77777777" w:rsidR="00E561F0" w:rsidRPr="00D20C4F" w:rsidRDefault="00E561F0" w:rsidP="00377899">
            <w:pPr>
              <w:rPr>
                <w:szCs w:val="22"/>
                <w:lang w:val="en-US" w:eastAsia="en-GB"/>
              </w:rPr>
            </w:pPr>
            <w:bookmarkStart w:id="9" w:name="OLE_LINK3"/>
            <w:proofErr w:type="spellStart"/>
            <w:r w:rsidRPr="00D20C4F">
              <w:rPr>
                <w:szCs w:val="22"/>
                <w:lang w:val="en-US" w:eastAsia="en-GB"/>
              </w:rPr>
              <w:t>Goudier</w:t>
            </w:r>
            <w:proofErr w:type="spellEnd"/>
            <w:r w:rsidRPr="00D20C4F">
              <w:rPr>
                <w:szCs w:val="22"/>
                <w:lang w:val="en-US" w:eastAsia="en-GB"/>
              </w:rPr>
              <w:t xml:space="preserve"> Island</w:t>
            </w:r>
          </w:p>
        </w:tc>
      </w:tr>
      <w:tr w:rsidR="00E561F0" w14:paraId="57C7B64D"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6AA50542" w14:textId="77777777" w:rsidR="00E561F0" w:rsidRPr="00D20C4F" w:rsidRDefault="00E561F0" w:rsidP="00377899">
            <w:pPr>
              <w:rPr>
                <w:szCs w:val="22"/>
                <w:lang w:val="en-US" w:eastAsia="en-GB"/>
              </w:rPr>
            </w:pPr>
            <w:proofErr w:type="spellStart"/>
            <w:r w:rsidRPr="00D20C4F">
              <w:rPr>
                <w:szCs w:val="22"/>
                <w:lang w:val="en-US" w:eastAsia="en-GB"/>
              </w:rPr>
              <w:t>Neko</w:t>
            </w:r>
            <w:proofErr w:type="spellEnd"/>
            <w:r w:rsidRPr="00D20C4F">
              <w:rPr>
                <w:szCs w:val="22"/>
                <w:lang w:val="en-US" w:eastAsia="en-GB"/>
              </w:rPr>
              <w:t xml:space="preserve"> Harbor</w:t>
            </w:r>
          </w:p>
        </w:tc>
      </w:tr>
      <w:tr w:rsidR="00E561F0" w14:paraId="3BD6F85A"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23A99572" w14:textId="77777777" w:rsidR="00E561F0" w:rsidRPr="00D20C4F" w:rsidRDefault="00E561F0" w:rsidP="00377899">
            <w:pPr>
              <w:rPr>
                <w:szCs w:val="22"/>
                <w:lang w:val="en-US" w:eastAsia="en-GB"/>
              </w:rPr>
            </w:pPr>
            <w:proofErr w:type="spellStart"/>
            <w:r w:rsidRPr="00D20C4F">
              <w:rPr>
                <w:szCs w:val="22"/>
                <w:lang w:val="en-US" w:eastAsia="en-GB"/>
              </w:rPr>
              <w:t>Cuverville</w:t>
            </w:r>
            <w:proofErr w:type="spellEnd"/>
            <w:r w:rsidRPr="00D20C4F">
              <w:rPr>
                <w:szCs w:val="22"/>
                <w:lang w:val="en-US" w:eastAsia="en-GB"/>
              </w:rPr>
              <w:t xml:space="preserve"> Island</w:t>
            </w:r>
          </w:p>
        </w:tc>
      </w:tr>
      <w:tr w:rsidR="00E561F0" w14:paraId="147159CA"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4102688A" w14:textId="77777777" w:rsidR="00E561F0" w:rsidRPr="00D20C4F" w:rsidRDefault="00E561F0" w:rsidP="00377899">
            <w:pPr>
              <w:rPr>
                <w:szCs w:val="22"/>
                <w:lang w:val="en-US" w:eastAsia="en-GB"/>
              </w:rPr>
            </w:pPr>
            <w:r w:rsidRPr="00D20C4F">
              <w:rPr>
                <w:szCs w:val="22"/>
                <w:lang w:val="en-US" w:eastAsia="en-GB"/>
              </w:rPr>
              <w:t>Whalers Bay</w:t>
            </w:r>
          </w:p>
        </w:tc>
      </w:tr>
      <w:tr w:rsidR="00E561F0" w:rsidRPr="0087060B" w14:paraId="00A65C0F" w14:textId="77777777" w:rsidTr="00377899">
        <w:trPr>
          <w:trHeight w:val="752"/>
        </w:trPr>
        <w:tc>
          <w:tcPr>
            <w:tcW w:w="2990" w:type="dxa"/>
            <w:tcBorders>
              <w:top w:val="single" w:sz="4" w:space="0" w:color="auto"/>
              <w:left w:val="single" w:sz="4" w:space="0" w:color="auto"/>
              <w:bottom w:val="single" w:sz="4" w:space="0" w:color="auto"/>
              <w:right w:val="single" w:sz="4" w:space="0" w:color="auto"/>
            </w:tcBorders>
            <w:vAlign w:val="center"/>
            <w:hideMark/>
          </w:tcPr>
          <w:p w14:paraId="5B8E6430" w14:textId="77777777" w:rsidR="00E561F0" w:rsidRPr="00D20C4F" w:rsidRDefault="00E561F0" w:rsidP="00377899">
            <w:pPr>
              <w:rPr>
                <w:szCs w:val="22"/>
                <w:lang w:val="en-US" w:eastAsia="en-GB"/>
              </w:rPr>
            </w:pPr>
            <w:r w:rsidRPr="00D20C4F">
              <w:rPr>
                <w:szCs w:val="22"/>
                <w:lang w:val="en-US" w:eastAsia="en-GB"/>
              </w:rPr>
              <w:t>Half Moon Island - Chinstrap Colony</w:t>
            </w:r>
          </w:p>
        </w:tc>
      </w:tr>
      <w:tr w:rsidR="00E561F0" w14:paraId="1FF1FD53"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09265E08" w14:textId="77777777" w:rsidR="00E561F0" w:rsidRPr="00D20C4F" w:rsidRDefault="00E561F0" w:rsidP="00377899">
            <w:pPr>
              <w:rPr>
                <w:szCs w:val="22"/>
                <w:lang w:val="en-US" w:eastAsia="en-GB"/>
              </w:rPr>
            </w:pPr>
            <w:r w:rsidRPr="00D20C4F">
              <w:rPr>
                <w:szCs w:val="22"/>
                <w:lang w:val="en-US" w:eastAsia="en-GB"/>
              </w:rPr>
              <w:t>Brown Station</w:t>
            </w:r>
          </w:p>
        </w:tc>
      </w:tr>
      <w:tr w:rsidR="00E561F0" w14:paraId="3192B7F2"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219022C6" w14:textId="77777777" w:rsidR="00E561F0" w:rsidRPr="00D20C4F" w:rsidRDefault="00E561F0" w:rsidP="00377899">
            <w:pPr>
              <w:rPr>
                <w:szCs w:val="22"/>
                <w:lang w:val="en-US" w:eastAsia="en-GB"/>
              </w:rPr>
            </w:pPr>
            <w:proofErr w:type="spellStart"/>
            <w:r w:rsidRPr="00D20C4F">
              <w:rPr>
                <w:szCs w:val="22"/>
                <w:lang w:val="en-US" w:eastAsia="en-GB"/>
              </w:rPr>
              <w:t>Danco</w:t>
            </w:r>
            <w:proofErr w:type="spellEnd"/>
            <w:r w:rsidRPr="00D20C4F">
              <w:rPr>
                <w:szCs w:val="22"/>
                <w:lang w:val="en-US" w:eastAsia="en-GB"/>
              </w:rPr>
              <w:t xml:space="preserve"> Island</w:t>
            </w:r>
          </w:p>
        </w:tc>
      </w:tr>
      <w:tr w:rsidR="00E561F0" w14:paraId="0B24D6AA"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64A78EF9" w14:textId="77777777" w:rsidR="00E561F0" w:rsidRPr="00D20C4F" w:rsidRDefault="00E561F0" w:rsidP="00377899">
            <w:pPr>
              <w:rPr>
                <w:szCs w:val="22"/>
                <w:lang w:val="en-US" w:eastAsia="en-GB"/>
              </w:rPr>
            </w:pPr>
            <w:proofErr w:type="spellStart"/>
            <w:r w:rsidRPr="00D20C4F">
              <w:rPr>
                <w:szCs w:val="22"/>
                <w:lang w:val="en-US" w:eastAsia="en-GB"/>
              </w:rPr>
              <w:t>Jougla</w:t>
            </w:r>
            <w:proofErr w:type="spellEnd"/>
            <w:r w:rsidRPr="00D20C4F">
              <w:rPr>
                <w:szCs w:val="22"/>
                <w:lang w:val="en-US" w:eastAsia="en-GB"/>
              </w:rPr>
              <w:t xml:space="preserve"> Point</w:t>
            </w:r>
          </w:p>
        </w:tc>
      </w:tr>
      <w:tr w:rsidR="00E561F0" w14:paraId="4174ACF9"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1F4BFEA4" w14:textId="77777777" w:rsidR="00E561F0" w:rsidRPr="00D20C4F" w:rsidRDefault="00E561F0" w:rsidP="00377899">
            <w:pPr>
              <w:rPr>
                <w:szCs w:val="22"/>
                <w:lang w:val="en-US" w:eastAsia="en-GB"/>
              </w:rPr>
            </w:pPr>
            <w:proofErr w:type="spellStart"/>
            <w:r w:rsidRPr="00D20C4F">
              <w:rPr>
                <w:szCs w:val="22"/>
                <w:lang w:val="en-US" w:eastAsia="en-GB"/>
              </w:rPr>
              <w:t>Petermann</w:t>
            </w:r>
            <w:proofErr w:type="spellEnd"/>
            <w:r w:rsidRPr="00D20C4F">
              <w:rPr>
                <w:szCs w:val="22"/>
                <w:lang w:val="en-US" w:eastAsia="en-GB"/>
              </w:rPr>
              <w:t xml:space="preserve"> Island</w:t>
            </w:r>
          </w:p>
        </w:tc>
      </w:tr>
      <w:tr w:rsidR="00E561F0" w14:paraId="4B18D84A"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341CACAA" w14:textId="77777777" w:rsidR="00E561F0" w:rsidRPr="00D20C4F" w:rsidRDefault="00E561F0" w:rsidP="00377899">
            <w:pPr>
              <w:rPr>
                <w:szCs w:val="22"/>
                <w:lang w:val="en-US" w:eastAsia="en-GB"/>
              </w:rPr>
            </w:pPr>
            <w:r w:rsidRPr="00D20C4F">
              <w:rPr>
                <w:szCs w:val="22"/>
                <w:lang w:val="en-US" w:eastAsia="en-GB"/>
              </w:rPr>
              <w:t>Brown Bluff</w:t>
            </w:r>
          </w:p>
        </w:tc>
      </w:tr>
      <w:tr w:rsidR="00E561F0" w14:paraId="75A27C51" w14:textId="77777777" w:rsidTr="00377899">
        <w:trPr>
          <w:trHeight w:val="595"/>
        </w:trPr>
        <w:tc>
          <w:tcPr>
            <w:tcW w:w="2990" w:type="dxa"/>
            <w:tcBorders>
              <w:top w:val="single" w:sz="4" w:space="0" w:color="auto"/>
              <w:left w:val="single" w:sz="4" w:space="0" w:color="auto"/>
              <w:bottom w:val="single" w:sz="4" w:space="0" w:color="auto"/>
              <w:right w:val="single" w:sz="4" w:space="0" w:color="auto"/>
            </w:tcBorders>
            <w:vAlign w:val="center"/>
            <w:hideMark/>
          </w:tcPr>
          <w:p w14:paraId="132E6341" w14:textId="77777777" w:rsidR="00E561F0" w:rsidRPr="00D20C4F" w:rsidRDefault="00E561F0" w:rsidP="00377899">
            <w:pPr>
              <w:rPr>
                <w:szCs w:val="22"/>
                <w:lang w:val="en-US" w:eastAsia="en-GB"/>
              </w:rPr>
            </w:pPr>
            <w:r w:rsidRPr="00D20C4F">
              <w:rPr>
                <w:szCs w:val="22"/>
                <w:lang w:val="en-US" w:eastAsia="en-GB"/>
              </w:rPr>
              <w:t>Mikkelsen Harbor (</w:t>
            </w:r>
            <w:proofErr w:type="spellStart"/>
            <w:r w:rsidRPr="00D20C4F">
              <w:rPr>
                <w:szCs w:val="22"/>
                <w:lang w:val="en-US" w:eastAsia="en-GB"/>
              </w:rPr>
              <w:t>D'Hainaut</w:t>
            </w:r>
            <w:proofErr w:type="spellEnd"/>
            <w:r w:rsidRPr="00D20C4F">
              <w:rPr>
                <w:szCs w:val="22"/>
                <w:lang w:val="en-US" w:eastAsia="en-GB"/>
              </w:rPr>
              <w:t>)</w:t>
            </w:r>
          </w:p>
        </w:tc>
      </w:tr>
      <w:tr w:rsidR="00E561F0" w14:paraId="039DF06A"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7588291B" w14:textId="77777777" w:rsidR="00E561F0" w:rsidRPr="00D20C4F" w:rsidRDefault="00E561F0" w:rsidP="00377899">
            <w:pPr>
              <w:rPr>
                <w:szCs w:val="22"/>
                <w:lang w:val="en-US" w:eastAsia="en-GB"/>
              </w:rPr>
            </w:pPr>
            <w:proofErr w:type="spellStart"/>
            <w:r w:rsidRPr="00D20C4F">
              <w:rPr>
                <w:szCs w:val="22"/>
                <w:lang w:val="en-US" w:eastAsia="en-GB"/>
              </w:rPr>
              <w:t>Damoy</w:t>
            </w:r>
            <w:proofErr w:type="spellEnd"/>
            <w:r w:rsidRPr="00D20C4F">
              <w:rPr>
                <w:szCs w:val="22"/>
                <w:lang w:val="en-US" w:eastAsia="en-GB"/>
              </w:rPr>
              <w:t xml:space="preserve"> Point/Dorian Bay</w:t>
            </w:r>
          </w:p>
        </w:tc>
      </w:tr>
      <w:tr w:rsidR="00E561F0" w14:paraId="35D28FFA" w14:textId="77777777" w:rsidTr="00377899">
        <w:trPr>
          <w:trHeight w:val="710"/>
        </w:trPr>
        <w:tc>
          <w:tcPr>
            <w:tcW w:w="2990" w:type="dxa"/>
            <w:tcBorders>
              <w:top w:val="single" w:sz="4" w:space="0" w:color="auto"/>
              <w:left w:val="single" w:sz="4" w:space="0" w:color="auto"/>
              <w:bottom w:val="single" w:sz="4" w:space="0" w:color="auto"/>
              <w:right w:val="single" w:sz="4" w:space="0" w:color="auto"/>
            </w:tcBorders>
            <w:vAlign w:val="center"/>
            <w:hideMark/>
          </w:tcPr>
          <w:p w14:paraId="5D1CD2DF" w14:textId="77777777" w:rsidR="00E561F0" w:rsidRPr="00D20C4F" w:rsidRDefault="00E561F0" w:rsidP="00377899">
            <w:pPr>
              <w:rPr>
                <w:szCs w:val="22"/>
                <w:lang w:val="en-US" w:eastAsia="en-GB"/>
              </w:rPr>
            </w:pPr>
            <w:proofErr w:type="spellStart"/>
            <w:r w:rsidRPr="00D20C4F">
              <w:rPr>
                <w:szCs w:val="22"/>
                <w:lang w:val="en-US" w:eastAsia="en-GB"/>
              </w:rPr>
              <w:t>Aitcho</w:t>
            </w:r>
            <w:proofErr w:type="spellEnd"/>
            <w:r w:rsidRPr="00D20C4F">
              <w:rPr>
                <w:szCs w:val="22"/>
                <w:lang w:val="en-US" w:eastAsia="en-GB"/>
              </w:rPr>
              <w:t xml:space="preserve"> Islands - Barrientos Island</w:t>
            </w:r>
          </w:p>
        </w:tc>
      </w:tr>
      <w:tr w:rsidR="00E561F0" w14:paraId="5863DC66"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69EA30ED" w14:textId="77777777" w:rsidR="00E561F0" w:rsidRPr="00D20C4F" w:rsidRDefault="00E561F0" w:rsidP="00377899">
            <w:pPr>
              <w:rPr>
                <w:szCs w:val="22"/>
                <w:lang w:val="en-US" w:eastAsia="en-GB"/>
              </w:rPr>
            </w:pPr>
            <w:r w:rsidRPr="00D20C4F">
              <w:rPr>
                <w:szCs w:val="22"/>
                <w:lang w:val="en-US" w:eastAsia="en-GB"/>
              </w:rPr>
              <w:t>Portal Point</w:t>
            </w:r>
          </w:p>
        </w:tc>
      </w:tr>
      <w:tr w:rsidR="00E561F0" w14:paraId="64614335"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0A0B08E7" w14:textId="77777777" w:rsidR="00E561F0" w:rsidRPr="00D20C4F" w:rsidRDefault="00E561F0" w:rsidP="00377899">
            <w:pPr>
              <w:rPr>
                <w:szCs w:val="22"/>
                <w:lang w:val="en-US" w:eastAsia="en-GB"/>
              </w:rPr>
            </w:pPr>
            <w:proofErr w:type="spellStart"/>
            <w:r w:rsidRPr="00D20C4F">
              <w:rPr>
                <w:szCs w:val="22"/>
                <w:lang w:val="en-US" w:eastAsia="en-GB"/>
              </w:rPr>
              <w:t>Vernadsky</w:t>
            </w:r>
            <w:proofErr w:type="spellEnd"/>
            <w:r w:rsidRPr="00D20C4F">
              <w:rPr>
                <w:szCs w:val="22"/>
                <w:lang w:val="en-US" w:eastAsia="en-GB"/>
              </w:rPr>
              <w:t xml:space="preserve"> Station</w:t>
            </w:r>
          </w:p>
        </w:tc>
      </w:tr>
      <w:tr w:rsidR="00E561F0" w14:paraId="26ED5DDA"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025C386D" w14:textId="77777777" w:rsidR="00E561F0" w:rsidRPr="00D20C4F" w:rsidRDefault="00E561F0" w:rsidP="00377899">
            <w:pPr>
              <w:rPr>
                <w:szCs w:val="22"/>
                <w:lang w:val="en-US" w:eastAsia="en-GB"/>
              </w:rPr>
            </w:pPr>
            <w:r w:rsidRPr="00D20C4F">
              <w:rPr>
                <w:szCs w:val="22"/>
                <w:lang w:val="en-US" w:eastAsia="en-GB"/>
              </w:rPr>
              <w:t>Orne Harbor</w:t>
            </w:r>
          </w:p>
        </w:tc>
      </w:tr>
      <w:tr w:rsidR="00E561F0" w14:paraId="6D3A197E"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7B364D22" w14:textId="77777777" w:rsidR="00E561F0" w:rsidRPr="00D20C4F" w:rsidRDefault="00E561F0" w:rsidP="00377899">
            <w:pPr>
              <w:rPr>
                <w:szCs w:val="22"/>
                <w:lang w:val="en-US" w:eastAsia="en-GB"/>
              </w:rPr>
            </w:pPr>
            <w:r w:rsidRPr="00D20C4F">
              <w:rPr>
                <w:szCs w:val="22"/>
                <w:lang w:val="en-US" w:eastAsia="en-GB"/>
              </w:rPr>
              <w:t>Yankee Harbor</w:t>
            </w:r>
          </w:p>
        </w:tc>
      </w:tr>
      <w:tr w:rsidR="00E561F0" w14:paraId="7F7EE3B8"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68F0F89F" w14:textId="77777777" w:rsidR="00E561F0" w:rsidRPr="00D20C4F" w:rsidRDefault="00E561F0" w:rsidP="00377899">
            <w:pPr>
              <w:rPr>
                <w:szCs w:val="22"/>
                <w:lang w:val="en-US" w:eastAsia="en-GB"/>
              </w:rPr>
            </w:pPr>
            <w:proofErr w:type="spellStart"/>
            <w:r w:rsidRPr="00D20C4F">
              <w:rPr>
                <w:szCs w:val="22"/>
                <w:lang w:val="en-US" w:eastAsia="en-GB"/>
              </w:rPr>
              <w:t>Pleneau</w:t>
            </w:r>
            <w:proofErr w:type="spellEnd"/>
            <w:r w:rsidRPr="00D20C4F">
              <w:rPr>
                <w:szCs w:val="22"/>
                <w:lang w:val="en-US" w:eastAsia="en-GB"/>
              </w:rPr>
              <w:t xml:space="preserve"> Island</w:t>
            </w:r>
          </w:p>
        </w:tc>
      </w:tr>
      <w:tr w:rsidR="00E561F0" w14:paraId="22B8ACD6"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41F302A1" w14:textId="77777777" w:rsidR="00E561F0" w:rsidRPr="00D20C4F" w:rsidRDefault="00E561F0" w:rsidP="00377899">
            <w:pPr>
              <w:rPr>
                <w:szCs w:val="22"/>
                <w:lang w:val="en-US" w:eastAsia="en-GB"/>
              </w:rPr>
            </w:pPr>
            <w:proofErr w:type="spellStart"/>
            <w:r w:rsidRPr="00D20C4F">
              <w:rPr>
                <w:szCs w:val="22"/>
                <w:lang w:val="en-US" w:eastAsia="en-GB"/>
              </w:rPr>
              <w:t>Telefon</w:t>
            </w:r>
            <w:proofErr w:type="spellEnd"/>
            <w:r w:rsidRPr="00D20C4F">
              <w:rPr>
                <w:szCs w:val="22"/>
                <w:lang w:val="en-US" w:eastAsia="en-GB"/>
              </w:rPr>
              <w:t xml:space="preserve"> Bay</w:t>
            </w:r>
          </w:p>
        </w:tc>
      </w:tr>
      <w:tr w:rsidR="00E561F0" w14:paraId="1126C9C4" w14:textId="77777777" w:rsidTr="00377899">
        <w:trPr>
          <w:trHeight w:val="541"/>
        </w:trPr>
        <w:tc>
          <w:tcPr>
            <w:tcW w:w="2990" w:type="dxa"/>
            <w:tcBorders>
              <w:top w:val="single" w:sz="4" w:space="0" w:color="auto"/>
              <w:left w:val="single" w:sz="4" w:space="0" w:color="auto"/>
              <w:bottom w:val="single" w:sz="4" w:space="0" w:color="auto"/>
              <w:right w:val="single" w:sz="4" w:space="0" w:color="auto"/>
            </w:tcBorders>
            <w:vAlign w:val="center"/>
            <w:hideMark/>
          </w:tcPr>
          <w:p w14:paraId="21CB591F" w14:textId="77777777" w:rsidR="00E561F0" w:rsidRPr="00D20C4F" w:rsidRDefault="00E561F0" w:rsidP="00377899">
            <w:pPr>
              <w:rPr>
                <w:szCs w:val="22"/>
                <w:lang w:val="en-US" w:eastAsia="en-GB"/>
              </w:rPr>
            </w:pPr>
            <w:r w:rsidRPr="00D20C4F">
              <w:rPr>
                <w:szCs w:val="22"/>
                <w:lang w:val="en-US" w:eastAsia="en-GB"/>
              </w:rPr>
              <w:t>Port Charcot</w:t>
            </w:r>
          </w:p>
        </w:tc>
      </w:tr>
      <w:bookmarkEnd w:id="9"/>
    </w:tbl>
    <w:p w14:paraId="60A71D38" w14:textId="77777777" w:rsidR="004B4A60" w:rsidRDefault="00E561F0" w:rsidP="00952E9F"/>
    <w:sectPr w:rsidR="004B4A6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D114" w14:textId="77777777" w:rsidR="00000000" w:rsidRDefault="00E561F0">
      <w:r>
        <w:separator/>
      </w:r>
    </w:p>
  </w:endnote>
  <w:endnote w:type="continuationSeparator" w:id="0">
    <w:p w14:paraId="780FAE95" w14:textId="77777777" w:rsidR="00000000" w:rsidRDefault="00E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8FBF" w14:textId="77777777" w:rsidR="00FA0B9F" w:rsidRDefault="00E561F0" w:rsidP="00CF5C82">
    <w:pPr>
      <w:framePr w:wrap="around" w:vAnchor="text" w:hAnchor="margin" w:xAlign="right" w:y="1"/>
    </w:pPr>
    <w:r>
      <w:fldChar w:fldCharType="begin"/>
    </w:r>
    <w:r>
      <w:instrText xml:space="preserve">PAGE  </w:instrText>
    </w:r>
    <w:r>
      <w:fldChar w:fldCharType="separate"/>
    </w:r>
    <w:r>
      <w:fldChar w:fldCharType="end"/>
    </w:r>
  </w:p>
  <w:p w14:paraId="7AD3657B" w14:textId="77777777" w:rsidR="00FA0B9F" w:rsidRDefault="00E561F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1E40" w14:textId="77777777" w:rsidR="00FA0B9F" w:rsidRDefault="00E561F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BD5767C" w14:textId="22F578EE" w:rsidR="00FA0B9F" w:rsidRDefault="00E561F0" w:rsidP="00E561F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389F" w14:textId="77777777" w:rsidR="00E311C9" w:rsidRDefault="00E561F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20C14BD" w14:textId="77777777" w:rsidR="00E311C9" w:rsidRDefault="00E561F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C89C" w14:textId="77777777" w:rsidR="00000000" w:rsidRDefault="00E561F0">
      <w:r>
        <w:separator/>
      </w:r>
    </w:p>
  </w:footnote>
  <w:footnote w:type="continuationSeparator" w:id="0">
    <w:p w14:paraId="20A17FB3" w14:textId="77777777" w:rsidR="00000000" w:rsidRDefault="00E56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E4200" w14:paraId="46EAA501" w14:textId="77777777" w:rsidTr="002E12EC">
      <w:trPr>
        <w:trHeight w:val="344"/>
        <w:jc w:val="center"/>
      </w:trPr>
      <w:tc>
        <w:tcPr>
          <w:tcW w:w="5495" w:type="dxa"/>
        </w:tcPr>
        <w:p w14:paraId="1B906632" w14:textId="77777777" w:rsidR="00DB7C09" w:rsidRDefault="00E561F0" w:rsidP="00F968D4"/>
      </w:tc>
      <w:tc>
        <w:tcPr>
          <w:tcW w:w="4253" w:type="dxa"/>
          <w:gridSpan w:val="2"/>
        </w:tcPr>
        <w:p w14:paraId="0DAD56CC" w14:textId="77777777" w:rsidR="00DB7C09" w:rsidRPr="00BD47E4" w:rsidRDefault="00E561F0" w:rsidP="002A07BC">
          <w:pPr>
            <w:jc w:val="right"/>
            <w:rPr>
              <w:b/>
              <w:sz w:val="32"/>
              <w:szCs w:val="32"/>
            </w:rPr>
          </w:pPr>
          <w:bookmarkStart w:id="2" w:name="type"/>
          <w:r w:rsidRPr="00BD47E4">
            <w:rPr>
              <w:b/>
              <w:sz w:val="32"/>
              <w:szCs w:val="32"/>
            </w:rPr>
            <w:t>WP</w:t>
          </w:r>
          <w:bookmarkEnd w:id="2"/>
        </w:p>
      </w:tc>
      <w:tc>
        <w:tcPr>
          <w:tcW w:w="1524" w:type="dxa"/>
          <w:gridSpan w:val="2"/>
        </w:tcPr>
        <w:p w14:paraId="4DE78BCA" w14:textId="77777777" w:rsidR="00DB7C09" w:rsidRPr="00BD47E4" w:rsidRDefault="00E561F0" w:rsidP="00DB7C09">
          <w:pPr>
            <w:rPr>
              <w:b/>
              <w:sz w:val="32"/>
              <w:szCs w:val="32"/>
            </w:rPr>
          </w:pPr>
          <w:bookmarkStart w:id="3" w:name="number"/>
          <w:r w:rsidRPr="00BD47E4">
            <w:rPr>
              <w:b/>
              <w:sz w:val="32"/>
              <w:szCs w:val="32"/>
            </w:rPr>
            <w:t>19</w:t>
          </w:r>
          <w:bookmarkEnd w:id="3"/>
        </w:p>
      </w:tc>
    </w:tr>
    <w:tr w:rsidR="001E4200" w14:paraId="4CB1001E" w14:textId="77777777" w:rsidTr="002E12EC">
      <w:trPr>
        <w:trHeight w:val="2165"/>
        <w:jc w:val="center"/>
      </w:trPr>
      <w:tc>
        <w:tcPr>
          <w:tcW w:w="5495" w:type="dxa"/>
        </w:tcPr>
        <w:p w14:paraId="32C8E6A3" w14:textId="77777777" w:rsidR="00490760" w:rsidRPr="00EE4D48" w:rsidRDefault="00E561F0" w:rsidP="002A07BC">
          <w:pPr>
            <w:rPr>
              <w:b/>
              <w:sz w:val="28"/>
              <w:szCs w:val="28"/>
            </w:rPr>
          </w:pPr>
          <w:r>
            <w:rPr>
              <w:noProof/>
            </w:rPr>
            <w:drawing>
              <wp:inline distT="0" distB="0" distL="0" distR="0" wp14:anchorId="04EEF0A5" wp14:editId="5D92A7D5">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4734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044DBCC" w14:textId="77777777" w:rsidR="00490760" w:rsidRPr="00FE5146" w:rsidRDefault="00E561F0" w:rsidP="00490760">
          <w:pPr>
            <w:jc w:val="right"/>
            <w:rPr>
              <w:sz w:val="144"/>
              <w:szCs w:val="144"/>
            </w:rPr>
          </w:pPr>
          <w:r w:rsidRPr="00FE5146">
            <w:rPr>
              <w:sz w:val="144"/>
              <w:szCs w:val="144"/>
            </w:rPr>
            <w:t>ENG</w:t>
          </w:r>
        </w:p>
      </w:tc>
    </w:tr>
    <w:tr w:rsidR="001E4200" w14:paraId="5B03008B" w14:textId="77777777" w:rsidTr="002E12EC">
      <w:trPr>
        <w:trHeight w:val="409"/>
        <w:jc w:val="center"/>
      </w:trPr>
      <w:tc>
        <w:tcPr>
          <w:tcW w:w="8500" w:type="dxa"/>
          <w:gridSpan w:val="2"/>
        </w:tcPr>
        <w:p w14:paraId="3D5E6507" w14:textId="77777777" w:rsidR="00BD47E4" w:rsidRDefault="00E561F0" w:rsidP="002C30DA">
          <w:pPr>
            <w:jc w:val="right"/>
          </w:pPr>
          <w:r>
            <w:t>Agenda Item:</w:t>
          </w:r>
        </w:p>
      </w:tc>
      <w:tc>
        <w:tcPr>
          <w:tcW w:w="2382" w:type="dxa"/>
          <w:gridSpan w:val="2"/>
        </w:tcPr>
        <w:p w14:paraId="6956871F" w14:textId="77777777" w:rsidR="00BD47E4" w:rsidRDefault="00E561F0" w:rsidP="002C30DA">
          <w:pPr>
            <w:jc w:val="right"/>
          </w:pPr>
          <w:bookmarkStart w:id="4" w:name="agenda"/>
          <w:r>
            <w:t>ATCM 17</w:t>
          </w:r>
          <w:bookmarkEnd w:id="4"/>
        </w:p>
      </w:tc>
      <w:tc>
        <w:tcPr>
          <w:tcW w:w="390" w:type="dxa"/>
        </w:tcPr>
        <w:p w14:paraId="378A9857" w14:textId="77777777" w:rsidR="00BD47E4" w:rsidRDefault="00E561F0" w:rsidP="00387A65">
          <w:pPr>
            <w:jc w:val="right"/>
          </w:pPr>
        </w:p>
      </w:tc>
    </w:tr>
    <w:tr w:rsidR="001E4200" w14:paraId="399A8F4D" w14:textId="77777777" w:rsidTr="002E12EC">
      <w:trPr>
        <w:trHeight w:val="397"/>
        <w:jc w:val="center"/>
      </w:trPr>
      <w:tc>
        <w:tcPr>
          <w:tcW w:w="8500" w:type="dxa"/>
          <w:gridSpan w:val="2"/>
        </w:tcPr>
        <w:p w14:paraId="1D38C484" w14:textId="77777777" w:rsidR="00BD47E4" w:rsidRDefault="00E561F0" w:rsidP="002C30DA">
          <w:pPr>
            <w:jc w:val="right"/>
          </w:pPr>
          <w:r>
            <w:t>Presented by:</w:t>
          </w:r>
        </w:p>
      </w:tc>
      <w:tc>
        <w:tcPr>
          <w:tcW w:w="2382" w:type="dxa"/>
          <w:gridSpan w:val="2"/>
        </w:tcPr>
        <w:p w14:paraId="25D7C4A3" w14:textId="77777777" w:rsidR="00BD47E4" w:rsidRDefault="00E561F0" w:rsidP="002C30DA">
          <w:pPr>
            <w:jc w:val="right"/>
          </w:pPr>
          <w:bookmarkStart w:id="5" w:name="party"/>
          <w:r>
            <w:t>France, Netherlands</w:t>
          </w:r>
          <w:bookmarkEnd w:id="5"/>
        </w:p>
      </w:tc>
      <w:tc>
        <w:tcPr>
          <w:tcW w:w="390" w:type="dxa"/>
        </w:tcPr>
        <w:p w14:paraId="619F5C08" w14:textId="77777777" w:rsidR="00BD47E4" w:rsidRDefault="00E561F0" w:rsidP="00387A65">
          <w:pPr>
            <w:jc w:val="right"/>
          </w:pPr>
        </w:p>
      </w:tc>
    </w:tr>
    <w:tr w:rsidR="001E4200" w14:paraId="7888B570" w14:textId="77777777" w:rsidTr="002E12EC">
      <w:trPr>
        <w:trHeight w:val="409"/>
        <w:jc w:val="center"/>
      </w:trPr>
      <w:tc>
        <w:tcPr>
          <w:tcW w:w="8500" w:type="dxa"/>
          <w:gridSpan w:val="2"/>
        </w:tcPr>
        <w:p w14:paraId="79784221" w14:textId="77777777" w:rsidR="00BD47E4" w:rsidRDefault="00E561F0" w:rsidP="002C30DA">
          <w:pPr>
            <w:jc w:val="right"/>
          </w:pPr>
          <w:r>
            <w:t>Original:</w:t>
          </w:r>
        </w:p>
      </w:tc>
      <w:tc>
        <w:tcPr>
          <w:tcW w:w="2382" w:type="dxa"/>
          <w:gridSpan w:val="2"/>
        </w:tcPr>
        <w:p w14:paraId="158DDEEE" w14:textId="77777777" w:rsidR="00BD47E4" w:rsidRDefault="00E561F0" w:rsidP="002C30DA">
          <w:pPr>
            <w:jc w:val="right"/>
          </w:pPr>
          <w:bookmarkStart w:id="6" w:name="language"/>
          <w:r>
            <w:t>English</w:t>
          </w:r>
          <w:bookmarkEnd w:id="6"/>
        </w:p>
      </w:tc>
      <w:tc>
        <w:tcPr>
          <w:tcW w:w="390" w:type="dxa"/>
        </w:tcPr>
        <w:p w14:paraId="7EAE1C82" w14:textId="77777777" w:rsidR="00BD47E4" w:rsidRDefault="00E561F0" w:rsidP="00387A65">
          <w:pPr>
            <w:jc w:val="right"/>
          </w:pPr>
        </w:p>
      </w:tc>
    </w:tr>
    <w:tr w:rsidR="001E4200" w14:paraId="445E9DF3" w14:textId="77777777" w:rsidTr="002E12EC">
      <w:trPr>
        <w:trHeight w:val="409"/>
        <w:jc w:val="center"/>
      </w:trPr>
      <w:tc>
        <w:tcPr>
          <w:tcW w:w="8500" w:type="dxa"/>
          <w:gridSpan w:val="2"/>
        </w:tcPr>
        <w:p w14:paraId="2FA5809A" w14:textId="77777777" w:rsidR="0097629D" w:rsidRDefault="00E561F0" w:rsidP="002C30DA">
          <w:pPr>
            <w:jc w:val="right"/>
          </w:pPr>
          <w:r>
            <w:t>Submitted:</w:t>
          </w:r>
        </w:p>
      </w:tc>
      <w:tc>
        <w:tcPr>
          <w:tcW w:w="2382" w:type="dxa"/>
          <w:gridSpan w:val="2"/>
        </w:tcPr>
        <w:p w14:paraId="7B43519C" w14:textId="77777777" w:rsidR="0097629D" w:rsidRDefault="00E561F0" w:rsidP="0097629D">
          <w:pPr>
            <w:jc w:val="right"/>
          </w:pPr>
          <w:bookmarkStart w:id="7" w:name="date_submission"/>
          <w:r>
            <w:t>13 Apr 2023</w:t>
          </w:r>
          <w:bookmarkEnd w:id="7"/>
        </w:p>
      </w:tc>
      <w:tc>
        <w:tcPr>
          <w:tcW w:w="390" w:type="dxa"/>
        </w:tcPr>
        <w:p w14:paraId="609EBA51" w14:textId="77777777" w:rsidR="0097629D" w:rsidRDefault="00E561F0" w:rsidP="00387A65">
          <w:pPr>
            <w:jc w:val="right"/>
          </w:pPr>
        </w:p>
      </w:tc>
    </w:tr>
  </w:tbl>
  <w:p w14:paraId="7CDE5C06" w14:textId="77777777" w:rsidR="00AE5DD0" w:rsidRDefault="00E561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E4200" w14:paraId="06DC6908" w14:textId="77777777">
      <w:trPr>
        <w:trHeight w:val="354"/>
        <w:jc w:val="center"/>
      </w:trPr>
      <w:tc>
        <w:tcPr>
          <w:tcW w:w="9694" w:type="dxa"/>
        </w:tcPr>
        <w:p w14:paraId="61214005" w14:textId="6C56A9FB" w:rsidR="00AE5DD0" w:rsidRPr="00BD47E4" w:rsidRDefault="00E561F0" w:rsidP="00C26F2D">
          <w:pPr>
            <w:jc w:val="right"/>
            <w:rPr>
              <w:b/>
              <w:sz w:val="32"/>
              <w:szCs w:val="32"/>
            </w:rPr>
          </w:pPr>
          <w:r>
            <w:rPr>
              <w:b/>
              <w:sz w:val="32"/>
              <w:szCs w:val="32"/>
            </w:rPr>
            <w:t>WP</w:t>
          </w:r>
        </w:p>
      </w:tc>
      <w:tc>
        <w:tcPr>
          <w:tcW w:w="1332" w:type="dxa"/>
        </w:tcPr>
        <w:p w14:paraId="53A1F262" w14:textId="0B4D2895" w:rsidR="00AE5DD0" w:rsidRPr="00BD47E4" w:rsidRDefault="00E561F0" w:rsidP="00080F4C">
          <w:pPr>
            <w:rPr>
              <w:b/>
              <w:sz w:val="32"/>
              <w:szCs w:val="32"/>
            </w:rPr>
          </w:pPr>
          <w:r>
            <w:rPr>
              <w:b/>
              <w:sz w:val="32"/>
              <w:szCs w:val="32"/>
            </w:rPr>
            <w:t>19</w:t>
          </w:r>
        </w:p>
      </w:tc>
    </w:tr>
  </w:tbl>
  <w:p w14:paraId="50B5F9B3" w14:textId="77777777" w:rsidR="00AE5DD0" w:rsidRDefault="00E56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91205E4">
      <w:start w:val="1"/>
      <w:numFmt w:val="bullet"/>
      <w:pStyle w:val="ATSBullet1"/>
      <w:lvlText w:val=""/>
      <w:lvlJc w:val="left"/>
      <w:pPr>
        <w:tabs>
          <w:tab w:val="num" w:pos="360"/>
        </w:tabs>
        <w:ind w:left="360" w:hanging="360"/>
      </w:pPr>
      <w:rPr>
        <w:rFonts w:ascii="Symbol" w:hAnsi="Symbol" w:hint="default"/>
        <w:color w:val="auto"/>
      </w:rPr>
    </w:lvl>
    <w:lvl w:ilvl="1" w:tplc="77D0DBC6" w:tentative="1">
      <w:start w:val="1"/>
      <w:numFmt w:val="bullet"/>
      <w:lvlText w:val="o"/>
      <w:lvlJc w:val="left"/>
      <w:pPr>
        <w:tabs>
          <w:tab w:val="num" w:pos="1440"/>
        </w:tabs>
        <w:ind w:left="1440" w:hanging="360"/>
      </w:pPr>
      <w:rPr>
        <w:rFonts w:ascii="Courier New" w:hAnsi="Courier New" w:cs="Courier New" w:hint="default"/>
      </w:rPr>
    </w:lvl>
    <w:lvl w:ilvl="2" w:tplc="B73AA7DC" w:tentative="1">
      <w:start w:val="1"/>
      <w:numFmt w:val="bullet"/>
      <w:lvlText w:val=""/>
      <w:lvlJc w:val="left"/>
      <w:pPr>
        <w:tabs>
          <w:tab w:val="num" w:pos="2160"/>
        </w:tabs>
        <w:ind w:left="2160" w:hanging="360"/>
      </w:pPr>
      <w:rPr>
        <w:rFonts w:ascii="Wingdings" w:hAnsi="Wingdings" w:hint="default"/>
      </w:rPr>
    </w:lvl>
    <w:lvl w:ilvl="3" w:tplc="2DA0C902" w:tentative="1">
      <w:start w:val="1"/>
      <w:numFmt w:val="bullet"/>
      <w:lvlText w:val=""/>
      <w:lvlJc w:val="left"/>
      <w:pPr>
        <w:tabs>
          <w:tab w:val="num" w:pos="2880"/>
        </w:tabs>
        <w:ind w:left="2880" w:hanging="360"/>
      </w:pPr>
      <w:rPr>
        <w:rFonts w:ascii="Symbol" w:hAnsi="Symbol" w:hint="default"/>
      </w:rPr>
    </w:lvl>
    <w:lvl w:ilvl="4" w:tplc="D4847DB6" w:tentative="1">
      <w:start w:val="1"/>
      <w:numFmt w:val="bullet"/>
      <w:lvlText w:val="o"/>
      <w:lvlJc w:val="left"/>
      <w:pPr>
        <w:tabs>
          <w:tab w:val="num" w:pos="3600"/>
        </w:tabs>
        <w:ind w:left="3600" w:hanging="360"/>
      </w:pPr>
      <w:rPr>
        <w:rFonts w:ascii="Courier New" w:hAnsi="Courier New" w:cs="Courier New" w:hint="default"/>
      </w:rPr>
    </w:lvl>
    <w:lvl w:ilvl="5" w:tplc="255C9FC8" w:tentative="1">
      <w:start w:val="1"/>
      <w:numFmt w:val="bullet"/>
      <w:lvlText w:val=""/>
      <w:lvlJc w:val="left"/>
      <w:pPr>
        <w:tabs>
          <w:tab w:val="num" w:pos="4320"/>
        </w:tabs>
        <w:ind w:left="4320" w:hanging="360"/>
      </w:pPr>
      <w:rPr>
        <w:rFonts w:ascii="Wingdings" w:hAnsi="Wingdings" w:hint="default"/>
      </w:rPr>
    </w:lvl>
    <w:lvl w:ilvl="6" w:tplc="51E42680" w:tentative="1">
      <w:start w:val="1"/>
      <w:numFmt w:val="bullet"/>
      <w:lvlText w:val=""/>
      <w:lvlJc w:val="left"/>
      <w:pPr>
        <w:tabs>
          <w:tab w:val="num" w:pos="5040"/>
        </w:tabs>
        <w:ind w:left="5040" w:hanging="360"/>
      </w:pPr>
      <w:rPr>
        <w:rFonts w:ascii="Symbol" w:hAnsi="Symbol" w:hint="default"/>
      </w:rPr>
    </w:lvl>
    <w:lvl w:ilvl="7" w:tplc="88C0B5A0" w:tentative="1">
      <w:start w:val="1"/>
      <w:numFmt w:val="bullet"/>
      <w:lvlText w:val="o"/>
      <w:lvlJc w:val="left"/>
      <w:pPr>
        <w:tabs>
          <w:tab w:val="num" w:pos="5760"/>
        </w:tabs>
        <w:ind w:left="5760" w:hanging="360"/>
      </w:pPr>
      <w:rPr>
        <w:rFonts w:ascii="Courier New" w:hAnsi="Courier New" w:cs="Courier New" w:hint="default"/>
      </w:rPr>
    </w:lvl>
    <w:lvl w:ilvl="8" w:tplc="324623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D5052AC">
      <w:start w:val="1"/>
      <w:numFmt w:val="decimal"/>
      <w:lvlText w:val="%1)"/>
      <w:lvlJc w:val="left"/>
      <w:pPr>
        <w:tabs>
          <w:tab w:val="num" w:pos="340"/>
        </w:tabs>
        <w:ind w:left="340" w:hanging="340"/>
      </w:pPr>
      <w:rPr>
        <w:rFonts w:hint="default"/>
      </w:rPr>
    </w:lvl>
    <w:lvl w:ilvl="1" w:tplc="EC983120" w:tentative="1">
      <w:start w:val="1"/>
      <w:numFmt w:val="lowerLetter"/>
      <w:lvlText w:val="%2."/>
      <w:lvlJc w:val="left"/>
      <w:pPr>
        <w:tabs>
          <w:tab w:val="num" w:pos="1440"/>
        </w:tabs>
        <w:ind w:left="1440" w:hanging="360"/>
      </w:pPr>
    </w:lvl>
    <w:lvl w:ilvl="2" w:tplc="E7B23A2E" w:tentative="1">
      <w:start w:val="1"/>
      <w:numFmt w:val="lowerRoman"/>
      <w:lvlText w:val="%3."/>
      <w:lvlJc w:val="right"/>
      <w:pPr>
        <w:tabs>
          <w:tab w:val="num" w:pos="2160"/>
        </w:tabs>
        <w:ind w:left="2160" w:hanging="180"/>
      </w:pPr>
    </w:lvl>
    <w:lvl w:ilvl="3" w:tplc="71509184" w:tentative="1">
      <w:start w:val="1"/>
      <w:numFmt w:val="decimal"/>
      <w:lvlText w:val="%4."/>
      <w:lvlJc w:val="left"/>
      <w:pPr>
        <w:tabs>
          <w:tab w:val="num" w:pos="2880"/>
        </w:tabs>
        <w:ind w:left="2880" w:hanging="360"/>
      </w:pPr>
    </w:lvl>
    <w:lvl w:ilvl="4" w:tplc="E5081828" w:tentative="1">
      <w:start w:val="1"/>
      <w:numFmt w:val="lowerLetter"/>
      <w:lvlText w:val="%5."/>
      <w:lvlJc w:val="left"/>
      <w:pPr>
        <w:tabs>
          <w:tab w:val="num" w:pos="3600"/>
        </w:tabs>
        <w:ind w:left="3600" w:hanging="360"/>
      </w:pPr>
    </w:lvl>
    <w:lvl w:ilvl="5" w:tplc="0C624B76" w:tentative="1">
      <w:start w:val="1"/>
      <w:numFmt w:val="lowerRoman"/>
      <w:lvlText w:val="%6."/>
      <w:lvlJc w:val="right"/>
      <w:pPr>
        <w:tabs>
          <w:tab w:val="num" w:pos="4320"/>
        </w:tabs>
        <w:ind w:left="4320" w:hanging="180"/>
      </w:pPr>
    </w:lvl>
    <w:lvl w:ilvl="6" w:tplc="6CB844DC" w:tentative="1">
      <w:start w:val="1"/>
      <w:numFmt w:val="decimal"/>
      <w:lvlText w:val="%7."/>
      <w:lvlJc w:val="left"/>
      <w:pPr>
        <w:tabs>
          <w:tab w:val="num" w:pos="5040"/>
        </w:tabs>
        <w:ind w:left="5040" w:hanging="360"/>
      </w:pPr>
    </w:lvl>
    <w:lvl w:ilvl="7" w:tplc="050E6004" w:tentative="1">
      <w:start w:val="1"/>
      <w:numFmt w:val="lowerLetter"/>
      <w:lvlText w:val="%8."/>
      <w:lvlJc w:val="left"/>
      <w:pPr>
        <w:tabs>
          <w:tab w:val="num" w:pos="5760"/>
        </w:tabs>
        <w:ind w:left="5760" w:hanging="360"/>
      </w:pPr>
    </w:lvl>
    <w:lvl w:ilvl="8" w:tplc="145C4A4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A2282FC">
      <w:start w:val="1"/>
      <w:numFmt w:val="decimal"/>
      <w:lvlText w:val="%1."/>
      <w:lvlJc w:val="left"/>
      <w:pPr>
        <w:tabs>
          <w:tab w:val="num" w:pos="1057"/>
        </w:tabs>
        <w:ind w:left="1057" w:hanging="360"/>
      </w:pPr>
      <w:rPr>
        <w:rFonts w:hint="default"/>
      </w:rPr>
    </w:lvl>
    <w:lvl w:ilvl="1" w:tplc="92A8D2E0" w:tentative="1">
      <w:start w:val="1"/>
      <w:numFmt w:val="lowerLetter"/>
      <w:lvlText w:val="%2."/>
      <w:lvlJc w:val="left"/>
      <w:pPr>
        <w:tabs>
          <w:tab w:val="num" w:pos="2137"/>
        </w:tabs>
        <w:ind w:left="2137" w:hanging="360"/>
      </w:pPr>
    </w:lvl>
    <w:lvl w:ilvl="2" w:tplc="54386932" w:tentative="1">
      <w:start w:val="1"/>
      <w:numFmt w:val="lowerRoman"/>
      <w:lvlText w:val="%3."/>
      <w:lvlJc w:val="right"/>
      <w:pPr>
        <w:tabs>
          <w:tab w:val="num" w:pos="2857"/>
        </w:tabs>
        <w:ind w:left="2857" w:hanging="180"/>
      </w:pPr>
    </w:lvl>
    <w:lvl w:ilvl="3" w:tplc="1CA4443C" w:tentative="1">
      <w:start w:val="1"/>
      <w:numFmt w:val="decimal"/>
      <w:lvlText w:val="%4."/>
      <w:lvlJc w:val="left"/>
      <w:pPr>
        <w:tabs>
          <w:tab w:val="num" w:pos="3577"/>
        </w:tabs>
        <w:ind w:left="3577" w:hanging="360"/>
      </w:pPr>
    </w:lvl>
    <w:lvl w:ilvl="4" w:tplc="20720EA4" w:tentative="1">
      <w:start w:val="1"/>
      <w:numFmt w:val="lowerLetter"/>
      <w:lvlText w:val="%5."/>
      <w:lvlJc w:val="left"/>
      <w:pPr>
        <w:tabs>
          <w:tab w:val="num" w:pos="4297"/>
        </w:tabs>
        <w:ind w:left="4297" w:hanging="360"/>
      </w:pPr>
    </w:lvl>
    <w:lvl w:ilvl="5" w:tplc="14E4ABE6" w:tentative="1">
      <w:start w:val="1"/>
      <w:numFmt w:val="lowerRoman"/>
      <w:lvlText w:val="%6."/>
      <w:lvlJc w:val="right"/>
      <w:pPr>
        <w:tabs>
          <w:tab w:val="num" w:pos="5017"/>
        </w:tabs>
        <w:ind w:left="5017" w:hanging="180"/>
      </w:pPr>
    </w:lvl>
    <w:lvl w:ilvl="6" w:tplc="1F4629AA" w:tentative="1">
      <w:start w:val="1"/>
      <w:numFmt w:val="decimal"/>
      <w:lvlText w:val="%7."/>
      <w:lvlJc w:val="left"/>
      <w:pPr>
        <w:tabs>
          <w:tab w:val="num" w:pos="5737"/>
        </w:tabs>
        <w:ind w:left="5737" w:hanging="360"/>
      </w:pPr>
    </w:lvl>
    <w:lvl w:ilvl="7" w:tplc="A336C9CE" w:tentative="1">
      <w:start w:val="1"/>
      <w:numFmt w:val="lowerLetter"/>
      <w:lvlText w:val="%8."/>
      <w:lvlJc w:val="left"/>
      <w:pPr>
        <w:tabs>
          <w:tab w:val="num" w:pos="6457"/>
        </w:tabs>
        <w:ind w:left="6457" w:hanging="360"/>
      </w:pPr>
    </w:lvl>
    <w:lvl w:ilvl="8" w:tplc="7C26615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8606AB6">
      <w:start w:val="1"/>
      <w:numFmt w:val="decimal"/>
      <w:pStyle w:val="ATSNumber1"/>
      <w:lvlText w:val="%1)"/>
      <w:lvlJc w:val="left"/>
      <w:pPr>
        <w:tabs>
          <w:tab w:val="num" w:pos="720"/>
        </w:tabs>
        <w:ind w:left="720" w:hanging="360"/>
      </w:pPr>
    </w:lvl>
    <w:lvl w:ilvl="1" w:tplc="4D541A38" w:tentative="1">
      <w:start w:val="1"/>
      <w:numFmt w:val="lowerLetter"/>
      <w:lvlText w:val="%2."/>
      <w:lvlJc w:val="left"/>
      <w:pPr>
        <w:tabs>
          <w:tab w:val="num" w:pos="1440"/>
        </w:tabs>
        <w:ind w:left="1440" w:hanging="360"/>
      </w:pPr>
    </w:lvl>
    <w:lvl w:ilvl="2" w:tplc="485EA13E" w:tentative="1">
      <w:start w:val="1"/>
      <w:numFmt w:val="lowerRoman"/>
      <w:lvlText w:val="%3."/>
      <w:lvlJc w:val="right"/>
      <w:pPr>
        <w:tabs>
          <w:tab w:val="num" w:pos="2160"/>
        </w:tabs>
        <w:ind w:left="2160" w:hanging="180"/>
      </w:pPr>
    </w:lvl>
    <w:lvl w:ilvl="3" w:tplc="6E228D52" w:tentative="1">
      <w:start w:val="1"/>
      <w:numFmt w:val="decimal"/>
      <w:lvlText w:val="%4."/>
      <w:lvlJc w:val="left"/>
      <w:pPr>
        <w:tabs>
          <w:tab w:val="num" w:pos="2880"/>
        </w:tabs>
        <w:ind w:left="2880" w:hanging="360"/>
      </w:pPr>
    </w:lvl>
    <w:lvl w:ilvl="4" w:tplc="FF1688DA" w:tentative="1">
      <w:start w:val="1"/>
      <w:numFmt w:val="lowerLetter"/>
      <w:lvlText w:val="%5."/>
      <w:lvlJc w:val="left"/>
      <w:pPr>
        <w:tabs>
          <w:tab w:val="num" w:pos="3600"/>
        </w:tabs>
        <w:ind w:left="3600" w:hanging="360"/>
      </w:pPr>
    </w:lvl>
    <w:lvl w:ilvl="5" w:tplc="99E8D782" w:tentative="1">
      <w:start w:val="1"/>
      <w:numFmt w:val="lowerRoman"/>
      <w:lvlText w:val="%6."/>
      <w:lvlJc w:val="right"/>
      <w:pPr>
        <w:tabs>
          <w:tab w:val="num" w:pos="4320"/>
        </w:tabs>
        <w:ind w:left="4320" w:hanging="180"/>
      </w:pPr>
    </w:lvl>
    <w:lvl w:ilvl="6" w:tplc="4C7ED79E" w:tentative="1">
      <w:start w:val="1"/>
      <w:numFmt w:val="decimal"/>
      <w:lvlText w:val="%7."/>
      <w:lvlJc w:val="left"/>
      <w:pPr>
        <w:tabs>
          <w:tab w:val="num" w:pos="5040"/>
        </w:tabs>
        <w:ind w:left="5040" w:hanging="360"/>
      </w:pPr>
    </w:lvl>
    <w:lvl w:ilvl="7" w:tplc="53568F0A" w:tentative="1">
      <w:start w:val="1"/>
      <w:numFmt w:val="lowerLetter"/>
      <w:lvlText w:val="%8."/>
      <w:lvlJc w:val="left"/>
      <w:pPr>
        <w:tabs>
          <w:tab w:val="num" w:pos="5760"/>
        </w:tabs>
        <w:ind w:left="5760" w:hanging="360"/>
      </w:pPr>
    </w:lvl>
    <w:lvl w:ilvl="8" w:tplc="D966A60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EE25A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94CCEF8" w:tentative="1">
      <w:start w:val="1"/>
      <w:numFmt w:val="bullet"/>
      <w:lvlText w:val="o"/>
      <w:lvlJc w:val="left"/>
      <w:pPr>
        <w:tabs>
          <w:tab w:val="num" w:pos="2517"/>
        </w:tabs>
        <w:ind w:left="2517" w:hanging="360"/>
      </w:pPr>
      <w:rPr>
        <w:rFonts w:ascii="Courier New" w:hAnsi="Courier New" w:cs="Courier New" w:hint="default"/>
      </w:rPr>
    </w:lvl>
    <w:lvl w:ilvl="2" w:tplc="7C66B22C" w:tentative="1">
      <w:start w:val="1"/>
      <w:numFmt w:val="bullet"/>
      <w:lvlText w:val=""/>
      <w:lvlJc w:val="left"/>
      <w:pPr>
        <w:tabs>
          <w:tab w:val="num" w:pos="3237"/>
        </w:tabs>
        <w:ind w:left="3237" w:hanging="360"/>
      </w:pPr>
      <w:rPr>
        <w:rFonts w:ascii="Wingdings" w:hAnsi="Wingdings" w:hint="default"/>
      </w:rPr>
    </w:lvl>
    <w:lvl w:ilvl="3" w:tplc="F9D29288" w:tentative="1">
      <w:start w:val="1"/>
      <w:numFmt w:val="bullet"/>
      <w:lvlText w:val=""/>
      <w:lvlJc w:val="left"/>
      <w:pPr>
        <w:tabs>
          <w:tab w:val="num" w:pos="3957"/>
        </w:tabs>
        <w:ind w:left="3957" w:hanging="360"/>
      </w:pPr>
      <w:rPr>
        <w:rFonts w:ascii="Symbol" w:hAnsi="Symbol" w:hint="default"/>
      </w:rPr>
    </w:lvl>
    <w:lvl w:ilvl="4" w:tplc="D9D8D9B4" w:tentative="1">
      <w:start w:val="1"/>
      <w:numFmt w:val="bullet"/>
      <w:lvlText w:val="o"/>
      <w:lvlJc w:val="left"/>
      <w:pPr>
        <w:tabs>
          <w:tab w:val="num" w:pos="4677"/>
        </w:tabs>
        <w:ind w:left="4677" w:hanging="360"/>
      </w:pPr>
      <w:rPr>
        <w:rFonts w:ascii="Courier New" w:hAnsi="Courier New" w:cs="Courier New" w:hint="default"/>
      </w:rPr>
    </w:lvl>
    <w:lvl w:ilvl="5" w:tplc="4C76A050" w:tentative="1">
      <w:start w:val="1"/>
      <w:numFmt w:val="bullet"/>
      <w:lvlText w:val=""/>
      <w:lvlJc w:val="left"/>
      <w:pPr>
        <w:tabs>
          <w:tab w:val="num" w:pos="5397"/>
        </w:tabs>
        <w:ind w:left="5397" w:hanging="360"/>
      </w:pPr>
      <w:rPr>
        <w:rFonts w:ascii="Wingdings" w:hAnsi="Wingdings" w:hint="default"/>
      </w:rPr>
    </w:lvl>
    <w:lvl w:ilvl="6" w:tplc="C93C99D4" w:tentative="1">
      <w:start w:val="1"/>
      <w:numFmt w:val="bullet"/>
      <w:lvlText w:val=""/>
      <w:lvlJc w:val="left"/>
      <w:pPr>
        <w:tabs>
          <w:tab w:val="num" w:pos="6117"/>
        </w:tabs>
        <w:ind w:left="6117" w:hanging="360"/>
      </w:pPr>
      <w:rPr>
        <w:rFonts w:ascii="Symbol" w:hAnsi="Symbol" w:hint="default"/>
      </w:rPr>
    </w:lvl>
    <w:lvl w:ilvl="7" w:tplc="E3BE7744" w:tentative="1">
      <w:start w:val="1"/>
      <w:numFmt w:val="bullet"/>
      <w:lvlText w:val="o"/>
      <w:lvlJc w:val="left"/>
      <w:pPr>
        <w:tabs>
          <w:tab w:val="num" w:pos="6837"/>
        </w:tabs>
        <w:ind w:left="6837" w:hanging="360"/>
      </w:pPr>
      <w:rPr>
        <w:rFonts w:ascii="Courier New" w:hAnsi="Courier New" w:cs="Courier New" w:hint="default"/>
      </w:rPr>
    </w:lvl>
    <w:lvl w:ilvl="8" w:tplc="F6DA8CF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D5A9BD2">
      <w:start w:val="1"/>
      <w:numFmt w:val="decimal"/>
      <w:pStyle w:val="ATSNumber2"/>
      <w:lvlText w:val="%1."/>
      <w:lvlJc w:val="left"/>
      <w:pPr>
        <w:tabs>
          <w:tab w:val="num" w:pos="720"/>
        </w:tabs>
        <w:ind w:left="720" w:hanging="360"/>
      </w:pPr>
      <w:rPr>
        <w:rFonts w:hint="default"/>
      </w:rPr>
    </w:lvl>
    <w:lvl w:ilvl="1" w:tplc="478C1A7A" w:tentative="1">
      <w:start w:val="1"/>
      <w:numFmt w:val="lowerLetter"/>
      <w:lvlText w:val="%2."/>
      <w:lvlJc w:val="left"/>
      <w:pPr>
        <w:tabs>
          <w:tab w:val="num" w:pos="1440"/>
        </w:tabs>
        <w:ind w:left="1440" w:hanging="360"/>
      </w:pPr>
    </w:lvl>
    <w:lvl w:ilvl="2" w:tplc="35C2B4F2" w:tentative="1">
      <w:start w:val="1"/>
      <w:numFmt w:val="lowerRoman"/>
      <w:lvlText w:val="%3."/>
      <w:lvlJc w:val="right"/>
      <w:pPr>
        <w:tabs>
          <w:tab w:val="num" w:pos="2160"/>
        </w:tabs>
        <w:ind w:left="2160" w:hanging="180"/>
      </w:pPr>
    </w:lvl>
    <w:lvl w:ilvl="3" w:tplc="420ACB8E" w:tentative="1">
      <w:start w:val="1"/>
      <w:numFmt w:val="decimal"/>
      <w:lvlText w:val="%4."/>
      <w:lvlJc w:val="left"/>
      <w:pPr>
        <w:tabs>
          <w:tab w:val="num" w:pos="2880"/>
        </w:tabs>
        <w:ind w:left="2880" w:hanging="360"/>
      </w:pPr>
    </w:lvl>
    <w:lvl w:ilvl="4" w:tplc="BEA2DCBA" w:tentative="1">
      <w:start w:val="1"/>
      <w:numFmt w:val="lowerLetter"/>
      <w:lvlText w:val="%5."/>
      <w:lvlJc w:val="left"/>
      <w:pPr>
        <w:tabs>
          <w:tab w:val="num" w:pos="3600"/>
        </w:tabs>
        <w:ind w:left="3600" w:hanging="360"/>
      </w:pPr>
    </w:lvl>
    <w:lvl w:ilvl="5" w:tplc="73D665B8" w:tentative="1">
      <w:start w:val="1"/>
      <w:numFmt w:val="lowerRoman"/>
      <w:lvlText w:val="%6."/>
      <w:lvlJc w:val="right"/>
      <w:pPr>
        <w:tabs>
          <w:tab w:val="num" w:pos="4320"/>
        </w:tabs>
        <w:ind w:left="4320" w:hanging="180"/>
      </w:pPr>
    </w:lvl>
    <w:lvl w:ilvl="6" w:tplc="B86EE174" w:tentative="1">
      <w:start w:val="1"/>
      <w:numFmt w:val="decimal"/>
      <w:lvlText w:val="%7."/>
      <w:lvlJc w:val="left"/>
      <w:pPr>
        <w:tabs>
          <w:tab w:val="num" w:pos="5040"/>
        </w:tabs>
        <w:ind w:left="5040" w:hanging="360"/>
      </w:pPr>
    </w:lvl>
    <w:lvl w:ilvl="7" w:tplc="DC5C524C" w:tentative="1">
      <w:start w:val="1"/>
      <w:numFmt w:val="lowerLetter"/>
      <w:lvlText w:val="%8."/>
      <w:lvlJc w:val="left"/>
      <w:pPr>
        <w:tabs>
          <w:tab w:val="num" w:pos="5760"/>
        </w:tabs>
        <w:ind w:left="5760" w:hanging="360"/>
      </w:pPr>
    </w:lvl>
    <w:lvl w:ilvl="8" w:tplc="90BCE2DE" w:tentative="1">
      <w:start w:val="1"/>
      <w:numFmt w:val="lowerRoman"/>
      <w:lvlText w:val="%9."/>
      <w:lvlJc w:val="right"/>
      <w:pPr>
        <w:tabs>
          <w:tab w:val="num" w:pos="6480"/>
        </w:tabs>
        <w:ind w:left="6480" w:hanging="180"/>
      </w:pPr>
    </w:lvl>
  </w:abstractNum>
  <w:num w:numId="1" w16cid:durableId="1174765437">
    <w:abstractNumId w:val="9"/>
  </w:num>
  <w:num w:numId="2" w16cid:durableId="90661436">
    <w:abstractNumId w:val="7"/>
  </w:num>
  <w:num w:numId="3" w16cid:durableId="772942516">
    <w:abstractNumId w:val="6"/>
  </w:num>
  <w:num w:numId="4" w16cid:durableId="2028631994">
    <w:abstractNumId w:val="5"/>
  </w:num>
  <w:num w:numId="5" w16cid:durableId="1429502590">
    <w:abstractNumId w:val="4"/>
  </w:num>
  <w:num w:numId="6" w16cid:durableId="656108761">
    <w:abstractNumId w:val="8"/>
  </w:num>
  <w:num w:numId="7" w16cid:durableId="2101949760">
    <w:abstractNumId w:val="3"/>
  </w:num>
  <w:num w:numId="8" w16cid:durableId="1213158303">
    <w:abstractNumId w:val="2"/>
  </w:num>
  <w:num w:numId="9" w16cid:durableId="8876308">
    <w:abstractNumId w:val="1"/>
  </w:num>
  <w:num w:numId="10" w16cid:durableId="305670624">
    <w:abstractNumId w:val="0"/>
  </w:num>
  <w:num w:numId="11" w16cid:durableId="665981329">
    <w:abstractNumId w:val="11"/>
  </w:num>
  <w:num w:numId="12" w16cid:durableId="1745108038">
    <w:abstractNumId w:val="15"/>
  </w:num>
  <w:num w:numId="13" w16cid:durableId="1139808995">
    <w:abstractNumId w:val="14"/>
  </w:num>
  <w:num w:numId="14" w16cid:durableId="1716420212">
    <w:abstractNumId w:val="12"/>
  </w:num>
  <w:num w:numId="15" w16cid:durableId="70584512">
    <w:abstractNumId w:val="13"/>
  </w:num>
  <w:num w:numId="16" w16cid:durableId="1016005855">
    <w:abstractNumId w:val="10"/>
  </w:num>
  <w:num w:numId="17" w16cid:durableId="619722554">
    <w:abstractNumId w:val="11"/>
  </w:num>
  <w:num w:numId="18" w16cid:durableId="1710687183">
    <w:abstractNumId w:val="15"/>
  </w:num>
  <w:num w:numId="19" w16cid:durableId="693849976">
    <w:abstractNumId w:val="14"/>
  </w:num>
  <w:num w:numId="20" w16cid:durableId="16578002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00"/>
    <w:rsid w:val="001E4200"/>
    <w:rsid w:val="00E561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AA3AF"/>
  <w15:chartTrackingRefBased/>
  <w15:docId w15:val="{F6B56E79-8893-4F4E-A453-6E8331E8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inespaciado">
    <w:name w:val="No Spacing"/>
    <w:uiPriority w:val="1"/>
    <w:qFormat/>
    <w:rsid w:val="00E561F0"/>
    <w:rPr>
      <w:rFonts w:asciiTheme="minorHAnsi" w:eastAsiaTheme="minorHAnsi" w:hAnsiTheme="minorHAnsi" w:cstheme="minorBidi"/>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1153</Words>
  <Characters>6624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2023-04-13T15:17:00Z</dcterms:modified>
</cp:coreProperties>
</file>