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4D6F" w14:textId="77777777" w:rsidR="00C26F2D" w:rsidRPr="00BF077B" w:rsidRDefault="00986C3B" w:rsidP="00BF077B">
      <w:pPr>
        <w:pStyle w:val="ATSNormal"/>
        <w:rPr>
          <w:rStyle w:val="Ttulodellibro"/>
        </w:rPr>
      </w:pPr>
    </w:p>
    <w:p w14:paraId="5FCC692C" w14:textId="77777777" w:rsidR="002F0A13" w:rsidRDefault="00986C3B" w:rsidP="004B4A60">
      <w:pPr>
        <w:rPr>
          <w:b/>
          <w:u w:val="single"/>
          <w:lang w:val="es-ES_tradnl"/>
        </w:rPr>
      </w:pPr>
    </w:p>
    <w:p w14:paraId="3FEBB29F" w14:textId="77777777" w:rsidR="002F0A13" w:rsidRDefault="00986C3B" w:rsidP="004B4A60">
      <w:pPr>
        <w:rPr>
          <w:b/>
          <w:u w:val="single"/>
          <w:lang w:val="es-ES_tradnl"/>
        </w:rPr>
      </w:pPr>
    </w:p>
    <w:p w14:paraId="50305E58" w14:textId="77777777" w:rsidR="002F0A13" w:rsidRDefault="00986C3B" w:rsidP="004B4A60">
      <w:pPr>
        <w:rPr>
          <w:b/>
          <w:u w:val="single"/>
          <w:lang w:val="es-ES_tradnl"/>
        </w:rPr>
      </w:pPr>
    </w:p>
    <w:p w14:paraId="6AA034FA" w14:textId="77777777" w:rsidR="002F0A13" w:rsidRDefault="00986C3B" w:rsidP="004B4A60">
      <w:pPr>
        <w:rPr>
          <w:b/>
          <w:u w:val="single"/>
          <w:lang w:val="es-ES_tradnl"/>
        </w:rPr>
      </w:pPr>
    </w:p>
    <w:p w14:paraId="1F1D40F3" w14:textId="77777777" w:rsidR="00C26F2D" w:rsidRDefault="00986C3B" w:rsidP="004B4A60">
      <w:pPr>
        <w:rPr>
          <w:b/>
          <w:u w:val="single"/>
          <w:lang w:val="es-ES_tradnl"/>
        </w:rPr>
      </w:pPr>
    </w:p>
    <w:p w14:paraId="405173DB" w14:textId="77777777" w:rsidR="004B4A60" w:rsidRPr="0057246E" w:rsidRDefault="00495E5F" w:rsidP="001B789F">
      <w:pPr>
        <w:pStyle w:val="ATSTitle"/>
      </w:pPr>
      <w:bookmarkStart w:id="0" w:name="name"/>
      <w:r>
        <w:t>Revised Management Plan for Antarctic Specially Protected Area No. 123 Barwick and Balham Valleys, Southern Victoria Land</w:t>
      </w:r>
    </w:p>
    <w:bookmarkEnd w:id="0"/>
    <w:p w14:paraId="0FD680A3" w14:textId="77777777" w:rsidR="00D609BC" w:rsidRDefault="00D609BC" w:rsidP="001B789F">
      <w:pPr>
        <w:pStyle w:val="ATSTitle"/>
      </w:pPr>
    </w:p>
    <w:p w14:paraId="3311AC28" w14:textId="77777777" w:rsidR="004B4A60" w:rsidRPr="0057246E" w:rsidRDefault="00986C3B" w:rsidP="00F75424">
      <w:pPr>
        <w:jc w:val="center"/>
      </w:pPr>
    </w:p>
    <w:p w14:paraId="48064430" w14:textId="77777777" w:rsidR="004B4A60" w:rsidRPr="002F0A13" w:rsidRDefault="00986C3B" w:rsidP="002F0A13"/>
    <w:p w14:paraId="3372AE1E" w14:textId="77777777" w:rsidR="004B4A60" w:rsidRDefault="00986C3B" w:rsidP="00F75424">
      <w:pPr>
        <w:jc w:val="center"/>
      </w:pPr>
      <w:bookmarkStart w:id="1" w:name="memo"/>
      <w:bookmarkEnd w:id="1"/>
    </w:p>
    <w:p w14:paraId="518E9614" w14:textId="77777777" w:rsidR="0097629D" w:rsidRDefault="00986C3B" w:rsidP="00F75424">
      <w:pPr>
        <w:jc w:val="center"/>
      </w:pPr>
    </w:p>
    <w:p w14:paraId="66206DA8" w14:textId="77777777" w:rsidR="0097629D" w:rsidRDefault="00986C3B" w:rsidP="00F75424">
      <w:pPr>
        <w:jc w:val="center"/>
      </w:pPr>
    </w:p>
    <w:p w14:paraId="051BB18F" w14:textId="77777777" w:rsidR="0097629D" w:rsidRDefault="00986C3B" w:rsidP="00F75424">
      <w:pPr>
        <w:jc w:val="center"/>
      </w:pPr>
    </w:p>
    <w:p w14:paraId="1277612A" w14:textId="77777777" w:rsidR="0097629D" w:rsidRPr="00C26F2D" w:rsidRDefault="00986C3B" w:rsidP="00F75424">
      <w:pPr>
        <w:jc w:val="center"/>
      </w:pPr>
    </w:p>
    <w:p w14:paraId="08D7542A" w14:textId="77777777" w:rsidR="004B4A60" w:rsidRPr="0057246E" w:rsidRDefault="00986C3B" w:rsidP="004B4A60"/>
    <w:p w14:paraId="47C482CF" w14:textId="77777777" w:rsidR="00C26F2D" w:rsidRDefault="00986C3B"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84"/>
        <w:gridCol w:w="3511"/>
      </w:tblGrid>
      <w:tr w:rsidR="00495E5F" w:rsidRPr="00323C65" w14:paraId="7F431A55" w14:textId="77777777" w:rsidTr="00495E5F">
        <w:trPr>
          <w:cantSplit/>
          <w:trHeight w:val="434"/>
        </w:trPr>
        <w:tc>
          <w:tcPr>
            <w:tcW w:w="8495" w:type="dxa"/>
            <w:gridSpan w:val="2"/>
          </w:tcPr>
          <w:p w14:paraId="59968A43" w14:textId="77777777" w:rsidR="00495E5F" w:rsidRPr="004A1897" w:rsidRDefault="00495E5F" w:rsidP="00F919A6">
            <w:pPr>
              <w:pStyle w:val="ATSTitle"/>
              <w:rPr>
                <w:rFonts w:ascii="Times New Roman" w:hAnsi="Times New Roman"/>
                <w:sz w:val="20"/>
                <w:szCs w:val="20"/>
              </w:rPr>
            </w:pPr>
            <w:r>
              <w:rPr>
                <w:rFonts w:ascii="Times New Roman" w:hAnsi="Times New Roman"/>
                <w:snapToGrid w:val="0"/>
                <w:sz w:val="20"/>
                <w:szCs w:val="20"/>
              </w:rPr>
              <w:lastRenderedPageBreak/>
              <w:t xml:space="preserve">ASPA No. </w:t>
            </w:r>
            <w:r w:rsidRPr="00323C65">
              <w:rPr>
                <w:rFonts w:ascii="Times New Roman" w:hAnsi="Times New Roman"/>
                <w:snapToGrid w:val="0"/>
                <w:sz w:val="20"/>
                <w:szCs w:val="20"/>
              </w:rPr>
              <w:t xml:space="preserve">123 </w:t>
            </w:r>
            <w:r w:rsidRPr="00323C65">
              <w:rPr>
                <w:rFonts w:ascii="Times New Roman" w:hAnsi="Times New Roman"/>
                <w:sz w:val="20"/>
                <w:szCs w:val="20"/>
              </w:rPr>
              <w:t>Barwick and Balham Valleys, Southern Victoria Land</w:t>
            </w:r>
          </w:p>
        </w:tc>
      </w:tr>
      <w:tr w:rsidR="00495E5F" w:rsidRPr="00323C65" w14:paraId="666D70E9" w14:textId="77777777" w:rsidTr="00495E5F">
        <w:tc>
          <w:tcPr>
            <w:tcW w:w="4984" w:type="dxa"/>
          </w:tcPr>
          <w:p w14:paraId="4C562198" w14:textId="77777777" w:rsidR="00495E5F" w:rsidRPr="004A1897" w:rsidRDefault="00495E5F" w:rsidP="00F919A6">
            <w:pPr>
              <w:pStyle w:val="ATSNormal"/>
              <w:rPr>
                <w:b/>
                <w:snapToGrid w:val="0"/>
                <w:sz w:val="20"/>
                <w:szCs w:val="20"/>
              </w:rPr>
            </w:pPr>
            <w:r w:rsidRPr="004A1897">
              <w:rPr>
                <w:b/>
                <w:snapToGrid w:val="0"/>
                <w:sz w:val="20"/>
                <w:szCs w:val="20"/>
              </w:rPr>
              <w:t>1. Is a new ASPA proposed?</w:t>
            </w:r>
          </w:p>
        </w:tc>
        <w:tc>
          <w:tcPr>
            <w:tcW w:w="3511" w:type="dxa"/>
          </w:tcPr>
          <w:p w14:paraId="1F53A1A8" w14:textId="77777777" w:rsidR="00495E5F" w:rsidRPr="00242511" w:rsidRDefault="00495E5F" w:rsidP="00F919A6">
            <w:pPr>
              <w:pStyle w:val="ATSNormal"/>
              <w:rPr>
                <w:snapToGrid w:val="0"/>
                <w:sz w:val="20"/>
                <w:szCs w:val="20"/>
              </w:rPr>
            </w:pPr>
            <w:r w:rsidRPr="00242511">
              <w:rPr>
                <w:snapToGrid w:val="0"/>
                <w:sz w:val="20"/>
                <w:szCs w:val="20"/>
              </w:rPr>
              <w:t>No</w:t>
            </w:r>
          </w:p>
        </w:tc>
      </w:tr>
      <w:tr w:rsidR="00495E5F" w:rsidRPr="00323C65" w14:paraId="47B8C3A8" w14:textId="77777777" w:rsidTr="00495E5F">
        <w:tc>
          <w:tcPr>
            <w:tcW w:w="4984" w:type="dxa"/>
          </w:tcPr>
          <w:p w14:paraId="0F919468" w14:textId="77777777" w:rsidR="00495E5F" w:rsidRPr="004A1897" w:rsidRDefault="00495E5F" w:rsidP="00F919A6">
            <w:pPr>
              <w:pStyle w:val="ATSNormal"/>
              <w:rPr>
                <w:b/>
                <w:snapToGrid w:val="0"/>
                <w:sz w:val="20"/>
                <w:szCs w:val="20"/>
              </w:rPr>
            </w:pPr>
            <w:r w:rsidRPr="004A1897">
              <w:rPr>
                <w:b/>
                <w:snapToGrid w:val="0"/>
                <w:sz w:val="20"/>
                <w:szCs w:val="20"/>
              </w:rPr>
              <w:t>2. Is a new ASMA proposed?</w:t>
            </w:r>
          </w:p>
        </w:tc>
        <w:tc>
          <w:tcPr>
            <w:tcW w:w="3511" w:type="dxa"/>
          </w:tcPr>
          <w:p w14:paraId="5EF713A0" w14:textId="77777777" w:rsidR="00495E5F" w:rsidRPr="00242511" w:rsidRDefault="00495E5F" w:rsidP="00F919A6">
            <w:pPr>
              <w:pStyle w:val="ATSNormal"/>
              <w:rPr>
                <w:snapToGrid w:val="0"/>
                <w:sz w:val="20"/>
                <w:szCs w:val="20"/>
              </w:rPr>
            </w:pPr>
            <w:r w:rsidRPr="00242511">
              <w:rPr>
                <w:snapToGrid w:val="0"/>
                <w:sz w:val="20"/>
                <w:szCs w:val="20"/>
              </w:rPr>
              <w:t>No</w:t>
            </w:r>
          </w:p>
        </w:tc>
      </w:tr>
      <w:tr w:rsidR="00495E5F" w:rsidRPr="00323C65" w14:paraId="3B0331F2" w14:textId="77777777" w:rsidTr="00495E5F">
        <w:tc>
          <w:tcPr>
            <w:tcW w:w="4984" w:type="dxa"/>
          </w:tcPr>
          <w:p w14:paraId="1636D867" w14:textId="77777777" w:rsidR="00495E5F" w:rsidRPr="004A1897" w:rsidRDefault="00495E5F" w:rsidP="00F919A6">
            <w:pPr>
              <w:pStyle w:val="ATSNormal"/>
              <w:rPr>
                <w:b/>
                <w:snapToGrid w:val="0"/>
                <w:sz w:val="20"/>
                <w:szCs w:val="20"/>
              </w:rPr>
            </w:pPr>
            <w:r w:rsidRPr="004A1897">
              <w:rPr>
                <w:b/>
                <w:snapToGrid w:val="0"/>
                <w:sz w:val="20"/>
                <w:szCs w:val="20"/>
              </w:rPr>
              <w:t>3. Does the proposal relate to an existing ASPA or ASMA?</w:t>
            </w:r>
          </w:p>
        </w:tc>
        <w:tc>
          <w:tcPr>
            <w:tcW w:w="3511" w:type="dxa"/>
          </w:tcPr>
          <w:p w14:paraId="5118AF20" w14:textId="77777777" w:rsidR="00495E5F" w:rsidRPr="00242511" w:rsidRDefault="00495E5F" w:rsidP="00F919A6">
            <w:pPr>
              <w:pStyle w:val="ATSNormal"/>
              <w:rPr>
                <w:snapToGrid w:val="0"/>
                <w:sz w:val="20"/>
                <w:szCs w:val="20"/>
              </w:rPr>
            </w:pPr>
            <w:r w:rsidRPr="00242511">
              <w:rPr>
                <w:snapToGrid w:val="0"/>
                <w:sz w:val="20"/>
                <w:szCs w:val="20"/>
              </w:rPr>
              <w:t>Yes</w:t>
            </w:r>
          </w:p>
        </w:tc>
      </w:tr>
      <w:tr w:rsidR="00495E5F" w:rsidRPr="00323C65" w14:paraId="00800C4A" w14:textId="77777777" w:rsidTr="00495E5F">
        <w:tc>
          <w:tcPr>
            <w:tcW w:w="4984" w:type="dxa"/>
          </w:tcPr>
          <w:p w14:paraId="049FEA28" w14:textId="77777777" w:rsidR="00495E5F" w:rsidRPr="004A1897" w:rsidRDefault="00495E5F" w:rsidP="00F919A6">
            <w:pPr>
              <w:pStyle w:val="ATSNormal"/>
              <w:jc w:val="center"/>
              <w:rPr>
                <w:i/>
                <w:sz w:val="20"/>
                <w:szCs w:val="20"/>
              </w:rPr>
            </w:pPr>
            <w:r w:rsidRPr="004A1897">
              <w:rPr>
                <w:i/>
                <w:sz w:val="20"/>
                <w:szCs w:val="20"/>
              </w:rPr>
              <w:t>First designation:</w:t>
            </w:r>
          </w:p>
        </w:tc>
        <w:tc>
          <w:tcPr>
            <w:tcW w:w="3511" w:type="dxa"/>
          </w:tcPr>
          <w:p w14:paraId="05E6C0D3" w14:textId="77777777" w:rsidR="00495E5F" w:rsidRPr="00323C65" w:rsidRDefault="00495E5F" w:rsidP="00F919A6">
            <w:pPr>
              <w:pStyle w:val="ATSNormal"/>
              <w:rPr>
                <w:snapToGrid w:val="0"/>
                <w:sz w:val="20"/>
                <w:szCs w:val="20"/>
              </w:rPr>
            </w:pPr>
            <w:r w:rsidRPr="00323C65">
              <w:rPr>
                <w:snapToGrid w:val="0"/>
                <w:sz w:val="20"/>
                <w:szCs w:val="20"/>
              </w:rPr>
              <w:t>Recommendation VIII-4 (1975) SSSI No. 3</w:t>
            </w:r>
          </w:p>
        </w:tc>
      </w:tr>
      <w:tr w:rsidR="00495E5F" w:rsidRPr="00323C65" w14:paraId="62C9F9E4" w14:textId="77777777" w:rsidTr="00495E5F">
        <w:tc>
          <w:tcPr>
            <w:tcW w:w="4984" w:type="dxa"/>
          </w:tcPr>
          <w:p w14:paraId="4B6417BF" w14:textId="77777777" w:rsidR="00495E5F" w:rsidRPr="004A1897" w:rsidRDefault="00495E5F" w:rsidP="00F919A6">
            <w:pPr>
              <w:pStyle w:val="ATSNormal"/>
              <w:jc w:val="center"/>
              <w:rPr>
                <w:i/>
                <w:sz w:val="20"/>
                <w:szCs w:val="20"/>
              </w:rPr>
            </w:pPr>
            <w:r w:rsidRPr="004A1897">
              <w:rPr>
                <w:i/>
                <w:sz w:val="20"/>
                <w:szCs w:val="20"/>
              </w:rPr>
              <w:t>First adoption of management plan:</w:t>
            </w:r>
          </w:p>
        </w:tc>
        <w:tc>
          <w:tcPr>
            <w:tcW w:w="3511" w:type="dxa"/>
          </w:tcPr>
          <w:p w14:paraId="59EFE250" w14:textId="77777777" w:rsidR="00495E5F" w:rsidRPr="00323C65" w:rsidRDefault="00495E5F" w:rsidP="00F919A6">
            <w:pPr>
              <w:pStyle w:val="ATSNormal"/>
              <w:rPr>
                <w:snapToGrid w:val="0"/>
                <w:sz w:val="20"/>
                <w:szCs w:val="20"/>
              </w:rPr>
            </w:pPr>
            <w:r w:rsidRPr="00323C65">
              <w:rPr>
                <w:snapToGrid w:val="0"/>
                <w:sz w:val="20"/>
                <w:szCs w:val="20"/>
              </w:rPr>
              <w:t>Recommendation VIII-4 (1975) SSSI No. 3</w:t>
            </w:r>
          </w:p>
        </w:tc>
      </w:tr>
      <w:tr w:rsidR="00495E5F" w:rsidRPr="00323C65" w14:paraId="767E0084" w14:textId="77777777" w:rsidTr="00495E5F">
        <w:tc>
          <w:tcPr>
            <w:tcW w:w="4984" w:type="dxa"/>
          </w:tcPr>
          <w:p w14:paraId="79849011" w14:textId="77777777" w:rsidR="00495E5F" w:rsidRPr="004A1897" w:rsidRDefault="00495E5F" w:rsidP="00F919A6">
            <w:pPr>
              <w:pStyle w:val="ATSNormal"/>
              <w:jc w:val="center"/>
              <w:rPr>
                <w:i/>
                <w:sz w:val="20"/>
                <w:szCs w:val="20"/>
              </w:rPr>
            </w:pPr>
            <w:r w:rsidRPr="004A1897">
              <w:rPr>
                <w:i/>
                <w:sz w:val="20"/>
                <w:szCs w:val="20"/>
              </w:rPr>
              <w:t>Any revisions to management plan:</w:t>
            </w:r>
          </w:p>
        </w:tc>
        <w:tc>
          <w:tcPr>
            <w:tcW w:w="3511" w:type="dxa"/>
          </w:tcPr>
          <w:p w14:paraId="6D97E01F" w14:textId="77777777" w:rsidR="00495E5F" w:rsidRPr="00D3656F" w:rsidRDefault="00495E5F" w:rsidP="00F919A6">
            <w:pPr>
              <w:pStyle w:val="ATSNormal"/>
            </w:pPr>
            <w:r w:rsidRPr="00323C65">
              <w:rPr>
                <w:snapToGrid w:val="0"/>
                <w:sz w:val="20"/>
                <w:szCs w:val="20"/>
              </w:rPr>
              <w:t>Measure 1 (2002), Measure 6 (2008)</w:t>
            </w:r>
            <w:r>
              <w:rPr>
                <w:sz w:val="23"/>
                <w:szCs w:val="23"/>
              </w:rPr>
              <w:t xml:space="preserve">, </w:t>
            </w:r>
            <w:r w:rsidRPr="00323C65">
              <w:rPr>
                <w:snapToGrid w:val="0"/>
                <w:sz w:val="20"/>
                <w:szCs w:val="20"/>
              </w:rPr>
              <w:t xml:space="preserve">Measure </w:t>
            </w:r>
            <w:r>
              <w:rPr>
                <w:snapToGrid w:val="0"/>
                <w:sz w:val="20"/>
                <w:szCs w:val="20"/>
              </w:rPr>
              <w:t>3 (2013</w:t>
            </w:r>
            <w:r w:rsidRPr="00323C65">
              <w:rPr>
                <w:snapToGrid w:val="0"/>
                <w:sz w:val="20"/>
                <w:szCs w:val="20"/>
              </w:rPr>
              <w:t>)</w:t>
            </w:r>
            <w:r>
              <w:rPr>
                <w:snapToGrid w:val="0"/>
                <w:sz w:val="20"/>
                <w:szCs w:val="20"/>
              </w:rPr>
              <w:t>,</w:t>
            </w:r>
            <w:r w:rsidRPr="00323C65">
              <w:rPr>
                <w:snapToGrid w:val="0"/>
                <w:sz w:val="20"/>
                <w:szCs w:val="20"/>
              </w:rPr>
              <w:t xml:space="preserve"> Measure </w:t>
            </w:r>
            <w:r>
              <w:rPr>
                <w:snapToGrid w:val="0"/>
                <w:sz w:val="20"/>
                <w:szCs w:val="20"/>
              </w:rPr>
              <w:t>1 (2019</w:t>
            </w:r>
            <w:r w:rsidRPr="00323C65">
              <w:rPr>
                <w:snapToGrid w:val="0"/>
                <w:sz w:val="20"/>
                <w:szCs w:val="20"/>
              </w:rPr>
              <w:t>)</w:t>
            </w:r>
          </w:p>
        </w:tc>
      </w:tr>
      <w:tr w:rsidR="00495E5F" w:rsidRPr="00323C65" w14:paraId="4499EB4E" w14:textId="77777777" w:rsidTr="00495E5F">
        <w:tc>
          <w:tcPr>
            <w:tcW w:w="4984" w:type="dxa"/>
          </w:tcPr>
          <w:p w14:paraId="5AE6C083" w14:textId="77777777" w:rsidR="00495E5F" w:rsidRPr="004A1897" w:rsidRDefault="00495E5F" w:rsidP="00F919A6">
            <w:pPr>
              <w:pStyle w:val="ATSNormal"/>
              <w:jc w:val="center"/>
              <w:rPr>
                <w:i/>
                <w:sz w:val="20"/>
                <w:szCs w:val="20"/>
              </w:rPr>
            </w:pPr>
            <w:r w:rsidRPr="004A1897">
              <w:rPr>
                <w:i/>
                <w:sz w:val="20"/>
                <w:szCs w:val="20"/>
              </w:rPr>
              <w:t>Current management plan:</w:t>
            </w:r>
          </w:p>
        </w:tc>
        <w:tc>
          <w:tcPr>
            <w:tcW w:w="3511" w:type="dxa"/>
          </w:tcPr>
          <w:p w14:paraId="61744578" w14:textId="77777777" w:rsidR="00495E5F" w:rsidRDefault="00495E5F" w:rsidP="00F919A6">
            <w:pPr>
              <w:pStyle w:val="ATSNormal"/>
              <w:rPr>
                <w:snapToGrid w:val="0"/>
                <w:sz w:val="20"/>
                <w:szCs w:val="20"/>
              </w:rPr>
            </w:pPr>
            <w:r w:rsidRPr="00323C65">
              <w:rPr>
                <w:snapToGrid w:val="0"/>
                <w:sz w:val="20"/>
                <w:szCs w:val="20"/>
              </w:rPr>
              <w:t xml:space="preserve">Measure </w:t>
            </w:r>
            <w:r>
              <w:rPr>
                <w:snapToGrid w:val="0"/>
                <w:sz w:val="20"/>
                <w:szCs w:val="20"/>
              </w:rPr>
              <w:t>1 (2019</w:t>
            </w:r>
            <w:r w:rsidRPr="00323C65">
              <w:rPr>
                <w:snapToGrid w:val="0"/>
                <w:sz w:val="20"/>
                <w:szCs w:val="20"/>
              </w:rPr>
              <w:t>)</w:t>
            </w:r>
          </w:p>
        </w:tc>
      </w:tr>
      <w:tr w:rsidR="00495E5F" w:rsidRPr="00323C65" w14:paraId="6112D0F2" w14:textId="77777777" w:rsidTr="00495E5F">
        <w:tc>
          <w:tcPr>
            <w:tcW w:w="4984" w:type="dxa"/>
          </w:tcPr>
          <w:p w14:paraId="5FE4D997" w14:textId="77777777" w:rsidR="00495E5F" w:rsidRPr="004A1897" w:rsidRDefault="00495E5F" w:rsidP="00F919A6">
            <w:pPr>
              <w:pStyle w:val="ATSNormal"/>
              <w:jc w:val="center"/>
              <w:rPr>
                <w:i/>
                <w:sz w:val="20"/>
                <w:szCs w:val="20"/>
              </w:rPr>
            </w:pPr>
            <w:r w:rsidRPr="004A1897">
              <w:rPr>
                <w:i/>
                <w:sz w:val="20"/>
                <w:szCs w:val="20"/>
              </w:rPr>
              <w:t>Any extensions of expiry dates of management plan:</w:t>
            </w:r>
          </w:p>
        </w:tc>
        <w:tc>
          <w:tcPr>
            <w:tcW w:w="3511" w:type="dxa"/>
          </w:tcPr>
          <w:p w14:paraId="697C4FEB" w14:textId="77777777" w:rsidR="00495E5F" w:rsidRPr="00A97D09" w:rsidRDefault="00495E5F" w:rsidP="00F919A6">
            <w:pPr>
              <w:pStyle w:val="ATSNormal"/>
              <w:rPr>
                <w:snapToGrid w:val="0"/>
                <w:sz w:val="20"/>
                <w:szCs w:val="20"/>
              </w:rPr>
            </w:pPr>
            <w:r w:rsidRPr="00323C65">
              <w:rPr>
                <w:snapToGrid w:val="0"/>
                <w:sz w:val="20"/>
                <w:szCs w:val="20"/>
              </w:rPr>
              <w:t>Recommendation X-6 (1979), Recommendation XII-5 (1983), Recommendation XIII-7 (1985), Recommendation XIV-4 (1987), Resolution 7 (1995), Measure 2 (2000)</w:t>
            </w:r>
          </w:p>
        </w:tc>
      </w:tr>
      <w:tr w:rsidR="00495E5F" w:rsidRPr="00323C65" w14:paraId="56048320" w14:textId="77777777" w:rsidTr="00495E5F">
        <w:tc>
          <w:tcPr>
            <w:tcW w:w="4984" w:type="dxa"/>
          </w:tcPr>
          <w:p w14:paraId="29E6C74E" w14:textId="77777777" w:rsidR="00495E5F" w:rsidRPr="004A1897" w:rsidRDefault="00495E5F" w:rsidP="00F919A6">
            <w:pPr>
              <w:pStyle w:val="ATSNormal"/>
              <w:jc w:val="center"/>
              <w:rPr>
                <w:i/>
                <w:sz w:val="20"/>
                <w:szCs w:val="20"/>
              </w:rPr>
            </w:pPr>
            <w:r w:rsidRPr="004A1897">
              <w:rPr>
                <w:i/>
                <w:sz w:val="20"/>
                <w:szCs w:val="20"/>
              </w:rPr>
              <w:t>Renamed and renumbered by Decision 1 (2002) as:</w:t>
            </w:r>
          </w:p>
        </w:tc>
        <w:tc>
          <w:tcPr>
            <w:tcW w:w="3511" w:type="dxa"/>
          </w:tcPr>
          <w:p w14:paraId="1578CAB0" w14:textId="77777777" w:rsidR="00495E5F" w:rsidRPr="00764643" w:rsidRDefault="00495E5F" w:rsidP="00F919A6">
            <w:pPr>
              <w:pStyle w:val="ATSNormal"/>
              <w:rPr>
                <w:snapToGrid w:val="0"/>
                <w:sz w:val="20"/>
                <w:szCs w:val="20"/>
              </w:rPr>
            </w:pPr>
            <w:r w:rsidRPr="00323C65">
              <w:rPr>
                <w:snapToGrid w:val="0"/>
                <w:sz w:val="20"/>
                <w:szCs w:val="20"/>
              </w:rPr>
              <w:t>ASPA No. 123 Barwick and Balham Valleys, Southern Victoria Land</w:t>
            </w:r>
          </w:p>
        </w:tc>
      </w:tr>
      <w:tr w:rsidR="00495E5F" w:rsidRPr="00323C65" w14:paraId="19E9ABC8" w14:textId="77777777" w:rsidTr="00495E5F">
        <w:tc>
          <w:tcPr>
            <w:tcW w:w="4984" w:type="dxa"/>
          </w:tcPr>
          <w:p w14:paraId="06273D84" w14:textId="77777777" w:rsidR="00495E5F" w:rsidRPr="004A1897" w:rsidRDefault="00495E5F" w:rsidP="00F919A6">
            <w:pPr>
              <w:pStyle w:val="ATSNormal"/>
              <w:jc w:val="center"/>
              <w:rPr>
                <w:i/>
                <w:sz w:val="20"/>
                <w:szCs w:val="20"/>
              </w:rPr>
            </w:pPr>
            <w:r w:rsidRPr="004A1897">
              <w:rPr>
                <w:i/>
                <w:sz w:val="20"/>
                <w:szCs w:val="20"/>
              </w:rPr>
              <w:t>Other relevant measures:</w:t>
            </w:r>
          </w:p>
        </w:tc>
        <w:tc>
          <w:tcPr>
            <w:tcW w:w="3511" w:type="dxa"/>
          </w:tcPr>
          <w:p w14:paraId="2A6FB118" w14:textId="77777777" w:rsidR="00495E5F" w:rsidRPr="00764643" w:rsidRDefault="00495E5F" w:rsidP="00F919A6">
            <w:pPr>
              <w:pStyle w:val="ATSNormal"/>
              <w:rPr>
                <w:snapToGrid w:val="0"/>
                <w:sz w:val="20"/>
                <w:szCs w:val="20"/>
                <w:highlight w:val="yellow"/>
              </w:rPr>
            </w:pPr>
            <w:r w:rsidRPr="00E43B21">
              <w:rPr>
                <w:snapToGrid w:val="0"/>
                <w:sz w:val="20"/>
                <w:szCs w:val="20"/>
              </w:rPr>
              <w:t>Resolution 2 (2011)</w:t>
            </w:r>
            <w:r>
              <w:rPr>
                <w:snapToGrid w:val="0"/>
                <w:sz w:val="20"/>
                <w:szCs w:val="20"/>
              </w:rPr>
              <w:t xml:space="preserve">. </w:t>
            </w:r>
            <w:r w:rsidRPr="00764643">
              <w:rPr>
                <w:sz w:val="20"/>
              </w:rPr>
              <w:t>Measure 18 (2015)</w:t>
            </w:r>
            <w:r w:rsidRPr="00764643">
              <w:rPr>
                <w:snapToGrid w:val="0"/>
                <w:sz w:val="20"/>
              </w:rPr>
              <w:t>. The ASPA lies within ASMA No. 2 McMurdo Dry Valleys</w:t>
            </w:r>
            <w:r>
              <w:rPr>
                <w:snapToGrid w:val="0"/>
                <w:sz w:val="20"/>
              </w:rPr>
              <w:t>.</w:t>
            </w:r>
          </w:p>
        </w:tc>
      </w:tr>
      <w:tr w:rsidR="00495E5F" w:rsidRPr="00323C65" w14:paraId="3EDC5404" w14:textId="77777777" w:rsidTr="00495E5F">
        <w:trPr>
          <w:cantSplit/>
        </w:trPr>
        <w:tc>
          <w:tcPr>
            <w:tcW w:w="8495" w:type="dxa"/>
            <w:gridSpan w:val="2"/>
          </w:tcPr>
          <w:p w14:paraId="346FC4C4" w14:textId="77777777" w:rsidR="00495E5F" w:rsidRPr="004A1897" w:rsidRDefault="00495E5F" w:rsidP="00F919A6">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495E5F" w:rsidRPr="00323C65" w14:paraId="5C2C5117" w14:textId="77777777" w:rsidTr="00495E5F">
        <w:tc>
          <w:tcPr>
            <w:tcW w:w="4984" w:type="dxa"/>
          </w:tcPr>
          <w:p w14:paraId="258FFBDD" w14:textId="77777777" w:rsidR="00495E5F" w:rsidRPr="004A1897" w:rsidRDefault="00495E5F" w:rsidP="00F919A6">
            <w:pPr>
              <w:pStyle w:val="ATSNormal"/>
              <w:jc w:val="center"/>
              <w:rPr>
                <w:i/>
                <w:sz w:val="20"/>
                <w:szCs w:val="20"/>
              </w:rPr>
            </w:pPr>
            <w:r w:rsidRPr="004A1897">
              <w:rPr>
                <w:i/>
                <w:sz w:val="20"/>
                <w:szCs w:val="20"/>
              </w:rPr>
              <w:t>(i) major or minor?</w:t>
            </w:r>
          </w:p>
        </w:tc>
        <w:tc>
          <w:tcPr>
            <w:tcW w:w="3511" w:type="dxa"/>
          </w:tcPr>
          <w:p w14:paraId="1FBE2208" w14:textId="77777777" w:rsidR="00495E5F" w:rsidRDefault="00495E5F" w:rsidP="00F919A6">
            <w:pPr>
              <w:pStyle w:val="ATSNormal"/>
              <w:rPr>
                <w:snapToGrid w:val="0"/>
                <w:sz w:val="20"/>
                <w:szCs w:val="20"/>
              </w:rPr>
            </w:pPr>
            <w:r>
              <w:rPr>
                <w:snapToGrid w:val="0"/>
                <w:sz w:val="20"/>
                <w:szCs w:val="20"/>
              </w:rPr>
              <w:t>Minor.</w:t>
            </w:r>
          </w:p>
        </w:tc>
      </w:tr>
      <w:tr w:rsidR="00495E5F" w:rsidRPr="00323C65" w14:paraId="3D96EABB" w14:textId="77777777" w:rsidTr="00495E5F">
        <w:tc>
          <w:tcPr>
            <w:tcW w:w="4984" w:type="dxa"/>
          </w:tcPr>
          <w:p w14:paraId="2B2FC46F" w14:textId="77777777" w:rsidR="00495E5F" w:rsidRPr="004A1897" w:rsidRDefault="00495E5F" w:rsidP="00F919A6">
            <w:pPr>
              <w:pStyle w:val="ATSNormal"/>
              <w:jc w:val="center"/>
              <w:rPr>
                <w:i/>
                <w:sz w:val="20"/>
                <w:szCs w:val="20"/>
              </w:rPr>
            </w:pPr>
            <w:r w:rsidRPr="004A1897">
              <w:rPr>
                <w:i/>
                <w:sz w:val="20"/>
                <w:szCs w:val="20"/>
              </w:rPr>
              <w:t>(ii) any changes to the boundaries or co-ordinates?</w:t>
            </w:r>
          </w:p>
        </w:tc>
        <w:tc>
          <w:tcPr>
            <w:tcW w:w="3511" w:type="dxa"/>
          </w:tcPr>
          <w:p w14:paraId="628FB16F" w14:textId="77777777" w:rsidR="00495E5F" w:rsidRDefault="00495E5F" w:rsidP="00F919A6">
            <w:pPr>
              <w:pStyle w:val="ATSNormal"/>
              <w:rPr>
                <w:snapToGrid w:val="0"/>
                <w:sz w:val="20"/>
                <w:szCs w:val="20"/>
              </w:rPr>
            </w:pPr>
            <w:r>
              <w:rPr>
                <w:snapToGrid w:val="0"/>
                <w:sz w:val="20"/>
                <w:szCs w:val="20"/>
              </w:rPr>
              <w:t>No.</w:t>
            </w:r>
          </w:p>
        </w:tc>
      </w:tr>
      <w:tr w:rsidR="00495E5F" w:rsidRPr="00323C65" w14:paraId="62725442" w14:textId="77777777" w:rsidTr="00495E5F">
        <w:tc>
          <w:tcPr>
            <w:tcW w:w="4984" w:type="dxa"/>
          </w:tcPr>
          <w:p w14:paraId="61B7E7FD" w14:textId="77777777" w:rsidR="00495E5F" w:rsidRPr="004A1897" w:rsidRDefault="00495E5F" w:rsidP="00F919A6">
            <w:pPr>
              <w:pStyle w:val="ATSNormal"/>
              <w:jc w:val="center"/>
              <w:rPr>
                <w:i/>
                <w:sz w:val="20"/>
                <w:szCs w:val="20"/>
              </w:rPr>
            </w:pPr>
            <w:r w:rsidRPr="004A1897">
              <w:rPr>
                <w:i/>
                <w:sz w:val="20"/>
                <w:szCs w:val="20"/>
              </w:rPr>
              <w:t>(iii) any changes to the maps? If yes, are the changes in the captions only or also in the graphics?</w:t>
            </w:r>
          </w:p>
        </w:tc>
        <w:tc>
          <w:tcPr>
            <w:tcW w:w="3511" w:type="dxa"/>
          </w:tcPr>
          <w:p w14:paraId="674BCFDE" w14:textId="77777777" w:rsidR="00495E5F" w:rsidRPr="00E63637" w:rsidRDefault="00495E5F" w:rsidP="00F919A6">
            <w:pPr>
              <w:pStyle w:val="ATSNormal"/>
              <w:rPr>
                <w:snapToGrid w:val="0"/>
                <w:sz w:val="20"/>
                <w:szCs w:val="20"/>
              </w:rPr>
            </w:pPr>
            <w:r w:rsidRPr="00E63637">
              <w:rPr>
                <w:snapToGrid w:val="0"/>
                <w:sz w:val="20"/>
                <w:szCs w:val="20"/>
              </w:rPr>
              <w:t xml:space="preserve">Yes. </w:t>
            </w:r>
            <w:r>
              <w:rPr>
                <w:snapToGrid w:val="0"/>
                <w:sz w:val="20"/>
                <w:szCs w:val="20"/>
              </w:rPr>
              <w:t>The map has been replaced by a new version prepared in color to improve the clarity of site features and ASPA boundary</w:t>
            </w:r>
            <w:r w:rsidRPr="00E63637">
              <w:rPr>
                <w:snapToGrid w:val="0"/>
                <w:sz w:val="20"/>
                <w:szCs w:val="20"/>
              </w:rPr>
              <w:t>.</w:t>
            </w:r>
          </w:p>
        </w:tc>
      </w:tr>
      <w:tr w:rsidR="00495E5F" w:rsidRPr="00323C65" w14:paraId="1221128C" w14:textId="77777777" w:rsidTr="00495E5F">
        <w:tc>
          <w:tcPr>
            <w:tcW w:w="4984" w:type="dxa"/>
          </w:tcPr>
          <w:p w14:paraId="5717554C" w14:textId="77777777" w:rsidR="00495E5F" w:rsidRPr="004A1897" w:rsidRDefault="00495E5F" w:rsidP="00F919A6">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3511" w:type="dxa"/>
          </w:tcPr>
          <w:p w14:paraId="35301EF9" w14:textId="77777777" w:rsidR="00495E5F" w:rsidRDefault="00495E5F" w:rsidP="00F919A6">
            <w:pPr>
              <w:pStyle w:val="ATSNormal"/>
              <w:rPr>
                <w:snapToGrid w:val="0"/>
                <w:sz w:val="20"/>
                <w:szCs w:val="20"/>
              </w:rPr>
            </w:pPr>
            <w:r>
              <w:rPr>
                <w:snapToGrid w:val="0"/>
                <w:sz w:val="20"/>
                <w:szCs w:val="20"/>
              </w:rPr>
              <w:t>No.</w:t>
            </w:r>
          </w:p>
        </w:tc>
      </w:tr>
      <w:tr w:rsidR="00495E5F" w:rsidRPr="00323C65" w14:paraId="6723532A" w14:textId="77777777" w:rsidTr="00495E5F">
        <w:tc>
          <w:tcPr>
            <w:tcW w:w="4984" w:type="dxa"/>
          </w:tcPr>
          <w:p w14:paraId="19D14167" w14:textId="77777777" w:rsidR="00495E5F" w:rsidRPr="004A1897" w:rsidRDefault="00495E5F" w:rsidP="00F919A6">
            <w:pPr>
              <w:pStyle w:val="ATSNormal"/>
              <w:jc w:val="center"/>
              <w:rPr>
                <w:i/>
                <w:sz w:val="20"/>
                <w:szCs w:val="20"/>
              </w:rPr>
            </w:pPr>
            <w:r w:rsidRPr="004A1897">
              <w:rPr>
                <w:i/>
                <w:sz w:val="20"/>
                <w:szCs w:val="20"/>
              </w:rPr>
              <w:t>(v) any changes that affect any other ASPA, ASMA or HSM within this area or adjacent to it? In particular, please explain any merger with, incorporation of or abolition of any existing area or site.</w:t>
            </w:r>
          </w:p>
        </w:tc>
        <w:tc>
          <w:tcPr>
            <w:tcW w:w="3511" w:type="dxa"/>
          </w:tcPr>
          <w:p w14:paraId="0BC6DD45" w14:textId="77777777" w:rsidR="00495E5F" w:rsidRDefault="00495E5F" w:rsidP="00F919A6">
            <w:pPr>
              <w:pStyle w:val="ATSNormal"/>
              <w:rPr>
                <w:snapToGrid w:val="0"/>
                <w:sz w:val="20"/>
                <w:szCs w:val="20"/>
              </w:rPr>
            </w:pPr>
            <w:r>
              <w:rPr>
                <w:snapToGrid w:val="0"/>
                <w:sz w:val="20"/>
                <w:szCs w:val="20"/>
              </w:rPr>
              <w:t>No.</w:t>
            </w:r>
          </w:p>
        </w:tc>
      </w:tr>
      <w:tr w:rsidR="00495E5F" w:rsidRPr="00323C65" w14:paraId="004219DB" w14:textId="77777777" w:rsidTr="00495E5F">
        <w:tc>
          <w:tcPr>
            <w:tcW w:w="4984" w:type="dxa"/>
          </w:tcPr>
          <w:p w14:paraId="513A6DD0" w14:textId="77777777" w:rsidR="00495E5F" w:rsidRPr="004A1897" w:rsidRDefault="00495E5F" w:rsidP="00F919A6">
            <w:pPr>
              <w:pStyle w:val="ATSNormal"/>
              <w:jc w:val="center"/>
              <w:rPr>
                <w:i/>
                <w:sz w:val="20"/>
                <w:szCs w:val="20"/>
              </w:rPr>
            </w:pPr>
            <w:r w:rsidRPr="004A1897">
              <w:rPr>
                <w:i/>
                <w:sz w:val="20"/>
                <w:szCs w:val="20"/>
              </w:rPr>
              <w:t>(vi) Other - brief summary of other types of changes, indicating the paragraphs of the management plan in which these are located.</w:t>
            </w:r>
          </w:p>
        </w:tc>
        <w:tc>
          <w:tcPr>
            <w:tcW w:w="3511" w:type="dxa"/>
          </w:tcPr>
          <w:p w14:paraId="4993B28F" w14:textId="77777777" w:rsidR="00495E5F" w:rsidRDefault="00495E5F" w:rsidP="00F919A6">
            <w:pPr>
              <w:pStyle w:val="ATSNormal"/>
              <w:rPr>
                <w:sz w:val="20"/>
              </w:rPr>
            </w:pPr>
            <w:r w:rsidRPr="00E23380">
              <w:rPr>
                <w:sz w:val="20"/>
                <w:szCs w:val="20"/>
              </w:rPr>
              <w:t>A new objective to “preserve the almost pristine ecosystem as a biological reference area” has been added to Section 2</w:t>
            </w:r>
            <w:r w:rsidRPr="00E93E54">
              <w:rPr>
                <w:sz w:val="20"/>
              </w:rPr>
              <w:t>.</w:t>
            </w:r>
          </w:p>
          <w:p w14:paraId="4235E44D" w14:textId="77777777" w:rsidR="00495E5F" w:rsidRDefault="00495E5F" w:rsidP="00F919A6">
            <w:pPr>
              <w:pStyle w:val="ATSNormal"/>
              <w:rPr>
                <w:sz w:val="20"/>
              </w:rPr>
            </w:pPr>
            <w:r>
              <w:rPr>
                <w:sz w:val="20"/>
              </w:rPr>
              <w:lastRenderedPageBreak/>
              <w:t>Section 6 Description of the Area notes soil samples were collected in 2019 for a new soil map of the McMurdo Dry Valleys in preparation.</w:t>
            </w:r>
          </w:p>
          <w:p w14:paraId="28843B56" w14:textId="77777777" w:rsidR="00495E5F" w:rsidRPr="00E93E54" w:rsidRDefault="00495E5F" w:rsidP="00F919A6">
            <w:pPr>
              <w:pStyle w:val="ATSNormal"/>
              <w:rPr>
                <w:sz w:val="20"/>
              </w:rPr>
            </w:pPr>
            <w:r>
              <w:rPr>
                <w:sz w:val="20"/>
              </w:rPr>
              <w:t xml:space="preserve">A new provision on helicopter access has been added to Section 7(ii), specifying that </w:t>
            </w:r>
            <w:r w:rsidRPr="00F022B2">
              <w:rPr>
                <w:sz w:val="20"/>
                <w:szCs w:val="20"/>
              </w:rPr>
              <w:t>“Helicopter landings should avoid frozen lakes and stream beds. By preference, and where safe and practical, landings should be made on snow surfaces to minimize dust and soil disturbance.”</w:t>
            </w:r>
          </w:p>
          <w:p w14:paraId="73E51227" w14:textId="77777777" w:rsidR="00495E5F" w:rsidRPr="00E93E54" w:rsidRDefault="00495E5F" w:rsidP="00F919A6">
            <w:pPr>
              <w:pStyle w:val="ATSNormal"/>
              <w:rPr>
                <w:sz w:val="20"/>
              </w:rPr>
            </w:pPr>
            <w:r>
              <w:rPr>
                <w:sz w:val="20"/>
              </w:rPr>
              <w:t>The latest ATCM Resolution</w:t>
            </w:r>
            <w:r w:rsidRPr="00E93E54">
              <w:rPr>
                <w:sz w:val="20"/>
              </w:rPr>
              <w:t xml:space="preserve"> on Non-native species </w:t>
            </w:r>
            <w:r>
              <w:rPr>
                <w:sz w:val="20"/>
              </w:rPr>
              <w:t xml:space="preserve">is referenced </w:t>
            </w:r>
            <w:r w:rsidRPr="00E93E54">
              <w:rPr>
                <w:sz w:val="20"/>
              </w:rPr>
              <w:t>in Section 7(vi).</w:t>
            </w:r>
          </w:p>
          <w:p w14:paraId="35F6600C" w14:textId="77777777" w:rsidR="00495E5F" w:rsidRPr="00E93E54" w:rsidRDefault="00495E5F" w:rsidP="00F919A6">
            <w:pPr>
              <w:pStyle w:val="ATSNormal"/>
              <w:rPr>
                <w:sz w:val="20"/>
              </w:rPr>
            </w:pPr>
            <w:r>
              <w:rPr>
                <w:sz w:val="20"/>
              </w:rPr>
              <w:t>Section 7(viii) has been revis</w:t>
            </w:r>
            <w:r w:rsidRPr="00E93E54">
              <w:rPr>
                <w:sz w:val="20"/>
              </w:rPr>
              <w:t>ed to be more specific about sampling procedures.</w:t>
            </w:r>
          </w:p>
          <w:p w14:paraId="47CF8C31" w14:textId="77777777" w:rsidR="00495E5F" w:rsidRPr="00E93E54" w:rsidRDefault="00495E5F" w:rsidP="00F919A6">
            <w:pPr>
              <w:pStyle w:val="ATSNormal"/>
              <w:rPr>
                <w:sz w:val="20"/>
              </w:rPr>
            </w:pPr>
            <w:r w:rsidRPr="00E93E54">
              <w:rPr>
                <w:sz w:val="20"/>
              </w:rPr>
              <w:t>Minor editorial changes have been implemented in the plan, and the reference list has been updated.</w:t>
            </w:r>
          </w:p>
        </w:tc>
      </w:tr>
      <w:tr w:rsidR="00495E5F" w:rsidRPr="00323C65" w14:paraId="79E2BF3A" w14:textId="77777777" w:rsidTr="00495E5F">
        <w:tc>
          <w:tcPr>
            <w:tcW w:w="4984" w:type="dxa"/>
          </w:tcPr>
          <w:p w14:paraId="02E6A92D" w14:textId="77777777" w:rsidR="00495E5F" w:rsidRPr="004A1897" w:rsidRDefault="00495E5F" w:rsidP="00F919A6">
            <w:pPr>
              <w:pStyle w:val="ATSNormal"/>
              <w:rPr>
                <w:b/>
                <w:snapToGrid w:val="0"/>
                <w:sz w:val="20"/>
                <w:szCs w:val="20"/>
              </w:rPr>
            </w:pPr>
            <w:r w:rsidRPr="004A1897">
              <w:rPr>
                <w:b/>
                <w:snapToGrid w:val="0"/>
                <w:sz w:val="20"/>
                <w:szCs w:val="20"/>
              </w:rPr>
              <w:lastRenderedPageBreak/>
              <w:t>5. If a new ASPA or ASMA is proposed, does it contain any marine area?</w:t>
            </w:r>
          </w:p>
        </w:tc>
        <w:tc>
          <w:tcPr>
            <w:tcW w:w="3511" w:type="dxa"/>
          </w:tcPr>
          <w:p w14:paraId="65F4C2D1" w14:textId="77777777" w:rsidR="00495E5F" w:rsidRPr="004A1897" w:rsidRDefault="00495E5F" w:rsidP="00F919A6">
            <w:pPr>
              <w:pStyle w:val="ATSNormal"/>
              <w:rPr>
                <w:snapToGrid w:val="0"/>
                <w:sz w:val="20"/>
                <w:szCs w:val="20"/>
              </w:rPr>
            </w:pPr>
            <w:r w:rsidRPr="004A1897">
              <w:rPr>
                <w:snapToGrid w:val="0"/>
                <w:sz w:val="20"/>
                <w:szCs w:val="20"/>
              </w:rPr>
              <w:t>N/A</w:t>
            </w:r>
          </w:p>
        </w:tc>
      </w:tr>
      <w:tr w:rsidR="00495E5F" w:rsidRPr="00323C65" w14:paraId="42D00F12" w14:textId="77777777" w:rsidTr="00495E5F">
        <w:tc>
          <w:tcPr>
            <w:tcW w:w="4984" w:type="dxa"/>
          </w:tcPr>
          <w:p w14:paraId="0ACF02E5" w14:textId="77777777" w:rsidR="00495E5F" w:rsidRPr="004A1897" w:rsidRDefault="00495E5F" w:rsidP="00F919A6">
            <w:pPr>
              <w:pStyle w:val="ATSNormal"/>
              <w:rPr>
                <w:b/>
                <w:snapToGrid w:val="0"/>
                <w:sz w:val="20"/>
                <w:szCs w:val="20"/>
              </w:rPr>
            </w:pPr>
            <w:r w:rsidRPr="004A1897">
              <w:rPr>
                <w:b/>
                <w:snapToGrid w:val="0"/>
                <w:sz w:val="20"/>
                <w:szCs w:val="20"/>
              </w:rPr>
              <w:t>6. If yes, does the proposal require the prior approval of CCAMLR in accordance with Decision 9 (2005)?</w:t>
            </w:r>
          </w:p>
        </w:tc>
        <w:tc>
          <w:tcPr>
            <w:tcW w:w="3511" w:type="dxa"/>
          </w:tcPr>
          <w:p w14:paraId="42AEB12E" w14:textId="77777777" w:rsidR="00495E5F" w:rsidRPr="004A1897" w:rsidRDefault="00495E5F" w:rsidP="00F919A6">
            <w:pPr>
              <w:pStyle w:val="ATSNormal"/>
              <w:rPr>
                <w:snapToGrid w:val="0"/>
                <w:sz w:val="20"/>
                <w:szCs w:val="20"/>
              </w:rPr>
            </w:pPr>
            <w:r w:rsidRPr="004A1897">
              <w:rPr>
                <w:snapToGrid w:val="0"/>
                <w:sz w:val="20"/>
                <w:szCs w:val="20"/>
              </w:rPr>
              <w:t>N/A</w:t>
            </w:r>
          </w:p>
        </w:tc>
      </w:tr>
      <w:tr w:rsidR="00495E5F" w:rsidRPr="00323C65" w14:paraId="697D56E2" w14:textId="77777777" w:rsidTr="00495E5F">
        <w:tc>
          <w:tcPr>
            <w:tcW w:w="4984" w:type="dxa"/>
          </w:tcPr>
          <w:p w14:paraId="42DF0BD1" w14:textId="77777777" w:rsidR="00495E5F" w:rsidRPr="004A1897" w:rsidRDefault="00495E5F" w:rsidP="00F919A6">
            <w:pPr>
              <w:pStyle w:val="ATSNormal"/>
              <w:rPr>
                <w:b/>
                <w:sz w:val="20"/>
                <w:szCs w:val="20"/>
              </w:rPr>
            </w:pPr>
            <w:r w:rsidRPr="004A1897">
              <w:rPr>
                <w:b/>
                <w:sz w:val="20"/>
                <w:szCs w:val="20"/>
              </w:rPr>
              <w:t xml:space="preserve">7. If yes, has the prior approval of CCAMLR been obtained? </w:t>
            </w:r>
          </w:p>
        </w:tc>
        <w:tc>
          <w:tcPr>
            <w:tcW w:w="3511" w:type="dxa"/>
          </w:tcPr>
          <w:p w14:paraId="01D52872" w14:textId="77777777" w:rsidR="00495E5F" w:rsidRPr="004A1897" w:rsidRDefault="00495E5F" w:rsidP="00F919A6">
            <w:pPr>
              <w:pStyle w:val="ATSNormal"/>
              <w:rPr>
                <w:snapToGrid w:val="0"/>
                <w:sz w:val="20"/>
                <w:szCs w:val="20"/>
              </w:rPr>
            </w:pPr>
            <w:r w:rsidRPr="004A1897">
              <w:rPr>
                <w:snapToGrid w:val="0"/>
                <w:sz w:val="20"/>
                <w:szCs w:val="20"/>
              </w:rPr>
              <w:t>N/A</w:t>
            </w:r>
          </w:p>
        </w:tc>
      </w:tr>
      <w:tr w:rsidR="00495E5F" w:rsidRPr="00323C65" w14:paraId="34097893" w14:textId="77777777" w:rsidTr="00495E5F">
        <w:tc>
          <w:tcPr>
            <w:tcW w:w="4984" w:type="dxa"/>
          </w:tcPr>
          <w:p w14:paraId="087B0229" w14:textId="77777777" w:rsidR="00495E5F" w:rsidRPr="004A1897" w:rsidRDefault="00495E5F" w:rsidP="00F919A6">
            <w:pPr>
              <w:pStyle w:val="ATSNormal"/>
              <w:jc w:val="center"/>
              <w:rPr>
                <w:i/>
                <w:sz w:val="20"/>
                <w:szCs w:val="20"/>
              </w:rPr>
            </w:pPr>
            <w:r w:rsidRPr="004A1897">
              <w:rPr>
                <w:i/>
                <w:sz w:val="20"/>
                <w:szCs w:val="20"/>
              </w:rPr>
              <w:t>If yes, please list the CCAMLR Final Report and Paragraph No.</w:t>
            </w:r>
          </w:p>
        </w:tc>
        <w:tc>
          <w:tcPr>
            <w:tcW w:w="3511" w:type="dxa"/>
          </w:tcPr>
          <w:p w14:paraId="720E9225" w14:textId="77777777" w:rsidR="00495E5F" w:rsidRPr="004A1897" w:rsidRDefault="00495E5F" w:rsidP="00F919A6">
            <w:pPr>
              <w:pStyle w:val="ATSNormal"/>
              <w:rPr>
                <w:snapToGrid w:val="0"/>
                <w:sz w:val="20"/>
                <w:szCs w:val="20"/>
              </w:rPr>
            </w:pPr>
            <w:r w:rsidRPr="004A1897">
              <w:rPr>
                <w:snapToGrid w:val="0"/>
                <w:sz w:val="20"/>
                <w:szCs w:val="20"/>
              </w:rPr>
              <w:t>N/A</w:t>
            </w:r>
          </w:p>
        </w:tc>
      </w:tr>
      <w:tr w:rsidR="00495E5F" w14:paraId="72CF5246" w14:textId="77777777" w:rsidTr="00495E5F">
        <w:tblPrEx>
          <w:tblLook w:val="04A0" w:firstRow="1" w:lastRow="0" w:firstColumn="1" w:lastColumn="0" w:noHBand="0" w:noVBand="1"/>
        </w:tblPrEx>
        <w:tc>
          <w:tcPr>
            <w:tcW w:w="4984" w:type="dxa"/>
            <w:tcBorders>
              <w:top w:val="single" w:sz="4" w:space="0" w:color="auto"/>
              <w:left w:val="single" w:sz="4" w:space="0" w:color="auto"/>
              <w:bottom w:val="single" w:sz="4" w:space="0" w:color="auto"/>
              <w:right w:val="single" w:sz="4" w:space="0" w:color="auto"/>
            </w:tcBorders>
            <w:hideMark/>
          </w:tcPr>
          <w:p w14:paraId="6A635EDD" w14:textId="77777777" w:rsidR="00495E5F" w:rsidRPr="004A1897" w:rsidRDefault="00495E5F" w:rsidP="00F919A6">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3511" w:type="dxa"/>
            <w:tcBorders>
              <w:top w:val="single" w:sz="4" w:space="0" w:color="auto"/>
              <w:left w:val="single" w:sz="4" w:space="0" w:color="auto"/>
              <w:bottom w:val="single" w:sz="4" w:space="0" w:color="auto"/>
              <w:right w:val="single" w:sz="4" w:space="0" w:color="auto"/>
            </w:tcBorders>
            <w:hideMark/>
          </w:tcPr>
          <w:p w14:paraId="013B3EB9" w14:textId="77777777" w:rsidR="00495E5F" w:rsidRPr="00212191" w:rsidRDefault="00495E5F" w:rsidP="00F919A6">
            <w:pPr>
              <w:autoSpaceDE w:val="0"/>
              <w:autoSpaceDN w:val="0"/>
              <w:adjustRightInd w:val="0"/>
              <w:rPr>
                <w:sz w:val="20"/>
                <w:szCs w:val="20"/>
                <w:lang w:eastAsia="en-GB"/>
              </w:rPr>
            </w:pPr>
            <w:r w:rsidRPr="00212191">
              <w:rPr>
                <w:sz w:val="20"/>
                <w:szCs w:val="20"/>
                <w:lang w:eastAsia="en-GB"/>
              </w:rPr>
              <w:t>(a) areas kept inviolate from human interference so that future comparisons may be possible with localities that have been affected by human activities;</w:t>
            </w:r>
          </w:p>
          <w:p w14:paraId="58E1EB0A" w14:textId="77777777" w:rsidR="00495E5F" w:rsidRPr="00212191" w:rsidRDefault="00495E5F" w:rsidP="00F919A6">
            <w:pPr>
              <w:autoSpaceDE w:val="0"/>
              <w:autoSpaceDN w:val="0"/>
              <w:adjustRightInd w:val="0"/>
              <w:rPr>
                <w:sz w:val="20"/>
                <w:szCs w:val="20"/>
                <w:lang w:eastAsia="en-GB"/>
              </w:rPr>
            </w:pPr>
            <w:r w:rsidRPr="00212191">
              <w:rPr>
                <w:sz w:val="20"/>
                <w:szCs w:val="20"/>
                <w:lang w:eastAsia="en-GB"/>
              </w:rPr>
              <w:t>(b) representative examples of major terrestrial, including glacial and aquatic, ecosystems and marine ecosystems;</w:t>
            </w:r>
          </w:p>
          <w:p w14:paraId="6E02C270" w14:textId="77777777" w:rsidR="00495E5F" w:rsidRPr="00212191" w:rsidRDefault="00495E5F" w:rsidP="00F919A6">
            <w:pPr>
              <w:autoSpaceDE w:val="0"/>
              <w:autoSpaceDN w:val="0"/>
              <w:adjustRightInd w:val="0"/>
              <w:rPr>
                <w:sz w:val="20"/>
                <w:szCs w:val="20"/>
                <w:lang w:eastAsia="en-GB"/>
              </w:rPr>
            </w:pPr>
            <w:r w:rsidRPr="00212191">
              <w:rPr>
                <w:sz w:val="20"/>
                <w:szCs w:val="20"/>
                <w:lang w:eastAsia="en-GB"/>
              </w:rPr>
              <w:t>(e) areas of particular interest to ongoing or planned scientific research;</w:t>
            </w:r>
          </w:p>
          <w:p w14:paraId="7AEA25E4" w14:textId="77777777" w:rsidR="00495E5F" w:rsidRPr="00212191" w:rsidRDefault="00495E5F" w:rsidP="00F919A6">
            <w:pPr>
              <w:autoSpaceDE w:val="0"/>
              <w:autoSpaceDN w:val="0"/>
              <w:adjustRightInd w:val="0"/>
              <w:rPr>
                <w:sz w:val="20"/>
                <w:szCs w:val="20"/>
                <w:lang w:eastAsia="en-GB"/>
              </w:rPr>
            </w:pPr>
            <w:r w:rsidRPr="00212191">
              <w:rPr>
                <w:sz w:val="20"/>
                <w:szCs w:val="20"/>
                <w:lang w:eastAsia="en-GB"/>
              </w:rPr>
              <w:t>(f) examples of outstanding geological, glaciological or geomorphological features;</w:t>
            </w:r>
          </w:p>
          <w:p w14:paraId="03BC888E" w14:textId="77777777" w:rsidR="00495E5F" w:rsidRPr="00212191" w:rsidRDefault="00495E5F" w:rsidP="00F919A6">
            <w:pPr>
              <w:autoSpaceDE w:val="0"/>
              <w:autoSpaceDN w:val="0"/>
              <w:adjustRightInd w:val="0"/>
              <w:rPr>
                <w:snapToGrid w:val="0"/>
                <w:sz w:val="20"/>
                <w:szCs w:val="20"/>
              </w:rPr>
            </w:pPr>
            <w:r w:rsidRPr="00212191">
              <w:rPr>
                <w:sz w:val="20"/>
                <w:szCs w:val="20"/>
                <w:lang w:eastAsia="en-GB"/>
              </w:rPr>
              <w:t>(g) areas of outstanding</w:t>
            </w:r>
            <w:r>
              <w:rPr>
                <w:sz w:val="20"/>
                <w:szCs w:val="20"/>
                <w:lang w:eastAsia="en-GB"/>
              </w:rPr>
              <w:t xml:space="preserve"> aesthetic and wilderness value.</w:t>
            </w:r>
          </w:p>
        </w:tc>
      </w:tr>
      <w:tr w:rsidR="00495E5F" w14:paraId="1D0E3D3D" w14:textId="77777777" w:rsidTr="00495E5F">
        <w:tblPrEx>
          <w:tblLook w:val="04A0" w:firstRow="1" w:lastRow="0" w:firstColumn="1" w:lastColumn="0" w:noHBand="0" w:noVBand="1"/>
        </w:tblPrEx>
        <w:tc>
          <w:tcPr>
            <w:tcW w:w="4984" w:type="dxa"/>
            <w:tcBorders>
              <w:top w:val="single" w:sz="4" w:space="0" w:color="auto"/>
              <w:left w:val="single" w:sz="4" w:space="0" w:color="auto"/>
              <w:bottom w:val="single" w:sz="4" w:space="0" w:color="auto"/>
              <w:right w:val="single" w:sz="4" w:space="0" w:color="auto"/>
            </w:tcBorders>
            <w:hideMark/>
          </w:tcPr>
          <w:p w14:paraId="16944B75" w14:textId="77777777" w:rsidR="00495E5F" w:rsidRPr="004A1897" w:rsidRDefault="00495E5F" w:rsidP="00F919A6">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3511" w:type="dxa"/>
            <w:tcBorders>
              <w:top w:val="single" w:sz="4" w:space="0" w:color="auto"/>
              <w:left w:val="single" w:sz="4" w:space="0" w:color="auto"/>
              <w:bottom w:val="single" w:sz="4" w:space="0" w:color="auto"/>
              <w:right w:val="single" w:sz="4" w:space="0" w:color="auto"/>
            </w:tcBorders>
            <w:hideMark/>
          </w:tcPr>
          <w:p w14:paraId="521F7D14" w14:textId="77777777" w:rsidR="00495E5F" w:rsidRPr="009D14DD" w:rsidRDefault="00495E5F" w:rsidP="00F919A6">
            <w:pPr>
              <w:pStyle w:val="ATSNormal"/>
            </w:pPr>
            <w:r w:rsidRPr="009D14DD">
              <w:rPr>
                <w:sz w:val="20"/>
              </w:rPr>
              <w:t>Environment S – McMurdo – South Victoria Land Geologic.</w:t>
            </w:r>
          </w:p>
        </w:tc>
      </w:tr>
      <w:tr w:rsidR="00495E5F" w14:paraId="74FA40F2" w14:textId="77777777" w:rsidTr="00495E5F">
        <w:tblPrEx>
          <w:tblLook w:val="04A0" w:firstRow="1" w:lastRow="0" w:firstColumn="1" w:lastColumn="0" w:noHBand="0" w:noVBand="1"/>
        </w:tblPrEx>
        <w:tc>
          <w:tcPr>
            <w:tcW w:w="4984" w:type="dxa"/>
            <w:tcBorders>
              <w:top w:val="single" w:sz="4" w:space="0" w:color="auto"/>
              <w:left w:val="single" w:sz="4" w:space="0" w:color="auto"/>
              <w:bottom w:val="single" w:sz="4" w:space="0" w:color="auto"/>
              <w:right w:val="single" w:sz="4" w:space="0" w:color="auto"/>
            </w:tcBorders>
            <w:hideMark/>
          </w:tcPr>
          <w:p w14:paraId="464FFFE3" w14:textId="77777777" w:rsidR="00495E5F" w:rsidRPr="004A1897" w:rsidRDefault="00495E5F" w:rsidP="00F919A6">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3511" w:type="dxa"/>
            <w:tcBorders>
              <w:top w:val="single" w:sz="4" w:space="0" w:color="auto"/>
              <w:left w:val="single" w:sz="4" w:space="0" w:color="auto"/>
              <w:bottom w:val="single" w:sz="4" w:space="0" w:color="auto"/>
              <w:right w:val="single" w:sz="4" w:space="0" w:color="auto"/>
            </w:tcBorders>
            <w:hideMark/>
          </w:tcPr>
          <w:p w14:paraId="0618802F" w14:textId="77777777" w:rsidR="00495E5F" w:rsidRDefault="00495E5F" w:rsidP="00F919A6">
            <w:pPr>
              <w:pStyle w:val="ATSNormal"/>
              <w:rPr>
                <w:snapToGrid w:val="0"/>
                <w:sz w:val="20"/>
                <w:szCs w:val="20"/>
              </w:rPr>
            </w:pPr>
            <w:r>
              <w:rPr>
                <w:snapToGrid w:val="0"/>
                <w:sz w:val="20"/>
                <w:szCs w:val="20"/>
              </w:rPr>
              <w:t>ACBR 9 South Victoria Land.</w:t>
            </w:r>
          </w:p>
        </w:tc>
      </w:tr>
      <w:tr w:rsidR="00495E5F" w14:paraId="33B56296" w14:textId="77777777" w:rsidTr="00495E5F">
        <w:tblPrEx>
          <w:tblLook w:val="04A0" w:firstRow="1" w:lastRow="0" w:firstColumn="1" w:lastColumn="0" w:noHBand="0" w:noVBand="1"/>
        </w:tblPrEx>
        <w:tc>
          <w:tcPr>
            <w:tcW w:w="4984" w:type="dxa"/>
            <w:tcBorders>
              <w:top w:val="single" w:sz="4" w:space="0" w:color="auto"/>
              <w:left w:val="single" w:sz="4" w:space="0" w:color="auto"/>
              <w:bottom w:val="single" w:sz="4" w:space="0" w:color="auto"/>
              <w:right w:val="single" w:sz="4" w:space="0" w:color="auto"/>
            </w:tcBorders>
            <w:hideMark/>
          </w:tcPr>
          <w:p w14:paraId="3F9A74C2" w14:textId="77777777" w:rsidR="00495E5F" w:rsidRPr="004A1897" w:rsidRDefault="00495E5F" w:rsidP="00F919A6">
            <w:pPr>
              <w:pStyle w:val="Default"/>
              <w:autoSpaceDE/>
              <w:adjustRightInd/>
              <w:spacing w:before="120" w:after="120"/>
              <w:rPr>
                <w:b/>
                <w:sz w:val="20"/>
                <w:szCs w:val="20"/>
              </w:rPr>
            </w:pPr>
            <w:r>
              <w:rPr>
                <w:b/>
                <w:sz w:val="20"/>
                <w:szCs w:val="20"/>
              </w:rPr>
              <w:t>11.</w:t>
            </w:r>
            <w:r w:rsidRPr="004A1897">
              <w:rPr>
                <w:b/>
                <w:sz w:val="20"/>
                <w:szCs w:val="20"/>
              </w:rPr>
              <w:t xml:space="preserve"> Have you identified any Antarctic Important Bird Areas represented by the ASPA/ASMA (Resolution 5 (2015))? </w:t>
            </w:r>
          </w:p>
        </w:tc>
        <w:tc>
          <w:tcPr>
            <w:tcW w:w="3511" w:type="dxa"/>
            <w:tcBorders>
              <w:top w:val="single" w:sz="4" w:space="0" w:color="auto"/>
              <w:left w:val="single" w:sz="4" w:space="0" w:color="auto"/>
              <w:bottom w:val="single" w:sz="4" w:space="0" w:color="auto"/>
              <w:right w:val="single" w:sz="4" w:space="0" w:color="auto"/>
            </w:tcBorders>
            <w:hideMark/>
          </w:tcPr>
          <w:p w14:paraId="237DFF3C" w14:textId="77777777" w:rsidR="00495E5F" w:rsidRPr="004A1897" w:rsidRDefault="00495E5F" w:rsidP="00F919A6">
            <w:pPr>
              <w:pStyle w:val="ATSNormal"/>
              <w:rPr>
                <w:snapToGrid w:val="0"/>
                <w:sz w:val="20"/>
                <w:szCs w:val="20"/>
              </w:rPr>
            </w:pPr>
            <w:r>
              <w:rPr>
                <w:snapToGrid w:val="0"/>
                <w:color w:val="000000" w:themeColor="text1"/>
                <w:sz w:val="20"/>
                <w:szCs w:val="20"/>
              </w:rPr>
              <w:t>No</w:t>
            </w:r>
            <w:r w:rsidRPr="004A1897">
              <w:rPr>
                <w:snapToGrid w:val="0"/>
                <w:color w:val="000000" w:themeColor="text1"/>
                <w:sz w:val="20"/>
                <w:szCs w:val="20"/>
              </w:rPr>
              <w:t xml:space="preserve">. </w:t>
            </w:r>
          </w:p>
        </w:tc>
      </w:tr>
    </w:tbl>
    <w:p w14:paraId="5093DA66" w14:textId="77777777" w:rsidR="00495E5F" w:rsidRDefault="00495E5F" w:rsidP="00495E5F"/>
    <w:p w14:paraId="4401C3E2" w14:textId="77777777" w:rsidR="00495E5F" w:rsidRPr="002D1AD0" w:rsidRDefault="00495E5F" w:rsidP="00495E5F">
      <w:pPr>
        <w:pStyle w:val="ATSHeading1"/>
      </w:pPr>
      <w:r>
        <w:lastRenderedPageBreak/>
        <w:t xml:space="preserve">ASPA No. </w:t>
      </w:r>
      <w:r w:rsidRPr="002D1AD0">
        <w:t>123 Barwick and Balham Valleys, Southern Victoria Land</w:t>
      </w:r>
    </w:p>
    <w:p w14:paraId="12C47C49" w14:textId="77777777" w:rsidR="00495E5F" w:rsidRPr="006625C7" w:rsidRDefault="00495E5F" w:rsidP="00495E5F">
      <w:pPr>
        <w:pStyle w:val="ATSNumber1"/>
        <w:numPr>
          <w:ilvl w:val="0"/>
          <w:numId w:val="13"/>
        </w:numPr>
      </w:pPr>
      <w:r>
        <w:t>The m</w:t>
      </w:r>
      <w:r w:rsidRPr="006625C7">
        <w:t xml:space="preserve">anagement </w:t>
      </w:r>
      <w:r>
        <w:t>p</w:t>
      </w:r>
      <w:r w:rsidRPr="006625C7">
        <w:t>lan for ASPA No. 123 Barwick and Balham Valleys was last reviewed in 2018/</w:t>
      </w:r>
      <w:r>
        <w:t>20</w:t>
      </w:r>
      <w:r w:rsidRPr="006625C7">
        <w:t>19</w:t>
      </w:r>
      <w:r>
        <w:t xml:space="preserve"> and </w:t>
      </w:r>
      <w:r w:rsidRPr="006625C7">
        <w:t>adopted through Measure 3 (2019)</w:t>
      </w:r>
      <w:r>
        <w:t>;</w:t>
      </w:r>
      <w:r w:rsidRPr="006625C7">
        <w:t xml:space="preserve"> review thus falls due in 2024.</w:t>
      </w:r>
    </w:p>
    <w:p w14:paraId="16E0C56D" w14:textId="77777777" w:rsidR="00495E5F" w:rsidRPr="006625C7" w:rsidRDefault="00495E5F" w:rsidP="00495E5F">
      <w:pPr>
        <w:pStyle w:val="ATSNumber1"/>
        <w:numPr>
          <w:ilvl w:val="0"/>
          <w:numId w:val="13"/>
        </w:numPr>
      </w:pPr>
      <w:r w:rsidRPr="006625C7">
        <w:t>The review was initiated one year in advance to enable all ASPAs in the McMurdo Dry Valleys for which the United States is responsible to be reviewed synchronously going forward. This helps to simplify the review process where common issues arise in the region (e.g. updates to policies on non-native species). Moreover, this also helps to ensure the plans remain consistent with each other and with the management plan for ASMA No.2 McMurdo Dry Valleys more generally.</w:t>
      </w:r>
    </w:p>
    <w:p w14:paraId="4802B652" w14:textId="77777777" w:rsidR="00495E5F" w:rsidRPr="006625C7" w:rsidRDefault="00495E5F" w:rsidP="00495E5F">
      <w:pPr>
        <w:pStyle w:val="ATSNumber1"/>
        <w:numPr>
          <w:ilvl w:val="0"/>
          <w:numId w:val="13"/>
        </w:numPr>
      </w:pPr>
      <w:r w:rsidRPr="006625C7">
        <w:t xml:space="preserve">The United States consulted with scientists working within the Area and made minor updates </w:t>
      </w:r>
      <w:r>
        <w:t>to the management plan</w:t>
      </w:r>
      <w:r w:rsidRPr="006625C7">
        <w:t xml:space="preserve">, </w:t>
      </w:r>
      <w:r>
        <w:t>taking</w:t>
      </w:r>
      <w:r w:rsidRPr="006625C7">
        <w:t xml:space="preserve"> into account agreements reached by the Antarctic Treaty Parties since the last plan was adopted.</w:t>
      </w:r>
      <w:r>
        <w:t xml:space="preserve"> </w:t>
      </w:r>
      <w:r w:rsidRPr="006625C7">
        <w:t>Permits issued for visits to the Area since the previous revision of the management plan were reviewed, with few visits made, and no significant changes to management policies were required.</w:t>
      </w:r>
    </w:p>
    <w:p w14:paraId="2B194BD2" w14:textId="77777777" w:rsidR="00495E5F" w:rsidRPr="006625C7" w:rsidRDefault="00495E5F" w:rsidP="00495E5F">
      <w:pPr>
        <w:pStyle w:val="ATSNumber1"/>
        <w:numPr>
          <w:ilvl w:val="0"/>
          <w:numId w:val="13"/>
        </w:numPr>
      </w:pPr>
      <w:r>
        <w:t xml:space="preserve">A </w:t>
      </w:r>
      <w:r w:rsidRPr="006625C7">
        <w:t>new objective to “preserve the almost pristine ecosystem as a biological reference area” has been added to Section 2</w:t>
      </w:r>
    </w:p>
    <w:p w14:paraId="047E7D93" w14:textId="77777777" w:rsidR="00495E5F" w:rsidRPr="006625C7" w:rsidRDefault="00495E5F" w:rsidP="00495E5F">
      <w:pPr>
        <w:pStyle w:val="ATSNumber1"/>
        <w:numPr>
          <w:ilvl w:val="0"/>
          <w:numId w:val="13"/>
        </w:numPr>
      </w:pPr>
      <w:r>
        <w:t>As a result of comments received from scientists in the review additional</w:t>
      </w:r>
      <w:r w:rsidRPr="006625C7">
        <w:t xml:space="preserve"> guidance on helicopter access has been </w:t>
      </w:r>
      <w:r>
        <w:t>given</w:t>
      </w:r>
      <w:r w:rsidRPr="006625C7">
        <w:t xml:space="preserve"> </w:t>
      </w:r>
      <w:r>
        <w:t xml:space="preserve">in </w:t>
      </w:r>
      <w:r w:rsidRPr="006625C7">
        <w:t>Section 7(ii), specifying</w:t>
      </w:r>
      <w:r>
        <w:t>:</w:t>
      </w:r>
      <w:r w:rsidRPr="006625C7">
        <w:t xml:space="preserve"> “Helicopter landings should avoid frozen lakes and stream beds. By preference, and where safe and practical, landings should be made on snow surfaces to minimize dust and soil disturbance.”</w:t>
      </w:r>
    </w:p>
    <w:p w14:paraId="03A4326B" w14:textId="77777777" w:rsidR="00495E5F" w:rsidRPr="006625C7" w:rsidRDefault="00495E5F" w:rsidP="00495E5F">
      <w:pPr>
        <w:pStyle w:val="ATSNumber1"/>
        <w:numPr>
          <w:ilvl w:val="0"/>
          <w:numId w:val="13"/>
        </w:numPr>
      </w:pPr>
      <w:r w:rsidRPr="006625C7">
        <w:t xml:space="preserve">Section 7(viii) has been revised to </w:t>
      </w:r>
      <w:r>
        <w:t>provide</w:t>
      </w:r>
      <w:r w:rsidRPr="006625C7">
        <w:t xml:space="preserve"> more specific </w:t>
      </w:r>
      <w:r>
        <w:t xml:space="preserve">guidance on </w:t>
      </w:r>
      <w:r w:rsidRPr="006625C7">
        <w:t>sampling procedures.</w:t>
      </w:r>
    </w:p>
    <w:p w14:paraId="4D2EE752" w14:textId="77777777" w:rsidR="00495E5F" w:rsidRPr="006625C7" w:rsidRDefault="00495E5F" w:rsidP="00495E5F">
      <w:pPr>
        <w:pStyle w:val="ATSNumber1"/>
        <w:numPr>
          <w:ilvl w:val="0"/>
          <w:numId w:val="13"/>
        </w:numPr>
      </w:pPr>
      <w:r>
        <w:t>A range of m</w:t>
      </w:r>
      <w:r w:rsidRPr="006625C7">
        <w:t>inor editorial changes have been implemented and the reference list has been updated.</w:t>
      </w:r>
    </w:p>
    <w:p w14:paraId="1B6D1453" w14:textId="77777777" w:rsidR="00495E5F" w:rsidRPr="006625C7" w:rsidRDefault="00495E5F" w:rsidP="00495E5F">
      <w:pPr>
        <w:pStyle w:val="ATSNumber1"/>
        <w:numPr>
          <w:ilvl w:val="0"/>
          <w:numId w:val="13"/>
        </w:numPr>
      </w:pPr>
      <w:r>
        <w:t>The map</w:t>
      </w:r>
      <w:r w:rsidRPr="006625C7">
        <w:t xml:space="preserve"> </w:t>
      </w:r>
      <w:r>
        <w:t>has</w:t>
      </w:r>
      <w:r w:rsidRPr="006625C7">
        <w:t xml:space="preserve"> been replaced by </w:t>
      </w:r>
      <w:r>
        <w:t xml:space="preserve">a </w:t>
      </w:r>
      <w:r w:rsidRPr="006625C7">
        <w:t xml:space="preserve">new version prepared in color to improve the clarity of site features, policies and </w:t>
      </w:r>
      <w:r>
        <w:t>the ASPA boundary</w:t>
      </w:r>
      <w:r w:rsidRPr="006625C7">
        <w:t>.</w:t>
      </w:r>
    </w:p>
    <w:p w14:paraId="42B17E55" w14:textId="77777777" w:rsidR="00495E5F" w:rsidRPr="006625C7" w:rsidRDefault="00495E5F" w:rsidP="00495E5F">
      <w:pPr>
        <w:pStyle w:val="ATSNumber1"/>
        <w:numPr>
          <w:ilvl w:val="0"/>
          <w:numId w:val="13"/>
        </w:numPr>
      </w:pPr>
      <w:r w:rsidRPr="006625C7">
        <w:t xml:space="preserve">The exceptional </w:t>
      </w:r>
      <w:r>
        <w:t>values of the Area remain valid</w:t>
      </w:r>
      <w:r w:rsidRPr="006625C7">
        <w:t xml:space="preserve"> and the management plan continues to protect those values.</w:t>
      </w:r>
    </w:p>
    <w:p w14:paraId="2E4855FA" w14:textId="77777777" w:rsidR="00495E5F" w:rsidRPr="006C19C4" w:rsidRDefault="00495E5F" w:rsidP="00495E5F">
      <w:pPr>
        <w:pStyle w:val="ATSHeading3"/>
      </w:pPr>
      <w:r w:rsidRPr="006C19C4">
        <w:t>Recommendation</w:t>
      </w:r>
    </w:p>
    <w:p w14:paraId="28171C28" w14:textId="77777777" w:rsidR="00495E5F" w:rsidRDefault="00495E5F" w:rsidP="00495E5F">
      <w:pPr>
        <w:pStyle w:val="ATSNormal"/>
      </w:pPr>
      <w:r>
        <w:t>The revised m</w:t>
      </w:r>
      <w:r w:rsidRPr="002453EC">
        <w:t xml:space="preserve">anagement </w:t>
      </w:r>
      <w:r>
        <w:t>p</w:t>
      </w:r>
      <w:r w:rsidRPr="002453EC">
        <w:t xml:space="preserve">lan </w:t>
      </w:r>
      <w:r>
        <w:t xml:space="preserve">and map are </w:t>
      </w:r>
      <w:r w:rsidRPr="002453EC">
        <w:t>attached for consideration by the Committee for Environmental Protection</w:t>
      </w:r>
      <w:r>
        <w:t xml:space="preserve"> for recommendation for adoption by the Antarctic Treaty Consultative Meeting</w:t>
      </w:r>
      <w:r w:rsidRPr="002453EC">
        <w:t>.</w:t>
      </w:r>
    </w:p>
    <w:p w14:paraId="35ECD43A" w14:textId="77777777" w:rsidR="00495E5F" w:rsidRDefault="00495E5F" w:rsidP="00952E9F"/>
    <w:sectPr w:rsidR="00495E5F"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D4CC3" w14:textId="77777777" w:rsidR="009C2125" w:rsidRDefault="00495E5F">
      <w:r>
        <w:separator/>
      </w:r>
    </w:p>
  </w:endnote>
  <w:endnote w:type="continuationSeparator" w:id="0">
    <w:p w14:paraId="2EAE4233" w14:textId="77777777" w:rsidR="009C2125" w:rsidRDefault="00495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2FE8" w14:textId="77777777" w:rsidR="00FA0B9F" w:rsidRDefault="00495E5F" w:rsidP="00CF5C82">
    <w:pPr>
      <w:framePr w:wrap="around" w:vAnchor="text" w:hAnchor="margin" w:xAlign="right" w:y="1"/>
    </w:pPr>
    <w:r>
      <w:fldChar w:fldCharType="begin"/>
    </w:r>
    <w:r>
      <w:instrText xml:space="preserve">PAGE  </w:instrText>
    </w:r>
    <w:r w:rsidR="00986C3B">
      <w:fldChar w:fldCharType="separate"/>
    </w:r>
    <w:r>
      <w:fldChar w:fldCharType="end"/>
    </w:r>
  </w:p>
  <w:p w14:paraId="10BF99BF" w14:textId="77777777" w:rsidR="00FA0B9F" w:rsidRDefault="00986C3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7353" w14:textId="77777777" w:rsidR="00FA0B9F" w:rsidRDefault="00495E5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CC27FFD" w14:textId="77777777" w:rsidR="00495E5F" w:rsidRDefault="00495E5F" w:rsidP="00FA0B9F">
    <w:pPr>
      <w:ind w:right="360"/>
    </w:pPr>
    <w:r>
      <w:t xml:space="preserve">Attachments: </w:t>
    </w:r>
  </w:p>
  <w:p w14:paraId="57D729F1" w14:textId="42427BF0" w:rsidR="00FA0B9F" w:rsidRDefault="00495E5F" w:rsidP="00FA0B9F">
    <w:pPr>
      <w:ind w:right="360"/>
    </w:pPr>
    <w:r>
      <w:t>Atcm45_att026_e.docx: ASPA 123 Revised Management Plan</w:t>
    </w:r>
  </w:p>
  <w:p w14:paraId="18505B0F" w14:textId="338B06CB" w:rsidR="00495E5F" w:rsidRPr="00495E5F" w:rsidRDefault="00495E5F" w:rsidP="00FA0B9F">
    <w:pPr>
      <w:ind w:right="360"/>
    </w:pPr>
    <w:r w:rsidRPr="00495E5F">
      <w:t>Atcm45_att027_e.pdf: ASPA 123 Map</w:t>
    </w:r>
    <w:r>
      <w:t xml:space="preserve">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8E47" w14:textId="77777777" w:rsidR="00495E5F" w:rsidRDefault="00495E5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16F6" w14:textId="77777777" w:rsidR="00E311C9" w:rsidRDefault="00495E5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46C7F1C" w14:textId="77777777" w:rsidR="00E311C9" w:rsidRDefault="00986C3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E685F" w14:textId="77777777" w:rsidR="009C2125" w:rsidRDefault="00495E5F">
      <w:r>
        <w:separator/>
      </w:r>
    </w:p>
  </w:footnote>
  <w:footnote w:type="continuationSeparator" w:id="0">
    <w:p w14:paraId="247D858E" w14:textId="77777777" w:rsidR="009C2125" w:rsidRDefault="00495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91DD" w14:textId="77777777" w:rsidR="00495E5F" w:rsidRDefault="00495E5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609BC" w14:paraId="203E8D51" w14:textId="77777777" w:rsidTr="002E12EC">
      <w:trPr>
        <w:trHeight w:val="344"/>
        <w:jc w:val="center"/>
      </w:trPr>
      <w:tc>
        <w:tcPr>
          <w:tcW w:w="5495" w:type="dxa"/>
        </w:tcPr>
        <w:p w14:paraId="10580089" w14:textId="77777777" w:rsidR="00DB7C09" w:rsidRDefault="00986C3B" w:rsidP="00F968D4"/>
      </w:tc>
      <w:tc>
        <w:tcPr>
          <w:tcW w:w="4253" w:type="dxa"/>
          <w:gridSpan w:val="2"/>
        </w:tcPr>
        <w:p w14:paraId="1B194849" w14:textId="77777777" w:rsidR="00DB7C09" w:rsidRPr="00BD47E4" w:rsidRDefault="00495E5F" w:rsidP="002A07BC">
          <w:pPr>
            <w:jc w:val="right"/>
            <w:rPr>
              <w:b/>
              <w:sz w:val="32"/>
              <w:szCs w:val="32"/>
            </w:rPr>
          </w:pPr>
          <w:bookmarkStart w:id="2" w:name="type"/>
          <w:r w:rsidRPr="00BD47E4">
            <w:rPr>
              <w:b/>
              <w:sz w:val="32"/>
              <w:szCs w:val="32"/>
            </w:rPr>
            <w:t>WP</w:t>
          </w:r>
          <w:bookmarkEnd w:id="2"/>
        </w:p>
      </w:tc>
      <w:tc>
        <w:tcPr>
          <w:tcW w:w="1524" w:type="dxa"/>
          <w:gridSpan w:val="2"/>
        </w:tcPr>
        <w:p w14:paraId="33F6DB0F" w14:textId="77777777" w:rsidR="00DB7C09" w:rsidRPr="00BD47E4" w:rsidRDefault="00495E5F" w:rsidP="00DB7C09">
          <w:pPr>
            <w:rPr>
              <w:b/>
              <w:sz w:val="32"/>
              <w:szCs w:val="32"/>
            </w:rPr>
          </w:pPr>
          <w:bookmarkStart w:id="3" w:name="number"/>
          <w:r w:rsidRPr="00BD47E4">
            <w:rPr>
              <w:b/>
              <w:sz w:val="32"/>
              <w:szCs w:val="32"/>
            </w:rPr>
            <w:t>23</w:t>
          </w:r>
          <w:bookmarkEnd w:id="3"/>
        </w:p>
      </w:tc>
    </w:tr>
    <w:tr w:rsidR="00D609BC" w14:paraId="748D8C0C" w14:textId="77777777" w:rsidTr="002E12EC">
      <w:trPr>
        <w:trHeight w:val="2165"/>
        <w:jc w:val="center"/>
      </w:trPr>
      <w:tc>
        <w:tcPr>
          <w:tcW w:w="5495" w:type="dxa"/>
        </w:tcPr>
        <w:p w14:paraId="1AC01F1D" w14:textId="77777777" w:rsidR="00490760" w:rsidRPr="00EE4D48" w:rsidRDefault="00495E5F" w:rsidP="002A07BC">
          <w:pPr>
            <w:rPr>
              <w:b/>
              <w:sz w:val="28"/>
              <w:szCs w:val="28"/>
            </w:rPr>
          </w:pPr>
          <w:r>
            <w:rPr>
              <w:noProof/>
            </w:rPr>
            <w:drawing>
              <wp:inline distT="0" distB="0" distL="0" distR="0" wp14:anchorId="050C3781" wp14:editId="40B9F793">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8933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7766856" w14:textId="77777777" w:rsidR="00490760" w:rsidRPr="00FE5146" w:rsidRDefault="00495E5F" w:rsidP="00490760">
          <w:pPr>
            <w:jc w:val="right"/>
            <w:rPr>
              <w:sz w:val="144"/>
              <w:szCs w:val="144"/>
            </w:rPr>
          </w:pPr>
          <w:r w:rsidRPr="00FE5146">
            <w:rPr>
              <w:sz w:val="144"/>
              <w:szCs w:val="144"/>
            </w:rPr>
            <w:t>ENG</w:t>
          </w:r>
        </w:p>
      </w:tc>
    </w:tr>
    <w:tr w:rsidR="00D609BC" w14:paraId="3440EEEC" w14:textId="77777777" w:rsidTr="002E12EC">
      <w:trPr>
        <w:trHeight w:val="409"/>
        <w:jc w:val="center"/>
      </w:trPr>
      <w:tc>
        <w:tcPr>
          <w:tcW w:w="8500" w:type="dxa"/>
          <w:gridSpan w:val="2"/>
        </w:tcPr>
        <w:p w14:paraId="75429C45" w14:textId="77777777" w:rsidR="00BD47E4" w:rsidRDefault="00495E5F" w:rsidP="002C30DA">
          <w:pPr>
            <w:jc w:val="right"/>
          </w:pPr>
          <w:r>
            <w:t>Agenda Item:</w:t>
          </w:r>
        </w:p>
      </w:tc>
      <w:tc>
        <w:tcPr>
          <w:tcW w:w="2382" w:type="dxa"/>
          <w:gridSpan w:val="2"/>
        </w:tcPr>
        <w:p w14:paraId="17720346" w14:textId="77777777" w:rsidR="00BD47E4" w:rsidRDefault="00495E5F" w:rsidP="002C30DA">
          <w:pPr>
            <w:jc w:val="right"/>
          </w:pPr>
          <w:bookmarkStart w:id="4" w:name="agenda"/>
          <w:r>
            <w:t>CEP 9a</w:t>
          </w:r>
          <w:bookmarkEnd w:id="4"/>
        </w:p>
      </w:tc>
      <w:tc>
        <w:tcPr>
          <w:tcW w:w="390" w:type="dxa"/>
        </w:tcPr>
        <w:p w14:paraId="0BF43FD1" w14:textId="77777777" w:rsidR="00BD47E4" w:rsidRDefault="00986C3B" w:rsidP="00387A65">
          <w:pPr>
            <w:jc w:val="right"/>
          </w:pPr>
        </w:p>
      </w:tc>
    </w:tr>
    <w:tr w:rsidR="00D609BC" w14:paraId="0FDCACE5" w14:textId="77777777" w:rsidTr="002E12EC">
      <w:trPr>
        <w:trHeight w:val="397"/>
        <w:jc w:val="center"/>
      </w:trPr>
      <w:tc>
        <w:tcPr>
          <w:tcW w:w="8500" w:type="dxa"/>
          <w:gridSpan w:val="2"/>
        </w:tcPr>
        <w:p w14:paraId="3A1A9DD7" w14:textId="77777777" w:rsidR="00BD47E4" w:rsidRDefault="00495E5F" w:rsidP="002C30DA">
          <w:pPr>
            <w:jc w:val="right"/>
          </w:pPr>
          <w:r>
            <w:t>Presented by:</w:t>
          </w:r>
        </w:p>
      </w:tc>
      <w:tc>
        <w:tcPr>
          <w:tcW w:w="2382" w:type="dxa"/>
          <w:gridSpan w:val="2"/>
        </w:tcPr>
        <w:p w14:paraId="2A260D3C" w14:textId="77777777" w:rsidR="00BD47E4" w:rsidRDefault="00495E5F" w:rsidP="002C30DA">
          <w:pPr>
            <w:jc w:val="right"/>
          </w:pPr>
          <w:bookmarkStart w:id="5" w:name="party"/>
          <w:r>
            <w:t>United States</w:t>
          </w:r>
          <w:bookmarkEnd w:id="5"/>
        </w:p>
      </w:tc>
      <w:tc>
        <w:tcPr>
          <w:tcW w:w="390" w:type="dxa"/>
        </w:tcPr>
        <w:p w14:paraId="10D67F41" w14:textId="77777777" w:rsidR="00BD47E4" w:rsidRDefault="00986C3B" w:rsidP="00387A65">
          <w:pPr>
            <w:jc w:val="right"/>
          </w:pPr>
        </w:p>
      </w:tc>
    </w:tr>
    <w:tr w:rsidR="00D609BC" w14:paraId="1B54ED9E" w14:textId="77777777" w:rsidTr="002E12EC">
      <w:trPr>
        <w:trHeight w:val="409"/>
        <w:jc w:val="center"/>
      </w:trPr>
      <w:tc>
        <w:tcPr>
          <w:tcW w:w="8500" w:type="dxa"/>
          <w:gridSpan w:val="2"/>
        </w:tcPr>
        <w:p w14:paraId="1FE17D39" w14:textId="77777777" w:rsidR="00BD47E4" w:rsidRDefault="00495E5F" w:rsidP="002C30DA">
          <w:pPr>
            <w:jc w:val="right"/>
          </w:pPr>
          <w:r>
            <w:t>Original:</w:t>
          </w:r>
        </w:p>
      </w:tc>
      <w:tc>
        <w:tcPr>
          <w:tcW w:w="2382" w:type="dxa"/>
          <w:gridSpan w:val="2"/>
        </w:tcPr>
        <w:p w14:paraId="288DB7BE" w14:textId="77777777" w:rsidR="00BD47E4" w:rsidRDefault="00495E5F" w:rsidP="002C30DA">
          <w:pPr>
            <w:jc w:val="right"/>
          </w:pPr>
          <w:bookmarkStart w:id="6" w:name="language"/>
          <w:r>
            <w:t>English</w:t>
          </w:r>
          <w:bookmarkEnd w:id="6"/>
        </w:p>
      </w:tc>
      <w:tc>
        <w:tcPr>
          <w:tcW w:w="390" w:type="dxa"/>
        </w:tcPr>
        <w:p w14:paraId="5FCECB2A" w14:textId="77777777" w:rsidR="00BD47E4" w:rsidRDefault="00986C3B" w:rsidP="00387A65">
          <w:pPr>
            <w:jc w:val="right"/>
          </w:pPr>
        </w:p>
      </w:tc>
    </w:tr>
    <w:tr w:rsidR="00D609BC" w14:paraId="49D36DF8" w14:textId="77777777" w:rsidTr="002E12EC">
      <w:trPr>
        <w:trHeight w:val="409"/>
        <w:jc w:val="center"/>
      </w:trPr>
      <w:tc>
        <w:tcPr>
          <w:tcW w:w="8500" w:type="dxa"/>
          <w:gridSpan w:val="2"/>
        </w:tcPr>
        <w:p w14:paraId="242C7455" w14:textId="77777777" w:rsidR="0097629D" w:rsidRDefault="00495E5F" w:rsidP="002C30DA">
          <w:pPr>
            <w:jc w:val="right"/>
          </w:pPr>
          <w:r>
            <w:t>Submitted:</w:t>
          </w:r>
        </w:p>
      </w:tc>
      <w:tc>
        <w:tcPr>
          <w:tcW w:w="2382" w:type="dxa"/>
          <w:gridSpan w:val="2"/>
        </w:tcPr>
        <w:p w14:paraId="5877A19E" w14:textId="1BA1C8DB" w:rsidR="0097629D" w:rsidRDefault="00495E5F" w:rsidP="0097629D">
          <w:pPr>
            <w:jc w:val="right"/>
          </w:pPr>
          <w:bookmarkStart w:id="7" w:name="date_submission"/>
          <w:r>
            <w:t>1</w:t>
          </w:r>
          <w:r w:rsidR="00986C3B">
            <w:t>3</w:t>
          </w:r>
          <w:r>
            <w:t xml:space="preserve"> Apr 2023</w:t>
          </w:r>
          <w:bookmarkEnd w:id="7"/>
        </w:p>
      </w:tc>
      <w:tc>
        <w:tcPr>
          <w:tcW w:w="390" w:type="dxa"/>
        </w:tcPr>
        <w:p w14:paraId="008001D8" w14:textId="77777777" w:rsidR="0097629D" w:rsidRDefault="00986C3B" w:rsidP="00387A65">
          <w:pPr>
            <w:jc w:val="right"/>
          </w:pPr>
        </w:p>
      </w:tc>
    </w:tr>
  </w:tbl>
  <w:p w14:paraId="4F2EAD45" w14:textId="77777777" w:rsidR="00AE5DD0" w:rsidRDefault="00986C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B9158" w14:textId="77777777" w:rsidR="00495E5F" w:rsidRDefault="00495E5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609BC" w14:paraId="7CDA9E8B" w14:textId="77777777">
      <w:trPr>
        <w:trHeight w:val="354"/>
        <w:jc w:val="center"/>
      </w:trPr>
      <w:tc>
        <w:tcPr>
          <w:tcW w:w="9694" w:type="dxa"/>
        </w:tcPr>
        <w:p w14:paraId="5A2EA4F7" w14:textId="6825239A" w:rsidR="00AE5DD0" w:rsidRPr="00BD47E4" w:rsidRDefault="00495E5F" w:rsidP="00C26F2D">
          <w:pPr>
            <w:jc w:val="right"/>
            <w:rPr>
              <w:b/>
              <w:sz w:val="32"/>
              <w:szCs w:val="32"/>
            </w:rPr>
          </w:pPr>
          <w:r>
            <w:rPr>
              <w:b/>
              <w:sz w:val="32"/>
              <w:szCs w:val="32"/>
            </w:rPr>
            <w:t>WP</w:t>
          </w:r>
        </w:p>
      </w:tc>
      <w:tc>
        <w:tcPr>
          <w:tcW w:w="1332" w:type="dxa"/>
        </w:tcPr>
        <w:p w14:paraId="4A7B723E" w14:textId="6604C23B" w:rsidR="00AE5DD0" w:rsidRPr="00BD47E4" w:rsidRDefault="00495E5F" w:rsidP="00080F4C">
          <w:pPr>
            <w:rPr>
              <w:b/>
              <w:sz w:val="32"/>
              <w:szCs w:val="32"/>
            </w:rPr>
          </w:pPr>
          <w:r>
            <w:rPr>
              <w:b/>
              <w:sz w:val="32"/>
              <w:szCs w:val="32"/>
            </w:rPr>
            <w:t>23</w:t>
          </w:r>
        </w:p>
      </w:tc>
    </w:tr>
  </w:tbl>
  <w:p w14:paraId="6A013B85" w14:textId="77777777" w:rsidR="00AE5DD0" w:rsidRDefault="00986C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500EB38">
      <w:start w:val="1"/>
      <w:numFmt w:val="bullet"/>
      <w:pStyle w:val="ATSBullet1"/>
      <w:lvlText w:val=""/>
      <w:lvlJc w:val="left"/>
      <w:pPr>
        <w:tabs>
          <w:tab w:val="num" w:pos="360"/>
        </w:tabs>
        <w:ind w:left="360" w:hanging="360"/>
      </w:pPr>
      <w:rPr>
        <w:rFonts w:ascii="Symbol" w:hAnsi="Symbol" w:hint="default"/>
        <w:color w:val="auto"/>
      </w:rPr>
    </w:lvl>
    <w:lvl w:ilvl="1" w:tplc="7B3645E6" w:tentative="1">
      <w:start w:val="1"/>
      <w:numFmt w:val="bullet"/>
      <w:lvlText w:val="o"/>
      <w:lvlJc w:val="left"/>
      <w:pPr>
        <w:tabs>
          <w:tab w:val="num" w:pos="1440"/>
        </w:tabs>
        <w:ind w:left="1440" w:hanging="360"/>
      </w:pPr>
      <w:rPr>
        <w:rFonts w:ascii="Courier New" w:hAnsi="Courier New" w:cs="Courier New" w:hint="default"/>
      </w:rPr>
    </w:lvl>
    <w:lvl w:ilvl="2" w:tplc="F32EB110" w:tentative="1">
      <w:start w:val="1"/>
      <w:numFmt w:val="bullet"/>
      <w:lvlText w:val=""/>
      <w:lvlJc w:val="left"/>
      <w:pPr>
        <w:tabs>
          <w:tab w:val="num" w:pos="2160"/>
        </w:tabs>
        <w:ind w:left="2160" w:hanging="360"/>
      </w:pPr>
      <w:rPr>
        <w:rFonts w:ascii="Wingdings" w:hAnsi="Wingdings" w:hint="default"/>
      </w:rPr>
    </w:lvl>
    <w:lvl w:ilvl="3" w:tplc="62C6D25C" w:tentative="1">
      <w:start w:val="1"/>
      <w:numFmt w:val="bullet"/>
      <w:lvlText w:val=""/>
      <w:lvlJc w:val="left"/>
      <w:pPr>
        <w:tabs>
          <w:tab w:val="num" w:pos="2880"/>
        </w:tabs>
        <w:ind w:left="2880" w:hanging="360"/>
      </w:pPr>
      <w:rPr>
        <w:rFonts w:ascii="Symbol" w:hAnsi="Symbol" w:hint="default"/>
      </w:rPr>
    </w:lvl>
    <w:lvl w:ilvl="4" w:tplc="8A6A766E" w:tentative="1">
      <w:start w:val="1"/>
      <w:numFmt w:val="bullet"/>
      <w:lvlText w:val="o"/>
      <w:lvlJc w:val="left"/>
      <w:pPr>
        <w:tabs>
          <w:tab w:val="num" w:pos="3600"/>
        </w:tabs>
        <w:ind w:left="3600" w:hanging="360"/>
      </w:pPr>
      <w:rPr>
        <w:rFonts w:ascii="Courier New" w:hAnsi="Courier New" w:cs="Courier New" w:hint="default"/>
      </w:rPr>
    </w:lvl>
    <w:lvl w:ilvl="5" w:tplc="E848AC88" w:tentative="1">
      <w:start w:val="1"/>
      <w:numFmt w:val="bullet"/>
      <w:lvlText w:val=""/>
      <w:lvlJc w:val="left"/>
      <w:pPr>
        <w:tabs>
          <w:tab w:val="num" w:pos="4320"/>
        </w:tabs>
        <w:ind w:left="4320" w:hanging="360"/>
      </w:pPr>
      <w:rPr>
        <w:rFonts w:ascii="Wingdings" w:hAnsi="Wingdings" w:hint="default"/>
      </w:rPr>
    </w:lvl>
    <w:lvl w:ilvl="6" w:tplc="6D1C405C" w:tentative="1">
      <w:start w:val="1"/>
      <w:numFmt w:val="bullet"/>
      <w:lvlText w:val=""/>
      <w:lvlJc w:val="left"/>
      <w:pPr>
        <w:tabs>
          <w:tab w:val="num" w:pos="5040"/>
        </w:tabs>
        <w:ind w:left="5040" w:hanging="360"/>
      </w:pPr>
      <w:rPr>
        <w:rFonts w:ascii="Symbol" w:hAnsi="Symbol" w:hint="default"/>
      </w:rPr>
    </w:lvl>
    <w:lvl w:ilvl="7" w:tplc="52F6219E" w:tentative="1">
      <w:start w:val="1"/>
      <w:numFmt w:val="bullet"/>
      <w:lvlText w:val="o"/>
      <w:lvlJc w:val="left"/>
      <w:pPr>
        <w:tabs>
          <w:tab w:val="num" w:pos="5760"/>
        </w:tabs>
        <w:ind w:left="5760" w:hanging="360"/>
      </w:pPr>
      <w:rPr>
        <w:rFonts w:ascii="Courier New" w:hAnsi="Courier New" w:cs="Courier New" w:hint="default"/>
      </w:rPr>
    </w:lvl>
    <w:lvl w:ilvl="8" w:tplc="31503E8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91EDD6C">
      <w:start w:val="1"/>
      <w:numFmt w:val="decimal"/>
      <w:lvlText w:val="%1)"/>
      <w:lvlJc w:val="left"/>
      <w:pPr>
        <w:tabs>
          <w:tab w:val="num" w:pos="340"/>
        </w:tabs>
        <w:ind w:left="340" w:hanging="340"/>
      </w:pPr>
      <w:rPr>
        <w:rFonts w:hint="default"/>
      </w:rPr>
    </w:lvl>
    <w:lvl w:ilvl="1" w:tplc="2BF0F172" w:tentative="1">
      <w:start w:val="1"/>
      <w:numFmt w:val="lowerLetter"/>
      <w:lvlText w:val="%2."/>
      <w:lvlJc w:val="left"/>
      <w:pPr>
        <w:tabs>
          <w:tab w:val="num" w:pos="1440"/>
        </w:tabs>
        <w:ind w:left="1440" w:hanging="360"/>
      </w:pPr>
    </w:lvl>
    <w:lvl w:ilvl="2" w:tplc="21702CCA" w:tentative="1">
      <w:start w:val="1"/>
      <w:numFmt w:val="lowerRoman"/>
      <w:lvlText w:val="%3."/>
      <w:lvlJc w:val="right"/>
      <w:pPr>
        <w:tabs>
          <w:tab w:val="num" w:pos="2160"/>
        </w:tabs>
        <w:ind w:left="2160" w:hanging="180"/>
      </w:pPr>
    </w:lvl>
    <w:lvl w:ilvl="3" w:tplc="86829F2C" w:tentative="1">
      <w:start w:val="1"/>
      <w:numFmt w:val="decimal"/>
      <w:lvlText w:val="%4."/>
      <w:lvlJc w:val="left"/>
      <w:pPr>
        <w:tabs>
          <w:tab w:val="num" w:pos="2880"/>
        </w:tabs>
        <w:ind w:left="2880" w:hanging="360"/>
      </w:pPr>
    </w:lvl>
    <w:lvl w:ilvl="4" w:tplc="C7C0AA88" w:tentative="1">
      <w:start w:val="1"/>
      <w:numFmt w:val="lowerLetter"/>
      <w:lvlText w:val="%5."/>
      <w:lvlJc w:val="left"/>
      <w:pPr>
        <w:tabs>
          <w:tab w:val="num" w:pos="3600"/>
        </w:tabs>
        <w:ind w:left="3600" w:hanging="360"/>
      </w:pPr>
    </w:lvl>
    <w:lvl w:ilvl="5" w:tplc="A2DC7A36" w:tentative="1">
      <w:start w:val="1"/>
      <w:numFmt w:val="lowerRoman"/>
      <w:lvlText w:val="%6."/>
      <w:lvlJc w:val="right"/>
      <w:pPr>
        <w:tabs>
          <w:tab w:val="num" w:pos="4320"/>
        </w:tabs>
        <w:ind w:left="4320" w:hanging="180"/>
      </w:pPr>
    </w:lvl>
    <w:lvl w:ilvl="6" w:tplc="DD047F12" w:tentative="1">
      <w:start w:val="1"/>
      <w:numFmt w:val="decimal"/>
      <w:lvlText w:val="%7."/>
      <w:lvlJc w:val="left"/>
      <w:pPr>
        <w:tabs>
          <w:tab w:val="num" w:pos="5040"/>
        </w:tabs>
        <w:ind w:left="5040" w:hanging="360"/>
      </w:pPr>
    </w:lvl>
    <w:lvl w:ilvl="7" w:tplc="5A12014E" w:tentative="1">
      <w:start w:val="1"/>
      <w:numFmt w:val="lowerLetter"/>
      <w:lvlText w:val="%8."/>
      <w:lvlJc w:val="left"/>
      <w:pPr>
        <w:tabs>
          <w:tab w:val="num" w:pos="5760"/>
        </w:tabs>
        <w:ind w:left="5760" w:hanging="360"/>
      </w:pPr>
    </w:lvl>
    <w:lvl w:ilvl="8" w:tplc="6C96138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DF0CF60">
      <w:start w:val="1"/>
      <w:numFmt w:val="decimal"/>
      <w:lvlText w:val="%1."/>
      <w:lvlJc w:val="left"/>
      <w:pPr>
        <w:tabs>
          <w:tab w:val="num" w:pos="1057"/>
        </w:tabs>
        <w:ind w:left="1057" w:hanging="360"/>
      </w:pPr>
      <w:rPr>
        <w:rFonts w:hint="default"/>
      </w:rPr>
    </w:lvl>
    <w:lvl w:ilvl="1" w:tplc="37201ABE" w:tentative="1">
      <w:start w:val="1"/>
      <w:numFmt w:val="lowerLetter"/>
      <w:lvlText w:val="%2."/>
      <w:lvlJc w:val="left"/>
      <w:pPr>
        <w:tabs>
          <w:tab w:val="num" w:pos="2137"/>
        </w:tabs>
        <w:ind w:left="2137" w:hanging="360"/>
      </w:pPr>
    </w:lvl>
    <w:lvl w:ilvl="2" w:tplc="6712BE4C" w:tentative="1">
      <w:start w:val="1"/>
      <w:numFmt w:val="lowerRoman"/>
      <w:lvlText w:val="%3."/>
      <w:lvlJc w:val="right"/>
      <w:pPr>
        <w:tabs>
          <w:tab w:val="num" w:pos="2857"/>
        </w:tabs>
        <w:ind w:left="2857" w:hanging="180"/>
      </w:pPr>
    </w:lvl>
    <w:lvl w:ilvl="3" w:tplc="F63298D6" w:tentative="1">
      <w:start w:val="1"/>
      <w:numFmt w:val="decimal"/>
      <w:lvlText w:val="%4."/>
      <w:lvlJc w:val="left"/>
      <w:pPr>
        <w:tabs>
          <w:tab w:val="num" w:pos="3577"/>
        </w:tabs>
        <w:ind w:left="3577" w:hanging="360"/>
      </w:pPr>
    </w:lvl>
    <w:lvl w:ilvl="4" w:tplc="E4E82A1A" w:tentative="1">
      <w:start w:val="1"/>
      <w:numFmt w:val="lowerLetter"/>
      <w:lvlText w:val="%5."/>
      <w:lvlJc w:val="left"/>
      <w:pPr>
        <w:tabs>
          <w:tab w:val="num" w:pos="4297"/>
        </w:tabs>
        <w:ind w:left="4297" w:hanging="360"/>
      </w:pPr>
    </w:lvl>
    <w:lvl w:ilvl="5" w:tplc="AFF2690E" w:tentative="1">
      <w:start w:val="1"/>
      <w:numFmt w:val="lowerRoman"/>
      <w:lvlText w:val="%6."/>
      <w:lvlJc w:val="right"/>
      <w:pPr>
        <w:tabs>
          <w:tab w:val="num" w:pos="5017"/>
        </w:tabs>
        <w:ind w:left="5017" w:hanging="180"/>
      </w:pPr>
    </w:lvl>
    <w:lvl w:ilvl="6" w:tplc="BE94BF4A" w:tentative="1">
      <w:start w:val="1"/>
      <w:numFmt w:val="decimal"/>
      <w:lvlText w:val="%7."/>
      <w:lvlJc w:val="left"/>
      <w:pPr>
        <w:tabs>
          <w:tab w:val="num" w:pos="5737"/>
        </w:tabs>
        <w:ind w:left="5737" w:hanging="360"/>
      </w:pPr>
    </w:lvl>
    <w:lvl w:ilvl="7" w:tplc="FDC067B2" w:tentative="1">
      <w:start w:val="1"/>
      <w:numFmt w:val="lowerLetter"/>
      <w:lvlText w:val="%8."/>
      <w:lvlJc w:val="left"/>
      <w:pPr>
        <w:tabs>
          <w:tab w:val="num" w:pos="6457"/>
        </w:tabs>
        <w:ind w:left="6457" w:hanging="360"/>
      </w:pPr>
    </w:lvl>
    <w:lvl w:ilvl="8" w:tplc="A312873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6B020B0">
      <w:start w:val="1"/>
      <w:numFmt w:val="decimal"/>
      <w:pStyle w:val="ATSNumber1"/>
      <w:lvlText w:val="%1)"/>
      <w:lvlJc w:val="left"/>
      <w:pPr>
        <w:tabs>
          <w:tab w:val="num" w:pos="720"/>
        </w:tabs>
        <w:ind w:left="720" w:hanging="360"/>
      </w:pPr>
    </w:lvl>
    <w:lvl w:ilvl="1" w:tplc="3FF069AE" w:tentative="1">
      <w:start w:val="1"/>
      <w:numFmt w:val="lowerLetter"/>
      <w:lvlText w:val="%2."/>
      <w:lvlJc w:val="left"/>
      <w:pPr>
        <w:tabs>
          <w:tab w:val="num" w:pos="1440"/>
        </w:tabs>
        <w:ind w:left="1440" w:hanging="360"/>
      </w:pPr>
    </w:lvl>
    <w:lvl w:ilvl="2" w:tplc="D902AE12" w:tentative="1">
      <w:start w:val="1"/>
      <w:numFmt w:val="lowerRoman"/>
      <w:lvlText w:val="%3."/>
      <w:lvlJc w:val="right"/>
      <w:pPr>
        <w:tabs>
          <w:tab w:val="num" w:pos="2160"/>
        </w:tabs>
        <w:ind w:left="2160" w:hanging="180"/>
      </w:pPr>
    </w:lvl>
    <w:lvl w:ilvl="3" w:tplc="754EAC92" w:tentative="1">
      <w:start w:val="1"/>
      <w:numFmt w:val="decimal"/>
      <w:lvlText w:val="%4."/>
      <w:lvlJc w:val="left"/>
      <w:pPr>
        <w:tabs>
          <w:tab w:val="num" w:pos="2880"/>
        </w:tabs>
        <w:ind w:left="2880" w:hanging="360"/>
      </w:pPr>
    </w:lvl>
    <w:lvl w:ilvl="4" w:tplc="0D3E45CA" w:tentative="1">
      <w:start w:val="1"/>
      <w:numFmt w:val="lowerLetter"/>
      <w:lvlText w:val="%5."/>
      <w:lvlJc w:val="left"/>
      <w:pPr>
        <w:tabs>
          <w:tab w:val="num" w:pos="3600"/>
        </w:tabs>
        <w:ind w:left="3600" w:hanging="360"/>
      </w:pPr>
    </w:lvl>
    <w:lvl w:ilvl="5" w:tplc="B37C0A98" w:tentative="1">
      <w:start w:val="1"/>
      <w:numFmt w:val="lowerRoman"/>
      <w:lvlText w:val="%6."/>
      <w:lvlJc w:val="right"/>
      <w:pPr>
        <w:tabs>
          <w:tab w:val="num" w:pos="4320"/>
        </w:tabs>
        <w:ind w:left="4320" w:hanging="180"/>
      </w:pPr>
    </w:lvl>
    <w:lvl w:ilvl="6" w:tplc="D30E56AE" w:tentative="1">
      <w:start w:val="1"/>
      <w:numFmt w:val="decimal"/>
      <w:lvlText w:val="%7."/>
      <w:lvlJc w:val="left"/>
      <w:pPr>
        <w:tabs>
          <w:tab w:val="num" w:pos="5040"/>
        </w:tabs>
        <w:ind w:left="5040" w:hanging="360"/>
      </w:pPr>
    </w:lvl>
    <w:lvl w:ilvl="7" w:tplc="DF9E6B76" w:tentative="1">
      <w:start w:val="1"/>
      <w:numFmt w:val="lowerLetter"/>
      <w:lvlText w:val="%8."/>
      <w:lvlJc w:val="left"/>
      <w:pPr>
        <w:tabs>
          <w:tab w:val="num" w:pos="5760"/>
        </w:tabs>
        <w:ind w:left="5760" w:hanging="360"/>
      </w:pPr>
    </w:lvl>
    <w:lvl w:ilvl="8" w:tplc="F96AF30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48C75A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95E360A" w:tentative="1">
      <w:start w:val="1"/>
      <w:numFmt w:val="bullet"/>
      <w:lvlText w:val="o"/>
      <w:lvlJc w:val="left"/>
      <w:pPr>
        <w:tabs>
          <w:tab w:val="num" w:pos="2517"/>
        </w:tabs>
        <w:ind w:left="2517" w:hanging="360"/>
      </w:pPr>
      <w:rPr>
        <w:rFonts w:ascii="Courier New" w:hAnsi="Courier New" w:cs="Courier New" w:hint="default"/>
      </w:rPr>
    </w:lvl>
    <w:lvl w:ilvl="2" w:tplc="7F2ACD4C" w:tentative="1">
      <w:start w:val="1"/>
      <w:numFmt w:val="bullet"/>
      <w:lvlText w:val=""/>
      <w:lvlJc w:val="left"/>
      <w:pPr>
        <w:tabs>
          <w:tab w:val="num" w:pos="3237"/>
        </w:tabs>
        <w:ind w:left="3237" w:hanging="360"/>
      </w:pPr>
      <w:rPr>
        <w:rFonts w:ascii="Wingdings" w:hAnsi="Wingdings" w:hint="default"/>
      </w:rPr>
    </w:lvl>
    <w:lvl w:ilvl="3" w:tplc="69B26CB0" w:tentative="1">
      <w:start w:val="1"/>
      <w:numFmt w:val="bullet"/>
      <w:lvlText w:val=""/>
      <w:lvlJc w:val="left"/>
      <w:pPr>
        <w:tabs>
          <w:tab w:val="num" w:pos="3957"/>
        </w:tabs>
        <w:ind w:left="3957" w:hanging="360"/>
      </w:pPr>
      <w:rPr>
        <w:rFonts w:ascii="Symbol" w:hAnsi="Symbol" w:hint="default"/>
      </w:rPr>
    </w:lvl>
    <w:lvl w:ilvl="4" w:tplc="273EF1B6" w:tentative="1">
      <w:start w:val="1"/>
      <w:numFmt w:val="bullet"/>
      <w:lvlText w:val="o"/>
      <w:lvlJc w:val="left"/>
      <w:pPr>
        <w:tabs>
          <w:tab w:val="num" w:pos="4677"/>
        </w:tabs>
        <w:ind w:left="4677" w:hanging="360"/>
      </w:pPr>
      <w:rPr>
        <w:rFonts w:ascii="Courier New" w:hAnsi="Courier New" w:cs="Courier New" w:hint="default"/>
      </w:rPr>
    </w:lvl>
    <w:lvl w:ilvl="5" w:tplc="5C2A4ACA" w:tentative="1">
      <w:start w:val="1"/>
      <w:numFmt w:val="bullet"/>
      <w:lvlText w:val=""/>
      <w:lvlJc w:val="left"/>
      <w:pPr>
        <w:tabs>
          <w:tab w:val="num" w:pos="5397"/>
        </w:tabs>
        <w:ind w:left="5397" w:hanging="360"/>
      </w:pPr>
      <w:rPr>
        <w:rFonts w:ascii="Wingdings" w:hAnsi="Wingdings" w:hint="default"/>
      </w:rPr>
    </w:lvl>
    <w:lvl w:ilvl="6" w:tplc="B35446FA" w:tentative="1">
      <w:start w:val="1"/>
      <w:numFmt w:val="bullet"/>
      <w:lvlText w:val=""/>
      <w:lvlJc w:val="left"/>
      <w:pPr>
        <w:tabs>
          <w:tab w:val="num" w:pos="6117"/>
        </w:tabs>
        <w:ind w:left="6117" w:hanging="360"/>
      </w:pPr>
      <w:rPr>
        <w:rFonts w:ascii="Symbol" w:hAnsi="Symbol" w:hint="default"/>
      </w:rPr>
    </w:lvl>
    <w:lvl w:ilvl="7" w:tplc="3A16C344" w:tentative="1">
      <w:start w:val="1"/>
      <w:numFmt w:val="bullet"/>
      <w:lvlText w:val="o"/>
      <w:lvlJc w:val="left"/>
      <w:pPr>
        <w:tabs>
          <w:tab w:val="num" w:pos="6837"/>
        </w:tabs>
        <w:ind w:left="6837" w:hanging="360"/>
      </w:pPr>
      <w:rPr>
        <w:rFonts w:ascii="Courier New" w:hAnsi="Courier New" w:cs="Courier New" w:hint="default"/>
      </w:rPr>
    </w:lvl>
    <w:lvl w:ilvl="8" w:tplc="854066E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647C6B70">
      <w:start w:val="1"/>
      <w:numFmt w:val="decimal"/>
      <w:pStyle w:val="ATSNumber2"/>
      <w:lvlText w:val="%1."/>
      <w:lvlJc w:val="left"/>
      <w:pPr>
        <w:tabs>
          <w:tab w:val="num" w:pos="720"/>
        </w:tabs>
        <w:ind w:left="720" w:hanging="360"/>
      </w:pPr>
      <w:rPr>
        <w:rFonts w:hint="default"/>
      </w:rPr>
    </w:lvl>
    <w:lvl w:ilvl="1" w:tplc="2602A896" w:tentative="1">
      <w:start w:val="1"/>
      <w:numFmt w:val="lowerLetter"/>
      <w:lvlText w:val="%2."/>
      <w:lvlJc w:val="left"/>
      <w:pPr>
        <w:tabs>
          <w:tab w:val="num" w:pos="1440"/>
        </w:tabs>
        <w:ind w:left="1440" w:hanging="360"/>
      </w:pPr>
    </w:lvl>
    <w:lvl w:ilvl="2" w:tplc="EB72264C" w:tentative="1">
      <w:start w:val="1"/>
      <w:numFmt w:val="lowerRoman"/>
      <w:lvlText w:val="%3."/>
      <w:lvlJc w:val="right"/>
      <w:pPr>
        <w:tabs>
          <w:tab w:val="num" w:pos="2160"/>
        </w:tabs>
        <w:ind w:left="2160" w:hanging="180"/>
      </w:pPr>
    </w:lvl>
    <w:lvl w:ilvl="3" w:tplc="770A1EA6" w:tentative="1">
      <w:start w:val="1"/>
      <w:numFmt w:val="decimal"/>
      <w:lvlText w:val="%4."/>
      <w:lvlJc w:val="left"/>
      <w:pPr>
        <w:tabs>
          <w:tab w:val="num" w:pos="2880"/>
        </w:tabs>
        <w:ind w:left="2880" w:hanging="360"/>
      </w:pPr>
    </w:lvl>
    <w:lvl w:ilvl="4" w:tplc="305A6770" w:tentative="1">
      <w:start w:val="1"/>
      <w:numFmt w:val="lowerLetter"/>
      <w:lvlText w:val="%5."/>
      <w:lvlJc w:val="left"/>
      <w:pPr>
        <w:tabs>
          <w:tab w:val="num" w:pos="3600"/>
        </w:tabs>
        <w:ind w:left="3600" w:hanging="360"/>
      </w:pPr>
    </w:lvl>
    <w:lvl w:ilvl="5" w:tplc="C3FE5FA4" w:tentative="1">
      <w:start w:val="1"/>
      <w:numFmt w:val="lowerRoman"/>
      <w:lvlText w:val="%6."/>
      <w:lvlJc w:val="right"/>
      <w:pPr>
        <w:tabs>
          <w:tab w:val="num" w:pos="4320"/>
        </w:tabs>
        <w:ind w:left="4320" w:hanging="180"/>
      </w:pPr>
    </w:lvl>
    <w:lvl w:ilvl="6" w:tplc="88884C28" w:tentative="1">
      <w:start w:val="1"/>
      <w:numFmt w:val="decimal"/>
      <w:lvlText w:val="%7."/>
      <w:lvlJc w:val="left"/>
      <w:pPr>
        <w:tabs>
          <w:tab w:val="num" w:pos="5040"/>
        </w:tabs>
        <w:ind w:left="5040" w:hanging="360"/>
      </w:pPr>
    </w:lvl>
    <w:lvl w:ilvl="7" w:tplc="0D1EB20E" w:tentative="1">
      <w:start w:val="1"/>
      <w:numFmt w:val="lowerLetter"/>
      <w:lvlText w:val="%8."/>
      <w:lvlJc w:val="left"/>
      <w:pPr>
        <w:tabs>
          <w:tab w:val="num" w:pos="5760"/>
        </w:tabs>
        <w:ind w:left="5760" w:hanging="360"/>
      </w:pPr>
    </w:lvl>
    <w:lvl w:ilvl="8" w:tplc="403CC02E" w:tentative="1">
      <w:start w:val="1"/>
      <w:numFmt w:val="lowerRoman"/>
      <w:lvlText w:val="%9."/>
      <w:lvlJc w:val="right"/>
      <w:pPr>
        <w:tabs>
          <w:tab w:val="num" w:pos="6480"/>
        </w:tabs>
        <w:ind w:left="6480" w:hanging="180"/>
      </w:pPr>
    </w:lvl>
  </w:abstractNum>
  <w:num w:numId="1" w16cid:durableId="1915432822">
    <w:abstractNumId w:val="9"/>
  </w:num>
  <w:num w:numId="2" w16cid:durableId="2053536745">
    <w:abstractNumId w:val="7"/>
  </w:num>
  <w:num w:numId="3" w16cid:durableId="331877123">
    <w:abstractNumId w:val="6"/>
  </w:num>
  <w:num w:numId="4" w16cid:durableId="1141269199">
    <w:abstractNumId w:val="5"/>
  </w:num>
  <w:num w:numId="5" w16cid:durableId="928122489">
    <w:abstractNumId w:val="4"/>
  </w:num>
  <w:num w:numId="6" w16cid:durableId="1337002344">
    <w:abstractNumId w:val="8"/>
  </w:num>
  <w:num w:numId="7" w16cid:durableId="741828819">
    <w:abstractNumId w:val="3"/>
  </w:num>
  <w:num w:numId="8" w16cid:durableId="1171915888">
    <w:abstractNumId w:val="2"/>
  </w:num>
  <w:num w:numId="9" w16cid:durableId="268320392">
    <w:abstractNumId w:val="1"/>
  </w:num>
  <w:num w:numId="10" w16cid:durableId="1950090027">
    <w:abstractNumId w:val="0"/>
  </w:num>
  <w:num w:numId="11" w16cid:durableId="1763867051">
    <w:abstractNumId w:val="11"/>
  </w:num>
  <w:num w:numId="12" w16cid:durableId="1586182967">
    <w:abstractNumId w:val="15"/>
  </w:num>
  <w:num w:numId="13" w16cid:durableId="2001350184">
    <w:abstractNumId w:val="14"/>
  </w:num>
  <w:num w:numId="14" w16cid:durableId="1532065493">
    <w:abstractNumId w:val="12"/>
  </w:num>
  <w:num w:numId="15" w16cid:durableId="1608846842">
    <w:abstractNumId w:val="13"/>
  </w:num>
  <w:num w:numId="16" w16cid:durableId="421415684">
    <w:abstractNumId w:val="10"/>
  </w:num>
  <w:num w:numId="17" w16cid:durableId="248127657">
    <w:abstractNumId w:val="11"/>
  </w:num>
  <w:num w:numId="18" w16cid:durableId="1646546229">
    <w:abstractNumId w:val="15"/>
  </w:num>
  <w:num w:numId="19" w16cid:durableId="414477575">
    <w:abstractNumId w:val="14"/>
  </w:num>
  <w:num w:numId="20" w16cid:durableId="20491421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BC"/>
    <w:rsid w:val="00495E5F"/>
    <w:rsid w:val="00986C3B"/>
    <w:rsid w:val="009C2125"/>
    <w:rsid w:val="00D609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12765A"/>
  <w15:chartTrackingRefBased/>
  <w15:docId w15:val="{05C9AB0B-70B7-4A1F-845C-0F8FC050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495E5F"/>
    <w:rPr>
      <w:sz w:val="22"/>
      <w:szCs w:val="24"/>
      <w:lang w:val="en-GB" w:eastAsia="en-GB"/>
    </w:rPr>
  </w:style>
  <w:style w:type="paragraph" w:customStyle="1" w:styleId="Default">
    <w:name w:val="Default"/>
    <w:rsid w:val="00495E5F"/>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1005</Words>
  <Characters>5291</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2023-04-14T11:11:00Z</dcterms:modified>
</cp:coreProperties>
</file>