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DBE9" w14:textId="77777777" w:rsidR="00C26F2D" w:rsidRPr="00BF077B" w:rsidRDefault="00950BF5" w:rsidP="00BF077B">
      <w:pPr>
        <w:pStyle w:val="ATSNormal"/>
        <w:rPr>
          <w:rStyle w:val="Ttulodellibro"/>
        </w:rPr>
      </w:pPr>
    </w:p>
    <w:p w14:paraId="7D543882" w14:textId="77777777" w:rsidR="002F0A13" w:rsidRDefault="00950BF5" w:rsidP="004B4A60">
      <w:pPr>
        <w:rPr>
          <w:b/>
          <w:u w:val="single"/>
          <w:lang w:val="es-ES_tradnl"/>
        </w:rPr>
      </w:pPr>
    </w:p>
    <w:p w14:paraId="2308BC47" w14:textId="77777777" w:rsidR="002F0A13" w:rsidRDefault="00950BF5" w:rsidP="004B4A60">
      <w:pPr>
        <w:rPr>
          <w:b/>
          <w:u w:val="single"/>
          <w:lang w:val="es-ES_tradnl"/>
        </w:rPr>
      </w:pPr>
    </w:p>
    <w:p w14:paraId="212BBCBF" w14:textId="77777777" w:rsidR="002F0A13" w:rsidRDefault="00950BF5" w:rsidP="004B4A60">
      <w:pPr>
        <w:rPr>
          <w:b/>
          <w:u w:val="single"/>
          <w:lang w:val="es-ES_tradnl"/>
        </w:rPr>
      </w:pPr>
    </w:p>
    <w:p w14:paraId="25F4B3C5" w14:textId="77777777" w:rsidR="002F0A13" w:rsidRDefault="00950BF5" w:rsidP="004B4A60">
      <w:pPr>
        <w:rPr>
          <w:b/>
          <w:u w:val="single"/>
          <w:lang w:val="es-ES_tradnl"/>
        </w:rPr>
      </w:pPr>
    </w:p>
    <w:p w14:paraId="37A151E0" w14:textId="77777777" w:rsidR="00C26F2D" w:rsidRDefault="00950BF5" w:rsidP="004B4A60">
      <w:pPr>
        <w:rPr>
          <w:b/>
          <w:u w:val="single"/>
          <w:lang w:val="es-ES_tradnl"/>
        </w:rPr>
      </w:pPr>
    </w:p>
    <w:p w14:paraId="42CED8E3" w14:textId="77777777" w:rsidR="004B4A60" w:rsidRPr="0057246E" w:rsidRDefault="0076553C" w:rsidP="001B789F">
      <w:pPr>
        <w:pStyle w:val="ATSTitle"/>
      </w:pPr>
      <w:bookmarkStart w:id="0" w:name="name"/>
      <w:r>
        <w:t>Sixth report of the Intersessional Contact Group on Education and Outreach</w:t>
      </w:r>
      <w:bookmarkEnd w:id="0"/>
    </w:p>
    <w:p w14:paraId="1463667E" w14:textId="77777777" w:rsidR="004B4A60" w:rsidRPr="0057246E" w:rsidRDefault="00950BF5" w:rsidP="00F75424">
      <w:pPr>
        <w:jc w:val="center"/>
      </w:pPr>
    </w:p>
    <w:p w14:paraId="445FA413" w14:textId="77777777" w:rsidR="004B4A60" w:rsidRPr="002F0A13" w:rsidRDefault="00950BF5" w:rsidP="002F0A13"/>
    <w:p w14:paraId="24263E80" w14:textId="77777777" w:rsidR="004B4A60" w:rsidRDefault="00950BF5" w:rsidP="00F75424">
      <w:pPr>
        <w:jc w:val="center"/>
      </w:pPr>
      <w:bookmarkStart w:id="1" w:name="memo"/>
      <w:bookmarkEnd w:id="1"/>
    </w:p>
    <w:p w14:paraId="6A3886EB" w14:textId="77777777" w:rsidR="0097629D" w:rsidRDefault="00950BF5" w:rsidP="00F75424">
      <w:pPr>
        <w:jc w:val="center"/>
      </w:pPr>
    </w:p>
    <w:p w14:paraId="159CDE15" w14:textId="77777777" w:rsidR="0097629D" w:rsidRDefault="00950BF5" w:rsidP="00F75424">
      <w:pPr>
        <w:jc w:val="center"/>
      </w:pPr>
    </w:p>
    <w:p w14:paraId="3E009702" w14:textId="77777777" w:rsidR="0097629D" w:rsidRDefault="00950BF5" w:rsidP="00F75424">
      <w:pPr>
        <w:jc w:val="center"/>
      </w:pPr>
    </w:p>
    <w:p w14:paraId="37ADF73A" w14:textId="77777777" w:rsidR="0097629D" w:rsidRPr="00C26F2D" w:rsidRDefault="00950BF5" w:rsidP="00F75424">
      <w:pPr>
        <w:jc w:val="center"/>
      </w:pPr>
    </w:p>
    <w:p w14:paraId="27F23B32" w14:textId="77777777" w:rsidR="004B4A60" w:rsidRPr="0057246E" w:rsidRDefault="00950BF5" w:rsidP="004B4A60"/>
    <w:p w14:paraId="12D5BFD0" w14:textId="77777777" w:rsidR="00C26F2D" w:rsidRDefault="00950BF5"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2D2C4F74" w14:textId="77777777" w:rsidR="004B4A60" w:rsidRDefault="00950BF5" w:rsidP="00952E9F"/>
    <w:p w14:paraId="7002F5DC" w14:textId="77777777" w:rsidR="0076553C" w:rsidRDefault="0076553C" w:rsidP="0076553C">
      <w:pPr>
        <w:pStyle w:val="ATSHeading2"/>
        <w:jc w:val="center"/>
        <w:rPr>
          <w:i w:val="0"/>
          <w:sz w:val="32"/>
          <w:szCs w:val="24"/>
        </w:rPr>
      </w:pPr>
      <w:r w:rsidRPr="000E69BD">
        <w:rPr>
          <w:i w:val="0"/>
          <w:sz w:val="32"/>
          <w:szCs w:val="24"/>
        </w:rPr>
        <w:t>Sixth report of the Intersessional Contact Group on Education and Outreach</w:t>
      </w:r>
    </w:p>
    <w:p w14:paraId="3C9EE1D2" w14:textId="77777777" w:rsidR="0076553C" w:rsidRDefault="0076553C" w:rsidP="0076553C">
      <w:pPr>
        <w:pStyle w:val="ATSNormal"/>
      </w:pPr>
    </w:p>
    <w:p w14:paraId="364A1A85" w14:textId="77777777" w:rsidR="0076553C" w:rsidRDefault="0076553C" w:rsidP="0076553C">
      <w:pPr>
        <w:pStyle w:val="ATSNormal"/>
      </w:pPr>
    </w:p>
    <w:p w14:paraId="53E82300" w14:textId="77777777" w:rsidR="0076553C" w:rsidRPr="005912E5" w:rsidRDefault="0076553C" w:rsidP="0076553C">
      <w:r w:rsidRPr="005912E5">
        <w:rPr>
          <w:rFonts w:ascii="Arial" w:eastAsia="Arial" w:hAnsi="Arial" w:cs="Arial"/>
          <w:sz w:val="24"/>
        </w:rPr>
        <w:t xml:space="preserve">Working Paper submitted by </w:t>
      </w:r>
      <w:r w:rsidRPr="00654A77">
        <w:rPr>
          <w:rFonts w:ascii="Arial" w:eastAsia="Arial" w:hAnsi="Arial" w:cs="Arial"/>
          <w:sz w:val="24"/>
        </w:rPr>
        <w:t xml:space="preserve">Bulgaria, Belgium, Brazil, Chile, COMNAP, Czech Republic, Finland, IAATO, India, Italy, </w:t>
      </w:r>
      <w:r w:rsidRPr="00E439CA">
        <w:rPr>
          <w:rFonts w:ascii="Arial" w:eastAsia="Arial" w:hAnsi="Arial" w:cs="Arial"/>
          <w:sz w:val="24"/>
        </w:rPr>
        <w:t>Republic of Korea</w:t>
      </w:r>
      <w:r w:rsidRPr="00654A77">
        <w:rPr>
          <w:rFonts w:ascii="Arial" w:eastAsia="Arial" w:hAnsi="Arial" w:cs="Arial"/>
          <w:sz w:val="24"/>
        </w:rPr>
        <w:t xml:space="preserve">, Malaysia, Poland, Portugal, </w:t>
      </w:r>
      <w:r>
        <w:rPr>
          <w:rFonts w:ascii="Arial" w:eastAsia="Arial" w:hAnsi="Arial" w:cs="Arial"/>
          <w:sz w:val="24"/>
        </w:rPr>
        <w:t xml:space="preserve">Romania, </w:t>
      </w:r>
      <w:r w:rsidRPr="00654A77">
        <w:rPr>
          <w:rFonts w:ascii="Arial" w:eastAsia="Arial" w:hAnsi="Arial" w:cs="Arial"/>
          <w:sz w:val="24"/>
        </w:rPr>
        <w:t>SCAR, South Africa, Spain, UK and USA</w:t>
      </w:r>
    </w:p>
    <w:p w14:paraId="0B93AA2B" w14:textId="77777777" w:rsidR="0076553C" w:rsidRPr="005912E5" w:rsidRDefault="0076553C" w:rsidP="0076553C">
      <w:pPr>
        <w:spacing w:before="480" w:after="120"/>
        <w:jc w:val="both"/>
        <w:rPr>
          <w:rFonts w:ascii="Arial" w:eastAsia="Arial" w:hAnsi="Arial" w:cs="Arial"/>
          <w:b/>
          <w:i/>
          <w:color w:val="222222"/>
          <w:sz w:val="24"/>
        </w:rPr>
      </w:pPr>
      <w:r w:rsidRPr="005912E5">
        <w:rPr>
          <w:rFonts w:ascii="Arial" w:eastAsia="Arial" w:hAnsi="Arial" w:cs="Arial"/>
          <w:b/>
          <w:i/>
          <w:sz w:val="24"/>
        </w:rPr>
        <w:t>Summary</w:t>
      </w:r>
    </w:p>
    <w:p w14:paraId="3AF3EE11" w14:textId="77777777" w:rsidR="0076553C" w:rsidRPr="000771A4" w:rsidRDefault="0076553C" w:rsidP="0076553C">
      <w:pPr>
        <w:rPr>
          <w:color w:val="000000" w:themeColor="text1"/>
          <w:lang w:val="en-US"/>
        </w:rPr>
      </w:pPr>
      <w:r w:rsidRPr="005912E5">
        <w:rPr>
          <w:color w:val="000000" w:themeColor="text1"/>
        </w:rPr>
        <w:t>At ATCM XLIV (20</w:t>
      </w:r>
      <w:r w:rsidRPr="005912E5">
        <w:rPr>
          <w:color w:val="000000" w:themeColor="text1"/>
          <w:lang w:val="bg-BG"/>
        </w:rPr>
        <w:t>2</w:t>
      </w:r>
      <w:r w:rsidRPr="005912E5">
        <w:rPr>
          <w:color w:val="000000" w:themeColor="text1"/>
          <w:lang w:val="en-US"/>
        </w:rPr>
        <w:t>2</w:t>
      </w:r>
      <w:r w:rsidRPr="005912E5">
        <w:rPr>
          <w:color w:val="000000" w:themeColor="text1"/>
        </w:rPr>
        <w:t xml:space="preserve">) in Berlin, Parties decided to continue the work of the </w:t>
      </w:r>
      <w:r>
        <w:rPr>
          <w:color w:val="000000" w:themeColor="text1"/>
        </w:rPr>
        <w:t>I</w:t>
      </w:r>
      <w:r w:rsidRPr="005912E5">
        <w:rPr>
          <w:color w:val="000000" w:themeColor="text1"/>
        </w:rPr>
        <w:t xml:space="preserve">ntersessional </w:t>
      </w:r>
      <w:r>
        <w:rPr>
          <w:color w:val="000000" w:themeColor="text1"/>
        </w:rPr>
        <w:t>C</w:t>
      </w:r>
      <w:r w:rsidRPr="005912E5">
        <w:rPr>
          <w:color w:val="000000" w:themeColor="text1"/>
        </w:rPr>
        <w:t xml:space="preserve">ontact </w:t>
      </w:r>
      <w:r>
        <w:rPr>
          <w:color w:val="000000" w:themeColor="text1"/>
        </w:rPr>
        <w:t>G</w:t>
      </w:r>
      <w:r w:rsidRPr="005912E5">
        <w:rPr>
          <w:color w:val="000000" w:themeColor="text1"/>
        </w:rPr>
        <w:t xml:space="preserve">roup (ICG) on Education and Outreach, following a number of </w:t>
      </w:r>
      <w:r>
        <w:rPr>
          <w:color w:val="000000" w:themeColor="text1"/>
        </w:rPr>
        <w:t>t</w:t>
      </w:r>
      <w:r w:rsidRPr="005912E5">
        <w:rPr>
          <w:color w:val="000000" w:themeColor="text1"/>
        </w:rPr>
        <w:t xml:space="preserve">erms of reference related to </w:t>
      </w:r>
      <w:r>
        <w:rPr>
          <w:color w:val="000000" w:themeColor="text1"/>
        </w:rPr>
        <w:t>e</w:t>
      </w:r>
      <w:r w:rsidRPr="005912E5">
        <w:rPr>
          <w:color w:val="000000" w:themeColor="text1"/>
        </w:rPr>
        <w:t xml:space="preserve">ducation and </w:t>
      </w:r>
      <w:r>
        <w:rPr>
          <w:color w:val="000000" w:themeColor="text1"/>
        </w:rPr>
        <w:t>o</w:t>
      </w:r>
      <w:r w:rsidRPr="005912E5">
        <w:rPr>
          <w:color w:val="000000" w:themeColor="text1"/>
        </w:rPr>
        <w:t xml:space="preserve">utreach. This paper aims to provide a summary on the discussions within the ICG and recommends </w:t>
      </w:r>
      <w:r w:rsidRPr="002415A2">
        <w:rPr>
          <w:color w:val="000000" w:themeColor="text1"/>
        </w:rPr>
        <w:t>considerations by the ATCM of the outcomes of the intersessional work.</w:t>
      </w:r>
      <w:r w:rsidRPr="002415A2">
        <w:rPr>
          <w:color w:val="000000" w:themeColor="text1"/>
          <w:lang w:val="en-US"/>
        </w:rPr>
        <w:t xml:space="preserve"> Overall, there were </w:t>
      </w:r>
      <w:r>
        <w:rPr>
          <w:color w:val="000000" w:themeColor="text1"/>
          <w:lang w:val="en-US"/>
        </w:rPr>
        <w:t>three</w:t>
      </w:r>
      <w:r w:rsidRPr="002415A2">
        <w:rPr>
          <w:color w:val="000000" w:themeColor="text1"/>
          <w:lang w:val="en-US"/>
        </w:rPr>
        <w:t xml:space="preserve"> topics discussed (</w:t>
      </w:r>
      <w:r>
        <w:rPr>
          <w:color w:val="000000" w:themeColor="text1"/>
          <w:lang w:val="en-US"/>
        </w:rPr>
        <w:t>e</w:t>
      </w:r>
      <w:r w:rsidRPr="002415A2">
        <w:rPr>
          <w:color w:val="000000" w:themeColor="text1"/>
          <w:lang w:val="en-US"/>
        </w:rPr>
        <w:t>ducation and outreach activities, exchange information on equity, diversity and inclusion, and on review ICG work and future developments), with 2</w:t>
      </w:r>
      <w:r>
        <w:rPr>
          <w:color w:val="000000" w:themeColor="text1"/>
          <w:lang w:val="en-US"/>
        </w:rPr>
        <w:t>6</w:t>
      </w:r>
      <w:r w:rsidRPr="002415A2">
        <w:rPr>
          <w:color w:val="000000" w:themeColor="text1"/>
          <w:lang w:val="en-US"/>
        </w:rPr>
        <w:t xml:space="preserve"> posts (from October 2022 up to </w:t>
      </w:r>
      <w:r>
        <w:rPr>
          <w:color w:val="000000" w:themeColor="text1"/>
          <w:lang w:val="en-US"/>
        </w:rPr>
        <w:t>28</w:t>
      </w:r>
      <w:r w:rsidRPr="002415A2">
        <w:rPr>
          <w:color w:val="000000" w:themeColor="text1"/>
          <w:lang w:val="en-US"/>
        </w:rPr>
        <w:t xml:space="preserve"> March 2023) from </w:t>
      </w:r>
      <w:r>
        <w:rPr>
          <w:color w:val="000000" w:themeColor="text1"/>
          <w:lang w:val="bg-BG"/>
        </w:rPr>
        <w:t>20</w:t>
      </w:r>
      <w:r w:rsidRPr="002415A2">
        <w:rPr>
          <w:color w:val="000000" w:themeColor="text1"/>
          <w:lang w:val="en-US"/>
        </w:rPr>
        <w:t xml:space="preserve"> Parties, Observers and Experts comprising</w:t>
      </w:r>
      <w:r>
        <w:rPr>
          <w:color w:val="000000" w:themeColor="text1"/>
          <w:lang w:val="en-US"/>
        </w:rPr>
        <w:t xml:space="preserve"> 619</w:t>
      </w:r>
      <w:r w:rsidRPr="002415A2">
        <w:rPr>
          <w:color w:val="000000" w:themeColor="text1"/>
        </w:rPr>
        <w:t xml:space="preserve"> views within the forum. </w:t>
      </w:r>
    </w:p>
    <w:p w14:paraId="3B00CFBA" w14:textId="77777777" w:rsidR="0076553C" w:rsidRPr="005912E5" w:rsidRDefault="0076553C" w:rsidP="0076553C">
      <w:pPr>
        <w:spacing w:before="480" w:after="120"/>
        <w:jc w:val="both"/>
        <w:rPr>
          <w:rFonts w:ascii="Arial" w:eastAsia="Arial" w:hAnsi="Arial" w:cs="Arial"/>
          <w:b/>
          <w:i/>
          <w:sz w:val="24"/>
        </w:rPr>
      </w:pPr>
      <w:r w:rsidRPr="005912E5">
        <w:rPr>
          <w:rFonts w:ascii="Arial" w:eastAsia="Arial" w:hAnsi="Arial" w:cs="Arial"/>
          <w:b/>
          <w:i/>
          <w:sz w:val="24"/>
        </w:rPr>
        <w:t>Background</w:t>
      </w:r>
    </w:p>
    <w:p w14:paraId="292DEC56" w14:textId="77777777" w:rsidR="0076553C" w:rsidRPr="005912E5" w:rsidRDefault="0076553C" w:rsidP="0076553C">
      <w:pPr>
        <w:spacing w:before="120" w:after="120"/>
        <w:rPr>
          <w:color w:val="000000" w:themeColor="text1"/>
        </w:rPr>
      </w:pPr>
      <w:bookmarkStart w:id="8" w:name="_30j0zll" w:colFirst="0" w:colLast="0"/>
      <w:bookmarkEnd w:id="8"/>
      <w:r w:rsidRPr="005912E5">
        <w:rPr>
          <w:color w:val="000000" w:themeColor="text1"/>
        </w:rPr>
        <w:t>The ICG on Education and Outreach was established during ATCM XXXVIII (2015) in Sofia</w:t>
      </w:r>
      <w:r>
        <w:rPr>
          <w:color w:val="000000" w:themeColor="text1"/>
        </w:rPr>
        <w:t xml:space="preserve">, Bulgaria, following </w:t>
      </w:r>
      <w:r w:rsidRPr="005912E5">
        <w:rPr>
          <w:color w:val="000000" w:themeColor="text1"/>
        </w:rPr>
        <w:t>a very successful workshop in which ninety-seven participants from thirty-seven Parties, Observers and Experts took part. During ATCM XXXIX (2016) in Santiago</w:t>
      </w:r>
      <w:r>
        <w:rPr>
          <w:color w:val="000000" w:themeColor="text1"/>
        </w:rPr>
        <w:t>, Chile</w:t>
      </w:r>
      <w:r w:rsidRPr="005912E5">
        <w:rPr>
          <w:color w:val="000000" w:themeColor="text1"/>
        </w:rPr>
        <w:t xml:space="preserve">, Bulgaria introduced WP 24 </w:t>
      </w:r>
      <w:r w:rsidRPr="005912E5">
        <w:rPr>
          <w:i/>
          <w:color w:val="000000" w:themeColor="text1"/>
        </w:rPr>
        <w:t xml:space="preserve">First Report on the Intersessional Contact Group on Education and Outreach, </w:t>
      </w:r>
      <w:r w:rsidRPr="005912E5">
        <w:rPr>
          <w:color w:val="000000" w:themeColor="text1"/>
        </w:rPr>
        <w:t xml:space="preserve">jointly prepared with Belgium, Brazil, Chile, Portugal, and the United Kingdom. The ATCM recognised the contribution of Parties and the usefulness of the ICG’s work. Parties were advised to continue to use and promote the forum on Education and Outreach to share information on </w:t>
      </w:r>
      <w:r>
        <w:rPr>
          <w:color w:val="000000" w:themeColor="text1"/>
        </w:rPr>
        <w:t>e</w:t>
      </w:r>
      <w:r w:rsidRPr="005912E5">
        <w:rPr>
          <w:color w:val="000000" w:themeColor="text1"/>
        </w:rPr>
        <w:t xml:space="preserve">ducation and </w:t>
      </w:r>
      <w:r>
        <w:rPr>
          <w:color w:val="000000" w:themeColor="text1"/>
        </w:rPr>
        <w:t>o</w:t>
      </w:r>
      <w:r w:rsidRPr="005912E5">
        <w:rPr>
          <w:color w:val="000000" w:themeColor="text1"/>
        </w:rPr>
        <w:t>utreach activities and events with each other.</w:t>
      </w:r>
      <w:r>
        <w:rPr>
          <w:color w:val="000000" w:themeColor="text1"/>
          <w:lang w:val="bg-BG"/>
        </w:rPr>
        <w:t xml:space="preserve"> </w:t>
      </w:r>
      <w:r>
        <w:rPr>
          <w:color w:val="000000" w:themeColor="text1"/>
          <w:lang w:val="en-US"/>
        </w:rPr>
        <w:t>Information</w:t>
      </w:r>
      <w:r>
        <w:rPr>
          <w:color w:val="000000" w:themeColor="text1"/>
        </w:rPr>
        <w:t xml:space="preserve"> about</w:t>
      </w:r>
      <w:r w:rsidRPr="005912E5">
        <w:rPr>
          <w:color w:val="000000" w:themeColor="text1"/>
        </w:rPr>
        <w:t xml:space="preserve"> </w:t>
      </w:r>
      <w:r>
        <w:rPr>
          <w:color w:val="000000" w:themeColor="text1"/>
        </w:rPr>
        <w:t>e</w:t>
      </w:r>
      <w:r w:rsidRPr="005912E5">
        <w:rPr>
          <w:color w:val="000000" w:themeColor="text1"/>
        </w:rPr>
        <w:t xml:space="preserve">ducation and </w:t>
      </w:r>
      <w:r>
        <w:rPr>
          <w:color w:val="000000" w:themeColor="text1"/>
        </w:rPr>
        <w:t>o</w:t>
      </w:r>
      <w:r w:rsidRPr="005912E5">
        <w:rPr>
          <w:color w:val="000000" w:themeColor="text1"/>
        </w:rPr>
        <w:t xml:space="preserve">utreach activities from an Antarctic Treaty </w:t>
      </w:r>
      <w:r>
        <w:rPr>
          <w:color w:val="000000" w:themeColor="text1"/>
        </w:rPr>
        <w:t>p</w:t>
      </w:r>
      <w:r w:rsidRPr="005912E5">
        <w:rPr>
          <w:color w:val="000000" w:themeColor="text1"/>
        </w:rPr>
        <w:t xml:space="preserve">erspective remains within the Multi-Year Strategic Work Plan of the ATCM </w:t>
      </w:r>
      <w:r w:rsidRPr="002415A2">
        <w:rPr>
          <w:color w:val="000000" w:themeColor="text1"/>
        </w:rPr>
        <w:t xml:space="preserve">as well as within the CEP Work </w:t>
      </w:r>
      <w:r>
        <w:rPr>
          <w:color w:val="000000" w:themeColor="text1"/>
        </w:rPr>
        <w:t>P</w:t>
      </w:r>
      <w:r w:rsidRPr="002415A2">
        <w:rPr>
          <w:color w:val="000000" w:themeColor="text1"/>
        </w:rPr>
        <w:t>lan.</w:t>
      </w:r>
      <w:r w:rsidRPr="005912E5">
        <w:rPr>
          <w:color w:val="000000" w:themeColor="text1"/>
        </w:rPr>
        <w:t xml:space="preserve"> </w:t>
      </w:r>
    </w:p>
    <w:p w14:paraId="61D069F2" w14:textId="77777777" w:rsidR="0076553C" w:rsidRPr="005912E5" w:rsidRDefault="0076553C" w:rsidP="0076553C">
      <w:pPr>
        <w:rPr>
          <w:color w:val="000000" w:themeColor="text1"/>
          <w:szCs w:val="22"/>
        </w:rPr>
      </w:pPr>
      <w:r w:rsidRPr="005912E5">
        <w:rPr>
          <w:color w:val="000000" w:themeColor="text1"/>
        </w:rPr>
        <w:t xml:space="preserve">As stated in the </w:t>
      </w:r>
      <w:r>
        <w:rPr>
          <w:color w:val="000000" w:themeColor="text1"/>
        </w:rPr>
        <w:t>F</w:t>
      </w:r>
      <w:r w:rsidRPr="005912E5">
        <w:rPr>
          <w:color w:val="000000" w:themeColor="text1"/>
        </w:rPr>
        <w:t xml:space="preserve">inal </w:t>
      </w:r>
      <w:r>
        <w:rPr>
          <w:color w:val="000000" w:themeColor="text1"/>
        </w:rPr>
        <w:t>R</w:t>
      </w:r>
      <w:r w:rsidRPr="005912E5">
        <w:rPr>
          <w:color w:val="000000" w:themeColor="text1"/>
        </w:rPr>
        <w:t>eport of ATCM XLIV (2022) in Berlin,</w:t>
      </w:r>
      <w:r>
        <w:rPr>
          <w:color w:val="000000" w:themeColor="text1"/>
        </w:rPr>
        <w:t xml:space="preserve"> Germany,</w:t>
      </w:r>
      <w:r w:rsidRPr="005912E5">
        <w:rPr>
          <w:color w:val="000000" w:themeColor="text1"/>
        </w:rPr>
        <w:t xml:space="preserve"> paragraphs 173</w:t>
      </w:r>
      <w:r>
        <w:rPr>
          <w:color w:val="000000" w:themeColor="text1"/>
        </w:rPr>
        <w:t>–</w:t>
      </w:r>
      <w:r w:rsidRPr="005912E5">
        <w:rPr>
          <w:color w:val="000000" w:themeColor="text1"/>
        </w:rPr>
        <w:t xml:space="preserve">174, the Meeting </w:t>
      </w:r>
      <w:r>
        <w:rPr>
          <w:color w:val="000000" w:themeColor="text1"/>
        </w:rPr>
        <w:t>agreed</w:t>
      </w:r>
      <w:r w:rsidRPr="005912E5">
        <w:rPr>
          <w:color w:val="000000" w:themeColor="text1"/>
        </w:rPr>
        <w:t xml:space="preserve"> its support for continued use of the ATCM forum on education and outreach issues and </w:t>
      </w:r>
      <w:r>
        <w:rPr>
          <w:color w:val="000000" w:themeColor="text1"/>
        </w:rPr>
        <w:t xml:space="preserve">approved continuing </w:t>
      </w:r>
      <w:r w:rsidRPr="005912E5">
        <w:rPr>
          <w:color w:val="000000" w:themeColor="text1"/>
        </w:rPr>
        <w:t xml:space="preserve">the </w:t>
      </w:r>
      <w:r w:rsidRPr="005912E5">
        <w:rPr>
          <w:color w:val="000000" w:themeColor="text1"/>
          <w:szCs w:val="22"/>
        </w:rPr>
        <w:t>ICG on Education and Outreach for another intersessional period, with the following terms of reference:</w:t>
      </w:r>
    </w:p>
    <w:p w14:paraId="137D466D" w14:textId="77777777" w:rsidR="0076553C" w:rsidRPr="005912E5" w:rsidRDefault="0076553C" w:rsidP="0076553C">
      <w:pPr>
        <w:rPr>
          <w:color w:val="000000" w:themeColor="text1"/>
          <w:szCs w:val="22"/>
        </w:rPr>
      </w:pPr>
    </w:p>
    <w:p w14:paraId="48039173" w14:textId="77777777" w:rsidR="0076553C" w:rsidRPr="005912E5" w:rsidRDefault="0076553C" w:rsidP="0076553C">
      <w:pPr>
        <w:rPr>
          <w:color w:val="000000" w:themeColor="text1"/>
          <w:szCs w:val="22"/>
        </w:rPr>
      </w:pPr>
      <w:r w:rsidRPr="005912E5">
        <w:rPr>
          <w:szCs w:val="22"/>
          <w:lang w:val="en-US" w:eastAsia="es-AR"/>
        </w:rPr>
        <w:t>•</w:t>
      </w:r>
      <w:r>
        <w:rPr>
          <w:szCs w:val="22"/>
          <w:lang w:val="en-US" w:eastAsia="es-AR"/>
        </w:rPr>
        <w:t xml:space="preserve"> </w:t>
      </w:r>
      <w:r w:rsidRPr="005912E5">
        <w:rPr>
          <w:szCs w:val="22"/>
          <w:lang w:val="en-US" w:eastAsia="es-AR"/>
        </w:rPr>
        <w:t xml:space="preserve">Fostering collaboration at both the national and international level, on </w:t>
      </w:r>
      <w:r>
        <w:rPr>
          <w:szCs w:val="22"/>
          <w:lang w:val="en-US" w:eastAsia="es-AR"/>
        </w:rPr>
        <w:t>e</w:t>
      </w:r>
      <w:r w:rsidRPr="005912E5">
        <w:rPr>
          <w:szCs w:val="22"/>
          <w:lang w:val="en-US" w:eastAsia="es-AR"/>
        </w:rPr>
        <w:t>ducation</w:t>
      </w:r>
      <w:r w:rsidRPr="005912E5">
        <w:rPr>
          <w:color w:val="000000" w:themeColor="text1"/>
          <w:szCs w:val="22"/>
        </w:rPr>
        <w:t xml:space="preserve"> </w:t>
      </w:r>
      <w:r w:rsidRPr="005912E5">
        <w:rPr>
          <w:szCs w:val="22"/>
          <w:lang w:val="en-US" w:eastAsia="es-AR"/>
        </w:rPr>
        <w:t xml:space="preserve">and </w:t>
      </w:r>
      <w:r>
        <w:rPr>
          <w:szCs w:val="22"/>
          <w:lang w:val="en-US" w:eastAsia="es-AR"/>
        </w:rPr>
        <w:t>o</w:t>
      </w:r>
      <w:r w:rsidRPr="005912E5">
        <w:rPr>
          <w:szCs w:val="22"/>
          <w:lang w:val="en-US" w:eastAsia="es-AR"/>
        </w:rPr>
        <w:t>utreach;</w:t>
      </w:r>
    </w:p>
    <w:p w14:paraId="4BEFB80D" w14:textId="77777777" w:rsidR="0076553C" w:rsidRPr="005912E5" w:rsidRDefault="0076553C" w:rsidP="0076553C">
      <w:pPr>
        <w:autoSpaceDE w:val="0"/>
        <w:autoSpaceDN w:val="0"/>
        <w:adjustRightInd w:val="0"/>
        <w:rPr>
          <w:szCs w:val="22"/>
          <w:lang w:val="en-US" w:eastAsia="es-AR"/>
        </w:rPr>
      </w:pPr>
    </w:p>
    <w:p w14:paraId="4674AB4E" w14:textId="77777777" w:rsidR="0076553C" w:rsidRPr="005912E5" w:rsidRDefault="0076553C" w:rsidP="0076553C">
      <w:pPr>
        <w:autoSpaceDE w:val="0"/>
        <w:autoSpaceDN w:val="0"/>
        <w:adjustRightInd w:val="0"/>
        <w:rPr>
          <w:szCs w:val="22"/>
          <w:lang w:val="en-US" w:eastAsia="es-AR"/>
        </w:rPr>
      </w:pPr>
      <w:r w:rsidRPr="005912E5">
        <w:rPr>
          <w:szCs w:val="22"/>
          <w:lang w:val="en-US" w:eastAsia="es-AR"/>
        </w:rPr>
        <w:t>• Identifying key international activities/events related to education and outreach for possible engagement by the Antarctic Treaty Parties;</w:t>
      </w:r>
    </w:p>
    <w:p w14:paraId="04DCAE59" w14:textId="77777777" w:rsidR="0076553C" w:rsidRPr="005912E5" w:rsidRDefault="0076553C" w:rsidP="0076553C">
      <w:pPr>
        <w:autoSpaceDE w:val="0"/>
        <w:autoSpaceDN w:val="0"/>
        <w:adjustRightInd w:val="0"/>
        <w:rPr>
          <w:szCs w:val="22"/>
          <w:lang w:val="en-US" w:eastAsia="es-AR"/>
        </w:rPr>
      </w:pPr>
    </w:p>
    <w:p w14:paraId="21194C19" w14:textId="77777777" w:rsidR="0076553C" w:rsidRPr="005912E5" w:rsidRDefault="0076553C" w:rsidP="0076553C">
      <w:pPr>
        <w:autoSpaceDE w:val="0"/>
        <w:autoSpaceDN w:val="0"/>
        <w:adjustRightInd w:val="0"/>
        <w:rPr>
          <w:szCs w:val="22"/>
          <w:lang w:val="en-US" w:eastAsia="es-AR"/>
        </w:rPr>
      </w:pPr>
      <w:r w:rsidRPr="005912E5">
        <w:rPr>
          <w:szCs w:val="22"/>
          <w:lang w:val="en-US" w:eastAsia="es-AR"/>
        </w:rPr>
        <w:t>• Sharing results of education and outreach initiatives that demonstrate the work of Antarctic Treaty Parties in managing the Antarctic Treaty area;</w:t>
      </w:r>
    </w:p>
    <w:p w14:paraId="628924A9" w14:textId="77777777" w:rsidR="0076553C" w:rsidRPr="005912E5" w:rsidRDefault="0076553C" w:rsidP="0076553C">
      <w:pPr>
        <w:autoSpaceDE w:val="0"/>
        <w:autoSpaceDN w:val="0"/>
        <w:adjustRightInd w:val="0"/>
        <w:rPr>
          <w:szCs w:val="22"/>
          <w:lang w:val="en-US" w:eastAsia="es-AR"/>
        </w:rPr>
      </w:pPr>
    </w:p>
    <w:p w14:paraId="42504F78" w14:textId="77777777" w:rsidR="0076553C" w:rsidRPr="005912E5" w:rsidRDefault="0076553C" w:rsidP="0076553C">
      <w:pPr>
        <w:autoSpaceDE w:val="0"/>
        <w:autoSpaceDN w:val="0"/>
        <w:adjustRightInd w:val="0"/>
        <w:rPr>
          <w:szCs w:val="22"/>
          <w:lang w:val="en-US" w:eastAsia="es-AR"/>
        </w:rPr>
      </w:pPr>
      <w:r w:rsidRPr="005912E5">
        <w:rPr>
          <w:szCs w:val="22"/>
          <w:lang w:val="en-US" w:eastAsia="es-AR"/>
        </w:rPr>
        <w:t>• Emphasizing ongoing environmental protection initiatives that ha</w:t>
      </w:r>
      <w:r>
        <w:rPr>
          <w:szCs w:val="22"/>
          <w:lang w:val="en-US" w:eastAsia="es-AR"/>
        </w:rPr>
        <w:t>ve</w:t>
      </w:r>
      <w:r w:rsidRPr="005912E5">
        <w:rPr>
          <w:szCs w:val="22"/>
          <w:lang w:val="en-US" w:eastAsia="es-AR"/>
        </w:rPr>
        <w:t xml:space="preserve"> been informed by scientific observations and results, in order to reinforce the importance of the Antarctic Treaty and its Protocol on Environmental Protection;</w:t>
      </w:r>
    </w:p>
    <w:p w14:paraId="1E0593E6" w14:textId="77777777" w:rsidR="0076553C" w:rsidRPr="005912E5" w:rsidRDefault="0076553C" w:rsidP="0076553C">
      <w:pPr>
        <w:autoSpaceDE w:val="0"/>
        <w:autoSpaceDN w:val="0"/>
        <w:adjustRightInd w:val="0"/>
        <w:rPr>
          <w:szCs w:val="22"/>
          <w:lang w:val="en-US" w:eastAsia="es-AR"/>
        </w:rPr>
      </w:pPr>
    </w:p>
    <w:p w14:paraId="5707A835" w14:textId="77777777" w:rsidR="0076553C" w:rsidRPr="005912E5" w:rsidRDefault="0076553C" w:rsidP="0076553C">
      <w:pPr>
        <w:autoSpaceDE w:val="0"/>
        <w:autoSpaceDN w:val="0"/>
        <w:adjustRightInd w:val="0"/>
        <w:rPr>
          <w:szCs w:val="22"/>
          <w:lang w:val="en-US" w:eastAsia="es-AR"/>
        </w:rPr>
      </w:pPr>
      <w:r w:rsidRPr="005912E5">
        <w:rPr>
          <w:szCs w:val="22"/>
          <w:lang w:val="en-US" w:eastAsia="es-AR"/>
        </w:rPr>
        <w:lastRenderedPageBreak/>
        <w:t>• Promoting related education and outreach activities by Experts and Observers, and encouraging cooperation with these groups;</w:t>
      </w:r>
    </w:p>
    <w:p w14:paraId="5BCCE84C" w14:textId="77777777" w:rsidR="0076553C" w:rsidRPr="005912E5" w:rsidRDefault="0076553C" w:rsidP="0076553C">
      <w:pPr>
        <w:autoSpaceDE w:val="0"/>
        <w:autoSpaceDN w:val="0"/>
        <w:adjustRightInd w:val="0"/>
        <w:rPr>
          <w:szCs w:val="22"/>
          <w:lang w:val="en-US" w:eastAsia="es-AR"/>
        </w:rPr>
      </w:pPr>
    </w:p>
    <w:p w14:paraId="5EF88CCA" w14:textId="77777777" w:rsidR="0076553C" w:rsidRPr="005912E5" w:rsidRDefault="0076553C" w:rsidP="0076553C">
      <w:pPr>
        <w:autoSpaceDE w:val="0"/>
        <w:autoSpaceDN w:val="0"/>
        <w:adjustRightInd w:val="0"/>
        <w:rPr>
          <w:szCs w:val="22"/>
          <w:lang w:val="en-US" w:eastAsia="es-AR"/>
        </w:rPr>
      </w:pPr>
      <w:r w:rsidRPr="005912E5">
        <w:rPr>
          <w:szCs w:val="22"/>
          <w:lang w:val="en-US" w:eastAsia="es-AR"/>
        </w:rPr>
        <w:t>• Sharing best practices and encouraging, enhancing and promoting diversity and inclusion across the global Antarctic community, including among scientists, logisticians, policymakers and all others engaged in Antarctic matters, in order to lower any barrier</w:t>
      </w:r>
      <w:r>
        <w:rPr>
          <w:szCs w:val="22"/>
          <w:lang w:val="en-US" w:eastAsia="es-AR"/>
        </w:rPr>
        <w:t>s</w:t>
      </w:r>
      <w:r w:rsidRPr="005912E5">
        <w:rPr>
          <w:szCs w:val="22"/>
          <w:lang w:val="en-US" w:eastAsia="es-AR"/>
        </w:rPr>
        <w:t xml:space="preserve"> to the engagement of all the talents needed to tackle the challenges of the future of Antarctica;</w:t>
      </w:r>
    </w:p>
    <w:p w14:paraId="003E11C8" w14:textId="77777777" w:rsidR="0076553C" w:rsidRPr="005912E5" w:rsidRDefault="0076553C" w:rsidP="0076553C">
      <w:pPr>
        <w:autoSpaceDE w:val="0"/>
        <w:autoSpaceDN w:val="0"/>
        <w:adjustRightInd w:val="0"/>
        <w:rPr>
          <w:szCs w:val="22"/>
          <w:lang w:val="en-US" w:eastAsia="es-AR"/>
        </w:rPr>
      </w:pPr>
    </w:p>
    <w:p w14:paraId="683CC473" w14:textId="77777777" w:rsidR="0076553C" w:rsidRPr="005912E5" w:rsidRDefault="0076553C" w:rsidP="0076553C">
      <w:pPr>
        <w:autoSpaceDE w:val="0"/>
        <w:autoSpaceDN w:val="0"/>
        <w:adjustRightInd w:val="0"/>
        <w:rPr>
          <w:szCs w:val="22"/>
          <w:lang w:val="en-US" w:eastAsia="es-AR"/>
        </w:rPr>
      </w:pPr>
      <w:r w:rsidRPr="005912E5">
        <w:rPr>
          <w:szCs w:val="22"/>
          <w:lang w:val="en-US" w:eastAsia="es-AR"/>
        </w:rPr>
        <w:t xml:space="preserve">• Encouraging Parties to provide the Secretariat with link(s) to their web page(s) with educational and outreach resources (the Secretariat will include these links in its “Educational Resources” section of the Secretariat webpage); and </w:t>
      </w:r>
    </w:p>
    <w:p w14:paraId="7E4962B7" w14:textId="77777777" w:rsidR="0076553C" w:rsidRPr="005912E5" w:rsidRDefault="0076553C" w:rsidP="0076553C">
      <w:pPr>
        <w:autoSpaceDE w:val="0"/>
        <w:autoSpaceDN w:val="0"/>
        <w:adjustRightInd w:val="0"/>
        <w:rPr>
          <w:szCs w:val="22"/>
          <w:lang w:val="en-US" w:eastAsia="es-AR"/>
        </w:rPr>
      </w:pPr>
    </w:p>
    <w:p w14:paraId="605D0721" w14:textId="77777777" w:rsidR="0076553C" w:rsidRPr="005912E5" w:rsidRDefault="0076553C" w:rsidP="0076553C">
      <w:pPr>
        <w:autoSpaceDE w:val="0"/>
        <w:autoSpaceDN w:val="0"/>
        <w:adjustRightInd w:val="0"/>
        <w:rPr>
          <w:szCs w:val="22"/>
          <w:lang w:val="en-US" w:eastAsia="es-AR"/>
        </w:rPr>
      </w:pPr>
      <w:r w:rsidRPr="005912E5">
        <w:rPr>
          <w:szCs w:val="22"/>
          <w:lang w:val="en-US" w:eastAsia="es-AR"/>
        </w:rPr>
        <w:t>• Inviting Parties, Observers and Experts to review, during the intersessional period at the ATCM Education and Outreach Forum, the work carried out by the ICG and discuss its future development.</w:t>
      </w:r>
    </w:p>
    <w:p w14:paraId="6BE7788B" w14:textId="77777777" w:rsidR="0076553C" w:rsidRPr="005912E5" w:rsidRDefault="0076553C" w:rsidP="0076553C">
      <w:pPr>
        <w:spacing w:before="480" w:after="120"/>
        <w:jc w:val="both"/>
        <w:rPr>
          <w:rFonts w:ascii="Arial" w:eastAsia="Arial" w:hAnsi="Arial" w:cs="Arial"/>
          <w:b/>
          <w:i/>
          <w:color w:val="222222"/>
          <w:sz w:val="24"/>
        </w:rPr>
      </w:pPr>
      <w:r w:rsidRPr="005912E5">
        <w:rPr>
          <w:rFonts w:ascii="Arial" w:eastAsia="Arial" w:hAnsi="Arial" w:cs="Arial"/>
          <w:b/>
          <w:i/>
          <w:sz w:val="24"/>
        </w:rPr>
        <w:t>Method of Operation</w:t>
      </w:r>
    </w:p>
    <w:p w14:paraId="2A085A7E" w14:textId="77777777" w:rsidR="0076553C" w:rsidRPr="002415A2" w:rsidRDefault="0076553C" w:rsidP="0076553C">
      <w:pPr>
        <w:rPr>
          <w:color w:val="000000" w:themeColor="text1"/>
        </w:rPr>
      </w:pPr>
      <w:r w:rsidRPr="005912E5">
        <w:rPr>
          <w:color w:val="000000" w:themeColor="text1"/>
        </w:rPr>
        <w:t xml:space="preserve">The ICG operates using the online ATCM Discussion Forum, under the topic ‘ICG on Education and </w:t>
      </w:r>
      <w:r w:rsidRPr="002415A2">
        <w:rPr>
          <w:color w:val="000000" w:themeColor="text1"/>
        </w:rPr>
        <w:t xml:space="preserve">Outreach’. The discussion is open to all Parties, Observers and Experts, of which, </w:t>
      </w:r>
      <w:r>
        <w:rPr>
          <w:color w:val="000000" w:themeColor="text1"/>
          <w:lang w:val="bg-BG"/>
        </w:rPr>
        <w:t>20</w:t>
      </w:r>
      <w:r w:rsidRPr="002415A2">
        <w:rPr>
          <w:color w:val="000000" w:themeColor="text1"/>
          <w:lang w:val="en-US"/>
        </w:rPr>
        <w:t xml:space="preserve"> </w:t>
      </w:r>
      <w:r>
        <w:rPr>
          <w:color w:val="000000" w:themeColor="text1"/>
        </w:rPr>
        <w:t>P</w:t>
      </w:r>
      <w:r w:rsidRPr="002415A2">
        <w:rPr>
          <w:color w:val="000000" w:themeColor="text1"/>
        </w:rPr>
        <w:t>arties,</w:t>
      </w:r>
      <w:r w:rsidRPr="002415A2">
        <w:rPr>
          <w:color w:val="000000" w:themeColor="text1"/>
          <w:lang w:val="en-US"/>
        </w:rPr>
        <w:t xml:space="preserve"> </w:t>
      </w:r>
      <w:r>
        <w:rPr>
          <w:color w:val="000000" w:themeColor="text1"/>
        </w:rPr>
        <w:t>O</w:t>
      </w:r>
      <w:r w:rsidRPr="002415A2">
        <w:rPr>
          <w:color w:val="000000" w:themeColor="text1"/>
        </w:rPr>
        <w:t xml:space="preserve">bservers and </w:t>
      </w:r>
      <w:r>
        <w:rPr>
          <w:color w:val="000000" w:themeColor="text1"/>
        </w:rPr>
        <w:t>E</w:t>
      </w:r>
      <w:r w:rsidRPr="002415A2">
        <w:rPr>
          <w:color w:val="000000" w:themeColor="text1"/>
        </w:rPr>
        <w:t xml:space="preserve">xperts (up to </w:t>
      </w:r>
      <w:r>
        <w:rPr>
          <w:color w:val="000000" w:themeColor="text1"/>
          <w:lang w:val="en-US"/>
        </w:rPr>
        <w:t xml:space="preserve">28 of March </w:t>
      </w:r>
      <w:r w:rsidRPr="002415A2">
        <w:rPr>
          <w:color w:val="000000" w:themeColor="text1"/>
          <w:lang w:val="en-US"/>
        </w:rPr>
        <w:t>2023</w:t>
      </w:r>
      <w:r w:rsidRPr="002415A2">
        <w:rPr>
          <w:color w:val="000000" w:themeColor="text1"/>
        </w:rPr>
        <w:t xml:space="preserve">) have participated in the forum. The ICG began work in October 2022. </w:t>
      </w:r>
    </w:p>
    <w:p w14:paraId="1D846021" w14:textId="77777777" w:rsidR="0076553C" w:rsidRPr="002415A2" w:rsidRDefault="0076553C" w:rsidP="0076553C">
      <w:pPr>
        <w:widowControl w:val="0"/>
        <w:ind w:left="720"/>
        <w:rPr>
          <w:color w:val="000000" w:themeColor="text1"/>
        </w:rPr>
      </w:pPr>
    </w:p>
    <w:p w14:paraId="7A6888FB" w14:textId="77777777" w:rsidR="0076553C" w:rsidRPr="002415A2" w:rsidRDefault="0076553C" w:rsidP="0076553C">
      <w:pPr>
        <w:spacing w:before="120"/>
        <w:rPr>
          <w:lang w:val="en-US"/>
        </w:rPr>
      </w:pPr>
      <w:r w:rsidRPr="002415A2">
        <w:rPr>
          <w:rFonts w:ascii="Arial" w:eastAsia="Arial" w:hAnsi="Arial" w:cs="Arial"/>
          <w:b/>
          <w:i/>
          <w:sz w:val="24"/>
        </w:rPr>
        <w:t>Discussions</w:t>
      </w:r>
    </w:p>
    <w:p w14:paraId="175C11D4" w14:textId="77777777" w:rsidR="0076553C" w:rsidRPr="005912E5" w:rsidRDefault="0076553C" w:rsidP="0076553C">
      <w:pPr>
        <w:spacing w:before="120"/>
        <w:rPr>
          <w:i/>
          <w:color w:val="000000" w:themeColor="text1"/>
        </w:rPr>
      </w:pPr>
      <w:r w:rsidRPr="002415A2">
        <w:rPr>
          <w:color w:val="000000" w:themeColor="text1"/>
          <w:lang w:val="en-US"/>
        </w:rPr>
        <w:t>There were 2</w:t>
      </w:r>
      <w:r>
        <w:rPr>
          <w:color w:val="000000" w:themeColor="text1"/>
          <w:lang w:val="en-US"/>
        </w:rPr>
        <w:t>6</w:t>
      </w:r>
      <w:r w:rsidRPr="002415A2">
        <w:rPr>
          <w:color w:val="000000" w:themeColor="text1"/>
          <w:lang w:val="en-US"/>
        </w:rPr>
        <w:t xml:space="preserve"> posts with 5</w:t>
      </w:r>
      <w:r>
        <w:rPr>
          <w:color w:val="000000" w:themeColor="text1"/>
          <w:lang w:val="en-US"/>
        </w:rPr>
        <w:t>63</w:t>
      </w:r>
      <w:r w:rsidRPr="002415A2">
        <w:rPr>
          <w:color w:val="000000" w:themeColor="text1"/>
          <w:lang w:val="en-US"/>
        </w:rPr>
        <w:t xml:space="preserve"> views (up to </w:t>
      </w:r>
      <w:r>
        <w:rPr>
          <w:color w:val="000000" w:themeColor="text1"/>
          <w:lang w:val="en-US"/>
        </w:rPr>
        <w:t>28</w:t>
      </w:r>
      <w:r w:rsidRPr="002415A2">
        <w:rPr>
          <w:color w:val="000000" w:themeColor="text1"/>
          <w:lang w:val="en-US"/>
        </w:rPr>
        <w:t xml:space="preserve"> of March 2023).</w:t>
      </w:r>
      <w:r w:rsidRPr="002415A2">
        <w:rPr>
          <w:color w:val="000000" w:themeColor="text1"/>
        </w:rPr>
        <w:t xml:space="preserve"> There were </w:t>
      </w:r>
      <w:r>
        <w:rPr>
          <w:color w:val="000000" w:themeColor="text1"/>
          <w:lang w:val="en-US"/>
        </w:rPr>
        <w:t>three</w:t>
      </w:r>
      <w:r w:rsidRPr="002415A2">
        <w:rPr>
          <w:color w:val="000000" w:themeColor="text1"/>
          <w:lang w:val="en-US"/>
        </w:rPr>
        <w:t xml:space="preserve"> </w:t>
      </w:r>
      <w:r w:rsidRPr="002415A2">
        <w:rPr>
          <w:color w:val="000000" w:themeColor="text1"/>
        </w:rPr>
        <w:t>topics</w:t>
      </w:r>
      <w:r w:rsidRPr="002415A2">
        <w:t xml:space="preserve"> </w:t>
      </w:r>
      <w:r w:rsidRPr="002415A2">
        <w:rPr>
          <w:color w:val="000000" w:themeColor="text1"/>
        </w:rPr>
        <w:t xml:space="preserve">within the forum: </w:t>
      </w:r>
      <w:r w:rsidRPr="002415A2">
        <w:t xml:space="preserve"> 1-</w:t>
      </w:r>
      <w:r>
        <w:t xml:space="preserve"> </w:t>
      </w:r>
      <w:r w:rsidRPr="002415A2">
        <w:t>Education and outreach activities carried out by Parties, Observers and Experts; 2</w:t>
      </w:r>
      <w:r>
        <w:t>–</w:t>
      </w:r>
      <w:r w:rsidRPr="002415A2">
        <w:t xml:space="preserve"> Exchange request of information on examples on education of equity, diversity, and inclusion from Antarctic Programs and 3- Feedback request on the work carried out by the ICG and discuss its future development. </w:t>
      </w:r>
      <w:r>
        <w:t>It can be</w:t>
      </w:r>
      <w:r w:rsidRPr="002415A2">
        <w:t xml:space="preserve"> note</w:t>
      </w:r>
      <w:r>
        <w:t>d</w:t>
      </w:r>
      <w:r w:rsidRPr="002415A2">
        <w:t xml:space="preserve"> that posts included relevant links to obtain further information on their activities.</w:t>
      </w:r>
    </w:p>
    <w:p w14:paraId="4224A33E" w14:textId="77777777" w:rsidR="0076553C" w:rsidRPr="005912E5" w:rsidRDefault="0076553C" w:rsidP="0076553C">
      <w:pPr>
        <w:spacing w:before="120"/>
        <w:rPr>
          <w:i/>
          <w:color w:val="000000" w:themeColor="text1"/>
        </w:rPr>
      </w:pPr>
    </w:p>
    <w:p w14:paraId="12976854" w14:textId="77777777" w:rsidR="0076553C" w:rsidRPr="005912E5" w:rsidRDefault="0076553C" w:rsidP="0076553C">
      <w:pPr>
        <w:spacing w:before="120"/>
      </w:pPr>
      <w:r w:rsidRPr="005912E5">
        <w:t>Topic 1: Education and outreach activities carried out by Parties, Observers and Experts</w:t>
      </w:r>
    </w:p>
    <w:p w14:paraId="558A1A15" w14:textId="77777777" w:rsidR="0076553C" w:rsidRPr="00B84548" w:rsidRDefault="0076553C" w:rsidP="0076553C">
      <w:pPr>
        <w:spacing w:before="120"/>
      </w:pPr>
      <w:r w:rsidRPr="005912E5">
        <w:t xml:space="preserve">A total of </w:t>
      </w:r>
      <w:r>
        <w:t>16</w:t>
      </w:r>
      <w:r w:rsidRPr="002415A2">
        <w:t xml:space="preserve"> Parties (Belgium, Brazil, Bulgaria, Chile, Czech Republic, Finland, India, Italy, K</w:t>
      </w:r>
      <w:r>
        <w:t>orea (ROK)</w:t>
      </w:r>
      <w:r w:rsidRPr="002415A2">
        <w:t xml:space="preserve">, Malaysia, Poland, Portugal, Romania, </w:t>
      </w:r>
      <w:r>
        <w:t xml:space="preserve">Spain, </w:t>
      </w:r>
      <w:r w:rsidRPr="002415A2">
        <w:t>South Africa</w:t>
      </w:r>
      <w:r>
        <w:t xml:space="preserve"> and USA</w:t>
      </w:r>
      <w:r w:rsidRPr="005912E5">
        <w:t>)</w:t>
      </w:r>
      <w:r>
        <w:t>, two Observers (SCAR and COMNAP), and one Expert (</w:t>
      </w:r>
      <w:r w:rsidRPr="005912E5">
        <w:t>IAATO</w:t>
      </w:r>
      <w:r>
        <w:t>)</w:t>
      </w:r>
      <w:r w:rsidRPr="005912E5">
        <w:t xml:space="preserve"> reported their activities on education and outreach</w:t>
      </w:r>
      <w:r>
        <w:t>. Reports</w:t>
      </w:r>
      <w:r w:rsidRPr="005912E5">
        <w:t xml:space="preserve"> </w:t>
      </w:r>
      <w:r>
        <w:t>noted activities such as</w:t>
      </w:r>
      <w:r w:rsidRPr="005912E5">
        <w:t xml:space="preserve"> lectures/lessons/seminars in schools/Universities/other public areas, webinars to Antarctic stations/research ships while in the Antarctic, </w:t>
      </w:r>
      <w:r>
        <w:t>s</w:t>
      </w:r>
      <w:r w:rsidRPr="005912E5">
        <w:t>cience/</w:t>
      </w:r>
      <w:r>
        <w:t>f</w:t>
      </w:r>
      <w:r w:rsidRPr="005912E5">
        <w:t xml:space="preserve">ilm </w:t>
      </w:r>
      <w:r>
        <w:t>f</w:t>
      </w:r>
      <w:r w:rsidRPr="005912E5">
        <w:t xml:space="preserve">estivals, online competitions, polar science/art camps/training courses, outreach information on biosecurity protocols, </w:t>
      </w:r>
      <w:r>
        <w:t xml:space="preserve">outreach ceremonies, </w:t>
      </w:r>
      <w:r w:rsidRPr="005912E5">
        <w:t>national science conferences/symposiums, events celebrati</w:t>
      </w:r>
      <w:r>
        <w:t>ng</w:t>
      </w:r>
      <w:r w:rsidRPr="005912E5">
        <w:t xml:space="preserve"> national contributions to Antarctic exploration, development of educational materials (including translation of materials from </w:t>
      </w:r>
      <w:r>
        <w:t>E</w:t>
      </w:r>
      <w:r w:rsidRPr="005912E5">
        <w:t xml:space="preserve">nglish language into native language; incorporation of Antarctic themes into national school curriculums), </w:t>
      </w:r>
      <w:r>
        <w:t xml:space="preserve">citizen science activities, </w:t>
      </w:r>
      <w:r w:rsidRPr="005912E5">
        <w:t>books</w:t>
      </w:r>
      <w:r>
        <w:t xml:space="preserve"> (including the Polar Resource book with Polar Educators International (PEI), Association of Polar Early Career Scientists (APECS) and International Arctic Science Committee (IASC))</w:t>
      </w:r>
      <w:r w:rsidRPr="005912E5">
        <w:t>, exhibitions; TV/radio/newspaper interviews/documentaries/</w:t>
      </w:r>
      <w:r>
        <w:t>video animations/</w:t>
      </w:r>
      <w:r w:rsidRPr="005912E5">
        <w:t>programs linked to media; social media (</w:t>
      </w:r>
      <w:r>
        <w:t>e.</w:t>
      </w:r>
      <w:r w:rsidRPr="005912E5">
        <w:t xml:space="preserve">g. </w:t>
      </w:r>
      <w:r>
        <w:t>b</w:t>
      </w:r>
      <w:r w:rsidRPr="005912E5">
        <w:t xml:space="preserve">logs, Youtube channels, </w:t>
      </w:r>
      <w:r>
        <w:t>F</w:t>
      </w:r>
      <w:r w:rsidRPr="005912E5">
        <w:t>acebook page</w:t>
      </w:r>
      <w:r>
        <w:t>s</w:t>
      </w:r>
      <w:r w:rsidRPr="005912E5">
        <w:t>, Instagram), international activities (</w:t>
      </w:r>
      <w:r>
        <w:t>e.g.</w:t>
      </w:r>
      <w:r w:rsidRPr="005912E5">
        <w:t xml:space="preserve"> Polar WEEKS, in cooperation with the APECS and PEI, Antarctica </w:t>
      </w:r>
      <w:r>
        <w:t>D</w:t>
      </w:r>
      <w:r w:rsidRPr="005912E5">
        <w:t>ay celebrations, International Antarctic Ambassador Day, European Researchers´ Night activit</w:t>
      </w:r>
      <w:r>
        <w:t>ies</w:t>
      </w:r>
      <w:r w:rsidRPr="005912E5">
        <w:t>, outreach via research journals, international exhibitions</w:t>
      </w:r>
      <w:r w:rsidRPr="00B84548">
        <w:t>). The large number of institutions and participants involved in these activities is noteworthy.</w:t>
      </w:r>
    </w:p>
    <w:p w14:paraId="2E1780FB" w14:textId="77777777" w:rsidR="0076553C" w:rsidRPr="005912E5" w:rsidRDefault="0076553C" w:rsidP="0076553C">
      <w:pPr>
        <w:spacing w:before="120"/>
      </w:pPr>
    </w:p>
    <w:p w14:paraId="56BBDF7E" w14:textId="77777777" w:rsidR="0076553C" w:rsidRPr="005912E5" w:rsidRDefault="0076553C" w:rsidP="0076553C">
      <w:pPr>
        <w:spacing w:before="120"/>
      </w:pPr>
      <w:r w:rsidRPr="005912E5">
        <w:lastRenderedPageBreak/>
        <w:t>Topic 2: Exchange request of information on examples on education of equity, diversity, and inclusion f</w:t>
      </w:r>
      <w:r>
        <w:t>ro</w:t>
      </w:r>
      <w:r w:rsidRPr="005912E5">
        <w:t xml:space="preserve">m Antarctic Programs </w:t>
      </w:r>
    </w:p>
    <w:p w14:paraId="0079DB77" w14:textId="77777777" w:rsidR="0076553C" w:rsidRPr="005912E5" w:rsidRDefault="0076553C" w:rsidP="0076553C">
      <w:pPr>
        <w:spacing w:before="120"/>
      </w:pPr>
      <w:r w:rsidRPr="002415A2">
        <w:t>Two Parties (Portugal and Spain)</w:t>
      </w:r>
      <w:r>
        <w:t xml:space="preserve"> and one Observer (SCAR)</w:t>
      </w:r>
      <w:r w:rsidRPr="005912E5">
        <w:t xml:space="preserve"> contributed to this topic</w:t>
      </w:r>
      <w:r>
        <w:t>. Parties</w:t>
      </w:r>
      <w:r w:rsidRPr="005912E5">
        <w:t xml:space="preserve"> expressed their national contributions on increasing the awareness on equity, diversity and inclusion within their national programs</w:t>
      </w:r>
      <w:r>
        <w:t xml:space="preserve"> as well as efforts to fight discrimination, homophobia and transphobia</w:t>
      </w:r>
      <w:r w:rsidRPr="005912E5">
        <w:t>. Activities included a special session in the national training programme (focusing on its basic concepts, public policies and prevention on these topics) and addition of equity, diversity and inclusion as elements within national program practises (</w:t>
      </w:r>
      <w:r>
        <w:t>e</w:t>
      </w:r>
      <w:r w:rsidRPr="005912E5">
        <w:t>.g. inclusive logistical support for a</w:t>
      </w:r>
      <w:r>
        <w:t>l</w:t>
      </w:r>
      <w:r w:rsidRPr="005912E5">
        <w:t>l researchers, evaluation of equity/diversity/inclusion data of the polar community, surveys to identify potential issues, mechanisms to promote best practi</w:t>
      </w:r>
      <w:r>
        <w:t>c</w:t>
      </w:r>
      <w:r w:rsidRPr="005912E5">
        <w:t>es in terms of codes of conduct. More cooperation with other polar organizations on these topics are planned in the near future.</w:t>
      </w:r>
      <w:r>
        <w:t xml:space="preserve"> SCAR has an EDI Action Group (EDI AG) which works on topics such as code of conduct, surveying diversity across the community and SCAR´s capacity building activities (e.g. celebrated Polar Pride Day, Women in Polar Science initiative) and COMNAP has a representative on that EDI AG. </w:t>
      </w:r>
    </w:p>
    <w:p w14:paraId="5DE50CEA" w14:textId="77777777" w:rsidR="0076553C" w:rsidRPr="005912E5" w:rsidRDefault="0076553C" w:rsidP="0076553C">
      <w:pPr>
        <w:spacing w:before="120"/>
      </w:pPr>
    </w:p>
    <w:p w14:paraId="372D5F0D" w14:textId="77777777" w:rsidR="0076553C" w:rsidRPr="005912E5" w:rsidRDefault="0076553C" w:rsidP="0076553C">
      <w:pPr>
        <w:spacing w:before="120"/>
        <w:rPr>
          <w:i/>
          <w:color w:val="000000" w:themeColor="text1"/>
        </w:rPr>
      </w:pPr>
      <w:r w:rsidRPr="005912E5">
        <w:t>Topic 3</w:t>
      </w:r>
      <w:r>
        <w:t>:</w:t>
      </w:r>
      <w:r w:rsidRPr="005912E5">
        <w:t xml:space="preserve"> Feedback request on the work carried out by the ICG and discuss its future development </w:t>
      </w:r>
    </w:p>
    <w:p w14:paraId="62A44632" w14:textId="77777777" w:rsidR="0076553C" w:rsidRPr="005912E5" w:rsidRDefault="0076553C" w:rsidP="0076553C">
      <w:pPr>
        <w:spacing w:before="120"/>
        <w:rPr>
          <w:color w:val="000000" w:themeColor="text1"/>
        </w:rPr>
      </w:pPr>
      <w:r w:rsidRPr="002415A2">
        <w:t>Two Parties (</w:t>
      </w:r>
      <w:r w:rsidRPr="002415A2">
        <w:rPr>
          <w:color w:val="000000" w:themeColor="text1"/>
        </w:rPr>
        <w:t>Belgium and Portugal</w:t>
      </w:r>
      <w:r w:rsidRPr="005912E5">
        <w:rPr>
          <w:color w:val="000000" w:themeColor="text1"/>
        </w:rPr>
        <w:t>)</w:t>
      </w:r>
      <w:r>
        <w:rPr>
          <w:color w:val="000000" w:themeColor="text1"/>
        </w:rPr>
        <w:t xml:space="preserve"> and one Observer (SCAR)</w:t>
      </w:r>
      <w:r w:rsidRPr="005912E5">
        <w:rPr>
          <w:color w:val="000000" w:themeColor="text1"/>
        </w:rPr>
        <w:t xml:space="preserve"> contributed to this topic expressing </w:t>
      </w:r>
      <w:r>
        <w:rPr>
          <w:color w:val="000000" w:themeColor="text1"/>
        </w:rPr>
        <w:t>their</w:t>
      </w:r>
      <w:r w:rsidRPr="005912E5">
        <w:rPr>
          <w:color w:val="000000" w:themeColor="text1"/>
        </w:rPr>
        <w:t xml:space="preserve"> support</w:t>
      </w:r>
      <w:r w:rsidRPr="005912E5">
        <w:t xml:space="preserve"> for the continuation of the </w:t>
      </w:r>
      <w:r>
        <w:t>ICG</w:t>
      </w:r>
      <w:r w:rsidRPr="005912E5">
        <w:t xml:space="preserve"> on Education and Outreach for exchange of information with</w:t>
      </w:r>
      <w:r>
        <w:t xml:space="preserve"> the</w:t>
      </w:r>
      <w:r w:rsidRPr="005912E5">
        <w:t xml:space="preserve"> ATCM and CEP, the need to promote a higher level of cooperation between Parties, Observers and Experts on education and outreach related to the Antarctic Treaty, evaluate mechanisms to work together with various stakeholders in obtaining the scientific facts/knowledge (SCAR </w:t>
      </w:r>
      <w:r>
        <w:t>C</w:t>
      </w:r>
      <w:r w:rsidRPr="005912E5">
        <w:t xml:space="preserve">apacity </w:t>
      </w:r>
      <w:r>
        <w:t>B</w:t>
      </w:r>
      <w:r w:rsidRPr="005912E5">
        <w:t xml:space="preserve">uilding, </w:t>
      </w:r>
      <w:r>
        <w:t>E</w:t>
      </w:r>
      <w:r w:rsidRPr="005912E5">
        <w:t xml:space="preserve">ducation and </w:t>
      </w:r>
      <w:r>
        <w:t>T</w:t>
      </w:r>
      <w:r w:rsidRPr="005912E5">
        <w:t xml:space="preserve">raining (CBET), in engaging the young generations of scientists (with APECS) and in reviewing the most important Antarctic topics for education and outreach, carry out national/international education/outreach activities and identify future topics that will need to be addressed educationally to connect with </w:t>
      </w:r>
      <w:r>
        <w:t>E</w:t>
      </w:r>
      <w:r w:rsidRPr="005912E5">
        <w:t>ducators Worldwide (with the PEI)). Finally,</w:t>
      </w:r>
      <w:r>
        <w:t xml:space="preserve"> given the first ATCM Workshop on Education and Outreach was held eight years ago (Bulgaria, 2015), there is support for a second </w:t>
      </w:r>
      <w:r w:rsidRPr="005912E5">
        <w:t xml:space="preserve">Workshop on Education and </w:t>
      </w:r>
      <w:r w:rsidRPr="00EC0E61">
        <w:t>Outreach</w:t>
      </w:r>
      <w:r>
        <w:t xml:space="preserve"> </w:t>
      </w:r>
      <w:r w:rsidRPr="005912E5">
        <w:t>in order to reflect on the accomplishments achieved, to identify gaps and needs, and to plan future actions.</w:t>
      </w:r>
    </w:p>
    <w:p w14:paraId="5325C926" w14:textId="77777777" w:rsidR="0076553C" w:rsidRPr="005912E5" w:rsidRDefault="0076553C" w:rsidP="0076553C">
      <w:pPr>
        <w:spacing w:before="480" w:after="120"/>
        <w:jc w:val="both"/>
        <w:rPr>
          <w:rFonts w:ascii="Arial" w:eastAsia="Arial" w:hAnsi="Arial" w:cs="Arial"/>
          <w:b/>
          <w:i/>
          <w:sz w:val="24"/>
        </w:rPr>
      </w:pPr>
      <w:r w:rsidRPr="005912E5">
        <w:rPr>
          <w:rFonts w:ascii="Arial" w:eastAsia="Arial" w:hAnsi="Arial" w:cs="Arial"/>
          <w:b/>
          <w:i/>
          <w:sz w:val="24"/>
        </w:rPr>
        <w:t>Recommendations</w:t>
      </w:r>
    </w:p>
    <w:p w14:paraId="6BA2A09A" w14:textId="77777777" w:rsidR="0076553C" w:rsidRPr="005912E5" w:rsidRDefault="0076553C" w:rsidP="0076553C">
      <w:pPr>
        <w:spacing w:before="120"/>
        <w:rPr>
          <w:color w:val="8EAADB" w:themeColor="accent1" w:themeTint="99"/>
        </w:rPr>
      </w:pPr>
      <w:r w:rsidRPr="005912E5">
        <w:t>The ICG recommends that the ATCM</w:t>
      </w:r>
      <w:r>
        <w:t>:</w:t>
      </w:r>
    </w:p>
    <w:p w14:paraId="58F82011" w14:textId="77777777" w:rsidR="0076553C" w:rsidRPr="002415A2" w:rsidRDefault="0076553C" w:rsidP="0076553C">
      <w:pPr>
        <w:pStyle w:val="Prrafodelista"/>
        <w:numPr>
          <w:ilvl w:val="0"/>
          <w:numId w:val="21"/>
        </w:numPr>
        <w:spacing w:before="120"/>
        <w:rPr>
          <w:szCs w:val="22"/>
          <w:lang w:eastAsia="bg-BG"/>
        </w:rPr>
      </w:pPr>
      <w:r w:rsidRPr="002415A2">
        <w:rPr>
          <w:szCs w:val="22"/>
          <w:lang w:eastAsia="bg-BG"/>
        </w:rPr>
        <w:t>Recognise the usefulness of the Forum on Education and Outreach and support the work of the ICG during one more intersessional period;</w:t>
      </w:r>
    </w:p>
    <w:p w14:paraId="41F30A36" w14:textId="77777777" w:rsidR="0076553C" w:rsidRDefault="0076553C" w:rsidP="0076553C">
      <w:pPr>
        <w:pStyle w:val="Prrafodelista"/>
        <w:numPr>
          <w:ilvl w:val="0"/>
          <w:numId w:val="21"/>
        </w:numPr>
        <w:spacing w:before="120"/>
        <w:rPr>
          <w:szCs w:val="22"/>
          <w:lang w:eastAsia="bg-BG"/>
        </w:rPr>
      </w:pPr>
      <w:r>
        <w:rPr>
          <w:szCs w:val="22"/>
          <w:lang w:eastAsia="bg-BG"/>
        </w:rPr>
        <w:t>P</w:t>
      </w:r>
      <w:r w:rsidRPr="002415A2">
        <w:rPr>
          <w:szCs w:val="22"/>
          <w:lang w:eastAsia="bg-BG"/>
        </w:rPr>
        <w:t>romot</w:t>
      </w:r>
      <w:r>
        <w:rPr>
          <w:szCs w:val="22"/>
          <w:lang w:eastAsia="bg-BG"/>
        </w:rPr>
        <w:t>e</w:t>
      </w:r>
      <w:r w:rsidRPr="002415A2">
        <w:rPr>
          <w:szCs w:val="22"/>
          <w:lang w:eastAsia="bg-BG"/>
        </w:rPr>
        <w:t xml:space="preserve"> the usage of the Forum to provide information of </w:t>
      </w:r>
      <w:r>
        <w:rPr>
          <w:szCs w:val="22"/>
          <w:lang w:eastAsia="bg-BG"/>
        </w:rPr>
        <w:t>Parties’</w:t>
      </w:r>
      <w:r w:rsidRPr="002415A2">
        <w:rPr>
          <w:szCs w:val="22"/>
          <w:lang w:eastAsia="bg-BG"/>
        </w:rPr>
        <w:t xml:space="preserve"> activities related to </w:t>
      </w:r>
      <w:r>
        <w:rPr>
          <w:szCs w:val="22"/>
          <w:lang w:eastAsia="bg-BG"/>
        </w:rPr>
        <w:t>e</w:t>
      </w:r>
      <w:r w:rsidRPr="002415A2">
        <w:rPr>
          <w:szCs w:val="22"/>
          <w:lang w:eastAsia="bg-BG"/>
        </w:rPr>
        <w:t xml:space="preserve">ducation and </w:t>
      </w:r>
      <w:r>
        <w:rPr>
          <w:szCs w:val="22"/>
          <w:lang w:eastAsia="bg-BG"/>
        </w:rPr>
        <w:t>o</w:t>
      </w:r>
      <w:r w:rsidRPr="002415A2">
        <w:rPr>
          <w:szCs w:val="22"/>
          <w:lang w:eastAsia="bg-BG"/>
        </w:rPr>
        <w:t xml:space="preserve">utreach </w:t>
      </w:r>
      <w:r>
        <w:rPr>
          <w:szCs w:val="22"/>
          <w:lang w:eastAsia="bg-BG"/>
        </w:rPr>
        <w:t xml:space="preserve">and </w:t>
      </w:r>
      <w:r w:rsidRPr="002415A2">
        <w:rPr>
          <w:szCs w:val="22"/>
          <w:lang w:eastAsia="bg-BG"/>
        </w:rPr>
        <w:t>facilitat</w:t>
      </w:r>
      <w:r>
        <w:rPr>
          <w:szCs w:val="22"/>
          <w:lang w:eastAsia="bg-BG"/>
        </w:rPr>
        <w:t>e</w:t>
      </w:r>
      <w:r w:rsidRPr="002415A2">
        <w:rPr>
          <w:szCs w:val="22"/>
          <w:lang w:eastAsia="bg-BG"/>
        </w:rPr>
        <w:t xml:space="preserve"> experts within their delegations to access the </w:t>
      </w:r>
      <w:r>
        <w:rPr>
          <w:szCs w:val="22"/>
          <w:lang w:eastAsia="bg-BG"/>
        </w:rPr>
        <w:t>F</w:t>
      </w:r>
      <w:r w:rsidRPr="002415A2">
        <w:rPr>
          <w:szCs w:val="22"/>
          <w:lang w:eastAsia="bg-BG"/>
        </w:rPr>
        <w:t>orum;</w:t>
      </w:r>
    </w:p>
    <w:p w14:paraId="23DB91E2" w14:textId="77777777" w:rsidR="0076553C" w:rsidRPr="002415A2" w:rsidRDefault="0076553C" w:rsidP="0076553C">
      <w:pPr>
        <w:pStyle w:val="Prrafodelista"/>
        <w:numPr>
          <w:ilvl w:val="0"/>
          <w:numId w:val="21"/>
        </w:numPr>
        <w:spacing w:before="120"/>
        <w:rPr>
          <w:szCs w:val="22"/>
          <w:lang w:eastAsia="bg-BG"/>
        </w:rPr>
      </w:pPr>
      <w:r>
        <w:rPr>
          <w:szCs w:val="22"/>
          <w:lang w:eastAsia="bg-BG"/>
        </w:rPr>
        <w:t>Supports</w:t>
      </w:r>
      <w:r w:rsidRPr="002415A2">
        <w:rPr>
          <w:szCs w:val="22"/>
          <w:lang w:eastAsia="bg-BG"/>
        </w:rPr>
        <w:t xml:space="preserve"> Parties</w:t>
      </w:r>
      <w:r>
        <w:rPr>
          <w:szCs w:val="22"/>
          <w:lang w:eastAsia="bg-BG"/>
        </w:rPr>
        <w:t>, Observers and Experts</w:t>
      </w:r>
      <w:r w:rsidRPr="002415A2">
        <w:rPr>
          <w:szCs w:val="22"/>
          <w:lang w:eastAsia="bg-BG"/>
        </w:rPr>
        <w:t xml:space="preserve"> </w:t>
      </w:r>
      <w:r>
        <w:rPr>
          <w:szCs w:val="22"/>
          <w:lang w:eastAsia="bg-BG"/>
        </w:rPr>
        <w:t xml:space="preserve">to engage in </w:t>
      </w:r>
      <w:r w:rsidRPr="002415A2">
        <w:rPr>
          <w:szCs w:val="22"/>
          <w:lang w:eastAsia="bg-BG"/>
        </w:rPr>
        <w:t>key international activities/events related to education and outreach</w:t>
      </w:r>
      <w:r>
        <w:rPr>
          <w:szCs w:val="22"/>
          <w:lang w:eastAsia="bg-BG"/>
        </w:rPr>
        <w:t xml:space="preserve">, including those focused </w:t>
      </w:r>
      <w:r w:rsidRPr="002415A2">
        <w:rPr>
          <w:szCs w:val="22"/>
          <w:lang w:eastAsia="bg-BG"/>
        </w:rPr>
        <w:t>on equity, diversity and inclusion;</w:t>
      </w:r>
    </w:p>
    <w:p w14:paraId="397863E4" w14:textId="77777777" w:rsidR="0076553C" w:rsidRPr="002415A2" w:rsidRDefault="0076553C" w:rsidP="0076553C">
      <w:pPr>
        <w:pStyle w:val="Prrafodelista"/>
        <w:numPr>
          <w:ilvl w:val="0"/>
          <w:numId w:val="21"/>
        </w:numPr>
        <w:spacing w:before="120"/>
        <w:rPr>
          <w:szCs w:val="22"/>
          <w:lang w:eastAsia="bg-BG"/>
        </w:rPr>
      </w:pPr>
      <w:r>
        <w:rPr>
          <w:szCs w:val="22"/>
          <w:lang w:eastAsia="bg-BG"/>
        </w:rPr>
        <w:t xml:space="preserve">Encourages </w:t>
      </w:r>
      <w:r w:rsidRPr="002415A2">
        <w:rPr>
          <w:szCs w:val="22"/>
          <w:lang w:eastAsia="bg-BG"/>
        </w:rPr>
        <w:t xml:space="preserve">Parties to continue to promote not only Antarctica and Antarctic research through their Education and Outreach </w:t>
      </w:r>
      <w:r>
        <w:rPr>
          <w:szCs w:val="22"/>
          <w:lang w:eastAsia="bg-BG"/>
        </w:rPr>
        <w:t>a</w:t>
      </w:r>
      <w:r w:rsidRPr="002415A2">
        <w:rPr>
          <w:szCs w:val="22"/>
          <w:lang w:eastAsia="bg-BG"/>
        </w:rPr>
        <w:t>ctivities</w:t>
      </w:r>
      <w:r>
        <w:rPr>
          <w:szCs w:val="22"/>
          <w:lang w:eastAsia="bg-BG"/>
        </w:rPr>
        <w:t>,</w:t>
      </w:r>
      <w:r w:rsidRPr="002415A2">
        <w:rPr>
          <w:szCs w:val="22"/>
          <w:lang w:eastAsia="bg-BG"/>
        </w:rPr>
        <w:t xml:space="preserve"> but the Antarctic Treaty and </w:t>
      </w:r>
      <w:r>
        <w:rPr>
          <w:szCs w:val="22"/>
          <w:lang w:eastAsia="bg-BG"/>
        </w:rPr>
        <w:t xml:space="preserve">the </w:t>
      </w:r>
      <w:r w:rsidRPr="002415A2">
        <w:rPr>
          <w:szCs w:val="22"/>
          <w:lang w:eastAsia="bg-BG"/>
        </w:rPr>
        <w:t xml:space="preserve">Environmental Protocol </w:t>
      </w:r>
      <w:r>
        <w:rPr>
          <w:szCs w:val="22"/>
          <w:lang w:eastAsia="bg-BG"/>
        </w:rPr>
        <w:t>in themselves;</w:t>
      </w:r>
    </w:p>
    <w:p w14:paraId="5A9D0508" w14:textId="77777777" w:rsidR="0076553C" w:rsidRPr="002415A2" w:rsidRDefault="0076553C" w:rsidP="0076553C">
      <w:pPr>
        <w:pStyle w:val="Prrafodelista"/>
        <w:numPr>
          <w:ilvl w:val="0"/>
          <w:numId w:val="21"/>
        </w:numPr>
        <w:spacing w:before="120"/>
        <w:rPr>
          <w:szCs w:val="22"/>
          <w:lang w:eastAsia="bg-BG"/>
        </w:rPr>
      </w:pPr>
      <w:r w:rsidRPr="002415A2">
        <w:rPr>
          <w:szCs w:val="22"/>
          <w:lang w:eastAsia="bg-BG"/>
        </w:rPr>
        <w:t xml:space="preserve">Discuss the possibility to </w:t>
      </w:r>
      <w:r>
        <w:rPr>
          <w:szCs w:val="22"/>
          <w:lang w:eastAsia="bg-BG"/>
        </w:rPr>
        <w:t>organise and plan for the second</w:t>
      </w:r>
      <w:r w:rsidRPr="002415A2">
        <w:rPr>
          <w:szCs w:val="22"/>
          <w:lang w:eastAsia="bg-BG"/>
        </w:rPr>
        <w:t xml:space="preserve"> </w:t>
      </w:r>
      <w:r>
        <w:rPr>
          <w:szCs w:val="22"/>
          <w:lang w:eastAsia="bg-BG"/>
        </w:rPr>
        <w:t>W</w:t>
      </w:r>
      <w:r w:rsidRPr="002415A2">
        <w:rPr>
          <w:szCs w:val="22"/>
          <w:lang w:eastAsia="bg-BG"/>
        </w:rPr>
        <w:t>orkshop on Education and Outreach</w:t>
      </w:r>
      <w:r>
        <w:rPr>
          <w:szCs w:val="22"/>
          <w:lang w:eastAsia="bg-BG"/>
        </w:rPr>
        <w:t>.</w:t>
      </w:r>
    </w:p>
    <w:p w14:paraId="19E7E32D" w14:textId="77777777" w:rsidR="0076553C" w:rsidRDefault="0076553C" w:rsidP="00952E9F"/>
    <w:sectPr w:rsidR="0076553C"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13884" w14:textId="77777777" w:rsidR="00B45007" w:rsidRDefault="0076553C">
      <w:r>
        <w:separator/>
      </w:r>
    </w:p>
  </w:endnote>
  <w:endnote w:type="continuationSeparator" w:id="0">
    <w:p w14:paraId="54107EA1" w14:textId="77777777" w:rsidR="00B45007" w:rsidRDefault="0076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962C9" w14:textId="77777777" w:rsidR="00FA0B9F" w:rsidRDefault="0076553C" w:rsidP="00CF5C82">
    <w:pPr>
      <w:framePr w:wrap="around" w:vAnchor="text" w:hAnchor="margin" w:xAlign="right" w:y="1"/>
    </w:pPr>
    <w:r>
      <w:fldChar w:fldCharType="begin"/>
    </w:r>
    <w:r>
      <w:instrText xml:space="preserve">PAGE  </w:instrText>
    </w:r>
    <w:r w:rsidR="00950BF5">
      <w:fldChar w:fldCharType="separate"/>
    </w:r>
    <w:r>
      <w:fldChar w:fldCharType="end"/>
    </w:r>
  </w:p>
  <w:p w14:paraId="1F6F7D22" w14:textId="77777777" w:rsidR="00FA0B9F" w:rsidRDefault="00950BF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B5351" w14:textId="77777777" w:rsidR="00FA0B9F" w:rsidRDefault="0076553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CF81F18" w14:textId="6D6CAD9B" w:rsidR="00FA0B9F" w:rsidRDefault="00950BF5"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A5505" w14:textId="77777777" w:rsidR="0076553C" w:rsidRDefault="0076553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BCCB6" w14:textId="77777777" w:rsidR="00E311C9" w:rsidRDefault="0076553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2C94C11" w14:textId="77777777" w:rsidR="00E311C9" w:rsidRDefault="00950BF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0D428" w14:textId="77777777" w:rsidR="00B45007" w:rsidRDefault="0076553C">
      <w:r>
        <w:separator/>
      </w:r>
    </w:p>
  </w:footnote>
  <w:footnote w:type="continuationSeparator" w:id="0">
    <w:p w14:paraId="003C6A18" w14:textId="77777777" w:rsidR="00B45007" w:rsidRDefault="00765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425E" w14:textId="77777777" w:rsidR="0076553C" w:rsidRDefault="007655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BD4527" w14:paraId="67A47C28" w14:textId="77777777" w:rsidTr="002E12EC">
      <w:trPr>
        <w:trHeight w:val="344"/>
        <w:jc w:val="center"/>
      </w:trPr>
      <w:tc>
        <w:tcPr>
          <w:tcW w:w="5495" w:type="dxa"/>
        </w:tcPr>
        <w:p w14:paraId="2E3946A0" w14:textId="6BD7C95C" w:rsidR="00DB7C09" w:rsidRDefault="00950BF5" w:rsidP="00F968D4">
          <w:r>
            <w:t>3</w:t>
          </w:r>
        </w:p>
      </w:tc>
      <w:tc>
        <w:tcPr>
          <w:tcW w:w="4253" w:type="dxa"/>
          <w:gridSpan w:val="2"/>
        </w:tcPr>
        <w:p w14:paraId="665734B3" w14:textId="77777777" w:rsidR="00DB7C09" w:rsidRPr="00BD47E4" w:rsidRDefault="0076553C" w:rsidP="002A07BC">
          <w:pPr>
            <w:jc w:val="right"/>
            <w:rPr>
              <w:b/>
              <w:sz w:val="32"/>
              <w:szCs w:val="32"/>
            </w:rPr>
          </w:pPr>
          <w:bookmarkStart w:id="2" w:name="type"/>
          <w:r w:rsidRPr="00BD47E4">
            <w:rPr>
              <w:b/>
              <w:sz w:val="32"/>
              <w:szCs w:val="32"/>
            </w:rPr>
            <w:t>WP</w:t>
          </w:r>
          <w:bookmarkEnd w:id="2"/>
        </w:p>
      </w:tc>
      <w:tc>
        <w:tcPr>
          <w:tcW w:w="1524" w:type="dxa"/>
          <w:gridSpan w:val="2"/>
        </w:tcPr>
        <w:p w14:paraId="3A8DA94B" w14:textId="77777777" w:rsidR="00DB7C09" w:rsidRPr="00BD47E4" w:rsidRDefault="0076553C" w:rsidP="00DB7C09">
          <w:pPr>
            <w:rPr>
              <w:b/>
              <w:sz w:val="32"/>
              <w:szCs w:val="32"/>
            </w:rPr>
          </w:pPr>
          <w:bookmarkStart w:id="3" w:name="number"/>
          <w:r w:rsidRPr="00BD47E4">
            <w:rPr>
              <w:b/>
              <w:sz w:val="32"/>
              <w:szCs w:val="32"/>
            </w:rPr>
            <w:t>25</w:t>
          </w:r>
          <w:bookmarkEnd w:id="3"/>
        </w:p>
      </w:tc>
    </w:tr>
    <w:tr w:rsidR="00BD4527" w14:paraId="2EC3283C" w14:textId="77777777" w:rsidTr="002E12EC">
      <w:trPr>
        <w:trHeight w:val="2165"/>
        <w:jc w:val="center"/>
      </w:trPr>
      <w:tc>
        <w:tcPr>
          <w:tcW w:w="5495" w:type="dxa"/>
        </w:tcPr>
        <w:p w14:paraId="2C3C0989" w14:textId="77777777" w:rsidR="00490760" w:rsidRPr="00EE4D48" w:rsidRDefault="0076553C" w:rsidP="002A07BC">
          <w:pPr>
            <w:rPr>
              <w:b/>
              <w:sz w:val="28"/>
              <w:szCs w:val="28"/>
            </w:rPr>
          </w:pPr>
          <w:r>
            <w:rPr>
              <w:noProof/>
            </w:rPr>
            <w:drawing>
              <wp:inline distT="0" distB="0" distL="0" distR="0" wp14:anchorId="36F92AFB" wp14:editId="0FF2B50E">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4227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646A20A" w14:textId="77777777" w:rsidR="00490760" w:rsidRPr="00FE5146" w:rsidRDefault="0076553C" w:rsidP="00490760">
          <w:pPr>
            <w:jc w:val="right"/>
            <w:rPr>
              <w:sz w:val="144"/>
              <w:szCs w:val="144"/>
            </w:rPr>
          </w:pPr>
          <w:r w:rsidRPr="00FE5146">
            <w:rPr>
              <w:sz w:val="144"/>
              <w:szCs w:val="144"/>
            </w:rPr>
            <w:t>ENG</w:t>
          </w:r>
        </w:p>
      </w:tc>
    </w:tr>
    <w:tr w:rsidR="00BD4527" w14:paraId="78C8D221" w14:textId="77777777" w:rsidTr="002E12EC">
      <w:trPr>
        <w:trHeight w:val="409"/>
        <w:jc w:val="center"/>
      </w:trPr>
      <w:tc>
        <w:tcPr>
          <w:tcW w:w="8500" w:type="dxa"/>
          <w:gridSpan w:val="2"/>
        </w:tcPr>
        <w:p w14:paraId="0FEB4E08" w14:textId="77777777" w:rsidR="00BD47E4" w:rsidRDefault="0076553C" w:rsidP="002C30DA">
          <w:pPr>
            <w:jc w:val="right"/>
          </w:pPr>
          <w:r>
            <w:t>Agenda Item:</w:t>
          </w:r>
        </w:p>
      </w:tc>
      <w:tc>
        <w:tcPr>
          <w:tcW w:w="2382" w:type="dxa"/>
          <w:gridSpan w:val="2"/>
        </w:tcPr>
        <w:p w14:paraId="511D4047" w14:textId="77777777" w:rsidR="00BD47E4" w:rsidRDefault="0076553C" w:rsidP="002C30DA">
          <w:pPr>
            <w:jc w:val="right"/>
          </w:pPr>
          <w:bookmarkStart w:id="4" w:name="agenda"/>
          <w:r>
            <w:t>ATCM 11</w:t>
          </w:r>
          <w:bookmarkEnd w:id="4"/>
        </w:p>
      </w:tc>
      <w:tc>
        <w:tcPr>
          <w:tcW w:w="390" w:type="dxa"/>
        </w:tcPr>
        <w:p w14:paraId="6A37C68C" w14:textId="77777777" w:rsidR="00BD47E4" w:rsidRDefault="00950BF5" w:rsidP="00387A65">
          <w:pPr>
            <w:jc w:val="right"/>
          </w:pPr>
        </w:p>
      </w:tc>
    </w:tr>
    <w:tr w:rsidR="00BD4527" w14:paraId="4FDE95D9" w14:textId="77777777" w:rsidTr="002E12EC">
      <w:trPr>
        <w:trHeight w:val="397"/>
        <w:jc w:val="center"/>
      </w:trPr>
      <w:tc>
        <w:tcPr>
          <w:tcW w:w="8500" w:type="dxa"/>
          <w:gridSpan w:val="2"/>
        </w:tcPr>
        <w:p w14:paraId="4B32440F" w14:textId="77777777" w:rsidR="00BD47E4" w:rsidRDefault="0076553C" w:rsidP="002C30DA">
          <w:pPr>
            <w:jc w:val="right"/>
          </w:pPr>
          <w:r>
            <w:t>Presented by:</w:t>
          </w:r>
        </w:p>
      </w:tc>
      <w:tc>
        <w:tcPr>
          <w:tcW w:w="2382" w:type="dxa"/>
          <w:gridSpan w:val="2"/>
        </w:tcPr>
        <w:p w14:paraId="6269C7E4" w14:textId="77777777" w:rsidR="00BD47E4" w:rsidRDefault="0076553C" w:rsidP="002C30DA">
          <w:pPr>
            <w:jc w:val="right"/>
          </w:pPr>
          <w:bookmarkStart w:id="5" w:name="party"/>
          <w:r>
            <w:t>Bulgaria, Belgium, Brazil, Chile, COMNAP, Czechia, Finland, IAATO, India, Italy, Korea (ROK), Malaysia, Poland, Portugal, Romania, SCAR, South Africa, Spain, United Kingdom, United States</w:t>
          </w:r>
          <w:bookmarkEnd w:id="5"/>
        </w:p>
      </w:tc>
      <w:tc>
        <w:tcPr>
          <w:tcW w:w="390" w:type="dxa"/>
        </w:tcPr>
        <w:p w14:paraId="0F266ADF" w14:textId="77777777" w:rsidR="00BD47E4" w:rsidRDefault="00950BF5" w:rsidP="00387A65">
          <w:pPr>
            <w:jc w:val="right"/>
          </w:pPr>
        </w:p>
      </w:tc>
    </w:tr>
    <w:tr w:rsidR="00BD4527" w14:paraId="40902980" w14:textId="77777777" w:rsidTr="002E12EC">
      <w:trPr>
        <w:trHeight w:val="409"/>
        <w:jc w:val="center"/>
      </w:trPr>
      <w:tc>
        <w:tcPr>
          <w:tcW w:w="8500" w:type="dxa"/>
          <w:gridSpan w:val="2"/>
        </w:tcPr>
        <w:p w14:paraId="29277F73" w14:textId="77777777" w:rsidR="00BD47E4" w:rsidRDefault="0076553C" w:rsidP="002C30DA">
          <w:pPr>
            <w:jc w:val="right"/>
          </w:pPr>
          <w:r>
            <w:t>Original:</w:t>
          </w:r>
        </w:p>
      </w:tc>
      <w:tc>
        <w:tcPr>
          <w:tcW w:w="2382" w:type="dxa"/>
          <w:gridSpan w:val="2"/>
        </w:tcPr>
        <w:p w14:paraId="6B511B8B" w14:textId="77777777" w:rsidR="00BD47E4" w:rsidRDefault="0076553C" w:rsidP="002C30DA">
          <w:pPr>
            <w:jc w:val="right"/>
          </w:pPr>
          <w:bookmarkStart w:id="6" w:name="language"/>
          <w:r>
            <w:t>English</w:t>
          </w:r>
          <w:bookmarkEnd w:id="6"/>
        </w:p>
      </w:tc>
      <w:tc>
        <w:tcPr>
          <w:tcW w:w="390" w:type="dxa"/>
        </w:tcPr>
        <w:p w14:paraId="219A8940" w14:textId="77777777" w:rsidR="00BD47E4" w:rsidRDefault="00950BF5" w:rsidP="00387A65">
          <w:pPr>
            <w:jc w:val="right"/>
          </w:pPr>
        </w:p>
      </w:tc>
    </w:tr>
    <w:tr w:rsidR="00BD4527" w14:paraId="78A9426D" w14:textId="77777777" w:rsidTr="002E12EC">
      <w:trPr>
        <w:trHeight w:val="409"/>
        <w:jc w:val="center"/>
      </w:trPr>
      <w:tc>
        <w:tcPr>
          <w:tcW w:w="8500" w:type="dxa"/>
          <w:gridSpan w:val="2"/>
        </w:tcPr>
        <w:p w14:paraId="7594F7C0" w14:textId="77777777" w:rsidR="0097629D" w:rsidRDefault="0076553C" w:rsidP="002C30DA">
          <w:pPr>
            <w:jc w:val="right"/>
          </w:pPr>
          <w:r>
            <w:t>Submitted:</w:t>
          </w:r>
        </w:p>
      </w:tc>
      <w:tc>
        <w:tcPr>
          <w:tcW w:w="2382" w:type="dxa"/>
          <w:gridSpan w:val="2"/>
        </w:tcPr>
        <w:p w14:paraId="6EF1824C" w14:textId="2894867A" w:rsidR="0097629D" w:rsidRDefault="0076553C" w:rsidP="0097629D">
          <w:pPr>
            <w:jc w:val="right"/>
          </w:pPr>
          <w:bookmarkStart w:id="7" w:name="date_submission"/>
          <w:r>
            <w:t>1</w:t>
          </w:r>
          <w:r w:rsidR="00950BF5">
            <w:t>3</w:t>
          </w:r>
          <w:r>
            <w:t xml:space="preserve"> Apr 2023</w:t>
          </w:r>
          <w:bookmarkEnd w:id="7"/>
        </w:p>
      </w:tc>
      <w:tc>
        <w:tcPr>
          <w:tcW w:w="390" w:type="dxa"/>
        </w:tcPr>
        <w:p w14:paraId="4220A00F" w14:textId="77777777" w:rsidR="0097629D" w:rsidRDefault="00950BF5" w:rsidP="00387A65">
          <w:pPr>
            <w:jc w:val="right"/>
          </w:pPr>
        </w:p>
      </w:tc>
    </w:tr>
  </w:tbl>
  <w:p w14:paraId="10664DC8" w14:textId="77777777" w:rsidR="00AE5DD0" w:rsidRDefault="00950B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61E24" w14:textId="77777777" w:rsidR="0076553C" w:rsidRDefault="0076553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D4527" w14:paraId="59964CE6" w14:textId="77777777">
      <w:trPr>
        <w:trHeight w:val="354"/>
        <w:jc w:val="center"/>
      </w:trPr>
      <w:tc>
        <w:tcPr>
          <w:tcW w:w="9694" w:type="dxa"/>
        </w:tcPr>
        <w:p w14:paraId="1842084E" w14:textId="0E5C67B2" w:rsidR="00AE5DD0" w:rsidRPr="00BD47E4" w:rsidRDefault="0076553C" w:rsidP="00C26F2D">
          <w:pPr>
            <w:jc w:val="right"/>
            <w:rPr>
              <w:b/>
              <w:sz w:val="32"/>
              <w:szCs w:val="32"/>
            </w:rPr>
          </w:pPr>
          <w:r>
            <w:rPr>
              <w:b/>
              <w:sz w:val="32"/>
              <w:szCs w:val="32"/>
            </w:rPr>
            <w:t>WP</w:t>
          </w:r>
        </w:p>
      </w:tc>
      <w:tc>
        <w:tcPr>
          <w:tcW w:w="1332" w:type="dxa"/>
        </w:tcPr>
        <w:p w14:paraId="3845673C" w14:textId="65F801D5" w:rsidR="00AE5DD0" w:rsidRPr="00BD47E4" w:rsidRDefault="0076553C" w:rsidP="00080F4C">
          <w:pPr>
            <w:rPr>
              <w:b/>
              <w:sz w:val="32"/>
              <w:szCs w:val="32"/>
            </w:rPr>
          </w:pPr>
          <w:r>
            <w:rPr>
              <w:b/>
              <w:sz w:val="32"/>
              <w:szCs w:val="32"/>
            </w:rPr>
            <w:t>25</w:t>
          </w:r>
        </w:p>
      </w:tc>
    </w:tr>
  </w:tbl>
  <w:p w14:paraId="7611072B" w14:textId="77777777" w:rsidR="00AE5DD0" w:rsidRDefault="00950B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2B8E6E6">
      <w:start w:val="1"/>
      <w:numFmt w:val="bullet"/>
      <w:pStyle w:val="ATSBullet1"/>
      <w:lvlText w:val=""/>
      <w:lvlJc w:val="left"/>
      <w:pPr>
        <w:tabs>
          <w:tab w:val="num" w:pos="360"/>
        </w:tabs>
        <w:ind w:left="360" w:hanging="360"/>
      </w:pPr>
      <w:rPr>
        <w:rFonts w:ascii="Symbol" w:hAnsi="Symbol" w:hint="default"/>
        <w:color w:val="auto"/>
      </w:rPr>
    </w:lvl>
    <w:lvl w:ilvl="1" w:tplc="C0A40F96" w:tentative="1">
      <w:start w:val="1"/>
      <w:numFmt w:val="bullet"/>
      <w:lvlText w:val="o"/>
      <w:lvlJc w:val="left"/>
      <w:pPr>
        <w:tabs>
          <w:tab w:val="num" w:pos="1440"/>
        </w:tabs>
        <w:ind w:left="1440" w:hanging="360"/>
      </w:pPr>
      <w:rPr>
        <w:rFonts w:ascii="Courier New" w:hAnsi="Courier New" w:cs="Courier New" w:hint="default"/>
      </w:rPr>
    </w:lvl>
    <w:lvl w:ilvl="2" w:tplc="5EC292CC" w:tentative="1">
      <w:start w:val="1"/>
      <w:numFmt w:val="bullet"/>
      <w:lvlText w:val=""/>
      <w:lvlJc w:val="left"/>
      <w:pPr>
        <w:tabs>
          <w:tab w:val="num" w:pos="2160"/>
        </w:tabs>
        <w:ind w:left="2160" w:hanging="360"/>
      </w:pPr>
      <w:rPr>
        <w:rFonts w:ascii="Wingdings" w:hAnsi="Wingdings" w:hint="default"/>
      </w:rPr>
    </w:lvl>
    <w:lvl w:ilvl="3" w:tplc="2F14601A" w:tentative="1">
      <w:start w:val="1"/>
      <w:numFmt w:val="bullet"/>
      <w:lvlText w:val=""/>
      <w:lvlJc w:val="left"/>
      <w:pPr>
        <w:tabs>
          <w:tab w:val="num" w:pos="2880"/>
        </w:tabs>
        <w:ind w:left="2880" w:hanging="360"/>
      </w:pPr>
      <w:rPr>
        <w:rFonts w:ascii="Symbol" w:hAnsi="Symbol" w:hint="default"/>
      </w:rPr>
    </w:lvl>
    <w:lvl w:ilvl="4" w:tplc="5F1655A2" w:tentative="1">
      <w:start w:val="1"/>
      <w:numFmt w:val="bullet"/>
      <w:lvlText w:val="o"/>
      <w:lvlJc w:val="left"/>
      <w:pPr>
        <w:tabs>
          <w:tab w:val="num" w:pos="3600"/>
        </w:tabs>
        <w:ind w:left="3600" w:hanging="360"/>
      </w:pPr>
      <w:rPr>
        <w:rFonts w:ascii="Courier New" w:hAnsi="Courier New" w:cs="Courier New" w:hint="default"/>
      </w:rPr>
    </w:lvl>
    <w:lvl w:ilvl="5" w:tplc="990017BA" w:tentative="1">
      <w:start w:val="1"/>
      <w:numFmt w:val="bullet"/>
      <w:lvlText w:val=""/>
      <w:lvlJc w:val="left"/>
      <w:pPr>
        <w:tabs>
          <w:tab w:val="num" w:pos="4320"/>
        </w:tabs>
        <w:ind w:left="4320" w:hanging="360"/>
      </w:pPr>
      <w:rPr>
        <w:rFonts w:ascii="Wingdings" w:hAnsi="Wingdings" w:hint="default"/>
      </w:rPr>
    </w:lvl>
    <w:lvl w:ilvl="6" w:tplc="928A3DEE" w:tentative="1">
      <w:start w:val="1"/>
      <w:numFmt w:val="bullet"/>
      <w:lvlText w:val=""/>
      <w:lvlJc w:val="left"/>
      <w:pPr>
        <w:tabs>
          <w:tab w:val="num" w:pos="5040"/>
        </w:tabs>
        <w:ind w:left="5040" w:hanging="360"/>
      </w:pPr>
      <w:rPr>
        <w:rFonts w:ascii="Symbol" w:hAnsi="Symbol" w:hint="default"/>
      </w:rPr>
    </w:lvl>
    <w:lvl w:ilvl="7" w:tplc="56B0FA5C" w:tentative="1">
      <w:start w:val="1"/>
      <w:numFmt w:val="bullet"/>
      <w:lvlText w:val="o"/>
      <w:lvlJc w:val="left"/>
      <w:pPr>
        <w:tabs>
          <w:tab w:val="num" w:pos="5760"/>
        </w:tabs>
        <w:ind w:left="5760" w:hanging="360"/>
      </w:pPr>
      <w:rPr>
        <w:rFonts w:ascii="Courier New" w:hAnsi="Courier New" w:cs="Courier New" w:hint="default"/>
      </w:rPr>
    </w:lvl>
    <w:lvl w:ilvl="8" w:tplc="5F72016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FFCAF68">
      <w:start w:val="1"/>
      <w:numFmt w:val="decimal"/>
      <w:lvlText w:val="%1)"/>
      <w:lvlJc w:val="left"/>
      <w:pPr>
        <w:tabs>
          <w:tab w:val="num" w:pos="340"/>
        </w:tabs>
        <w:ind w:left="340" w:hanging="340"/>
      </w:pPr>
      <w:rPr>
        <w:rFonts w:hint="default"/>
      </w:rPr>
    </w:lvl>
    <w:lvl w:ilvl="1" w:tplc="A770F770" w:tentative="1">
      <w:start w:val="1"/>
      <w:numFmt w:val="lowerLetter"/>
      <w:lvlText w:val="%2."/>
      <w:lvlJc w:val="left"/>
      <w:pPr>
        <w:tabs>
          <w:tab w:val="num" w:pos="1440"/>
        </w:tabs>
        <w:ind w:left="1440" w:hanging="360"/>
      </w:pPr>
    </w:lvl>
    <w:lvl w:ilvl="2" w:tplc="3A1A453E" w:tentative="1">
      <w:start w:val="1"/>
      <w:numFmt w:val="lowerRoman"/>
      <w:lvlText w:val="%3."/>
      <w:lvlJc w:val="right"/>
      <w:pPr>
        <w:tabs>
          <w:tab w:val="num" w:pos="2160"/>
        </w:tabs>
        <w:ind w:left="2160" w:hanging="180"/>
      </w:pPr>
    </w:lvl>
    <w:lvl w:ilvl="3" w:tplc="EE445666" w:tentative="1">
      <w:start w:val="1"/>
      <w:numFmt w:val="decimal"/>
      <w:lvlText w:val="%4."/>
      <w:lvlJc w:val="left"/>
      <w:pPr>
        <w:tabs>
          <w:tab w:val="num" w:pos="2880"/>
        </w:tabs>
        <w:ind w:left="2880" w:hanging="360"/>
      </w:pPr>
    </w:lvl>
    <w:lvl w:ilvl="4" w:tplc="EF043082" w:tentative="1">
      <w:start w:val="1"/>
      <w:numFmt w:val="lowerLetter"/>
      <w:lvlText w:val="%5."/>
      <w:lvlJc w:val="left"/>
      <w:pPr>
        <w:tabs>
          <w:tab w:val="num" w:pos="3600"/>
        </w:tabs>
        <w:ind w:left="3600" w:hanging="360"/>
      </w:pPr>
    </w:lvl>
    <w:lvl w:ilvl="5" w:tplc="3D844EDC" w:tentative="1">
      <w:start w:val="1"/>
      <w:numFmt w:val="lowerRoman"/>
      <w:lvlText w:val="%6."/>
      <w:lvlJc w:val="right"/>
      <w:pPr>
        <w:tabs>
          <w:tab w:val="num" w:pos="4320"/>
        </w:tabs>
        <w:ind w:left="4320" w:hanging="180"/>
      </w:pPr>
    </w:lvl>
    <w:lvl w:ilvl="6" w:tplc="9D0E9014" w:tentative="1">
      <w:start w:val="1"/>
      <w:numFmt w:val="decimal"/>
      <w:lvlText w:val="%7."/>
      <w:lvlJc w:val="left"/>
      <w:pPr>
        <w:tabs>
          <w:tab w:val="num" w:pos="5040"/>
        </w:tabs>
        <w:ind w:left="5040" w:hanging="360"/>
      </w:pPr>
    </w:lvl>
    <w:lvl w:ilvl="7" w:tplc="D3587D50" w:tentative="1">
      <w:start w:val="1"/>
      <w:numFmt w:val="lowerLetter"/>
      <w:lvlText w:val="%8."/>
      <w:lvlJc w:val="left"/>
      <w:pPr>
        <w:tabs>
          <w:tab w:val="num" w:pos="5760"/>
        </w:tabs>
        <w:ind w:left="5760" w:hanging="360"/>
      </w:pPr>
    </w:lvl>
    <w:lvl w:ilvl="8" w:tplc="09C2D272" w:tentative="1">
      <w:start w:val="1"/>
      <w:numFmt w:val="lowerRoman"/>
      <w:lvlText w:val="%9."/>
      <w:lvlJc w:val="right"/>
      <w:pPr>
        <w:tabs>
          <w:tab w:val="num" w:pos="6480"/>
        </w:tabs>
        <w:ind w:left="6480" w:hanging="180"/>
      </w:pPr>
    </w:lvl>
  </w:abstractNum>
  <w:abstractNum w:abstractNumId="13" w15:restartNumberingAfterBreak="0">
    <w:nsid w:val="52315AF7"/>
    <w:multiLevelType w:val="hybridMultilevel"/>
    <w:tmpl w:val="98823026"/>
    <w:lvl w:ilvl="0" w:tplc="A3FC8AD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F3AFA"/>
    <w:multiLevelType w:val="hybridMultilevel"/>
    <w:tmpl w:val="9DF09BE6"/>
    <w:lvl w:ilvl="0" w:tplc="6350665A">
      <w:start w:val="1"/>
      <w:numFmt w:val="decimal"/>
      <w:lvlText w:val="%1."/>
      <w:lvlJc w:val="left"/>
      <w:pPr>
        <w:tabs>
          <w:tab w:val="num" w:pos="1057"/>
        </w:tabs>
        <w:ind w:left="1057" w:hanging="360"/>
      </w:pPr>
      <w:rPr>
        <w:rFonts w:hint="default"/>
      </w:rPr>
    </w:lvl>
    <w:lvl w:ilvl="1" w:tplc="0022879C" w:tentative="1">
      <w:start w:val="1"/>
      <w:numFmt w:val="lowerLetter"/>
      <w:lvlText w:val="%2."/>
      <w:lvlJc w:val="left"/>
      <w:pPr>
        <w:tabs>
          <w:tab w:val="num" w:pos="2137"/>
        </w:tabs>
        <w:ind w:left="2137" w:hanging="360"/>
      </w:pPr>
    </w:lvl>
    <w:lvl w:ilvl="2" w:tplc="0FB6F96A" w:tentative="1">
      <w:start w:val="1"/>
      <w:numFmt w:val="lowerRoman"/>
      <w:lvlText w:val="%3."/>
      <w:lvlJc w:val="right"/>
      <w:pPr>
        <w:tabs>
          <w:tab w:val="num" w:pos="2857"/>
        </w:tabs>
        <w:ind w:left="2857" w:hanging="180"/>
      </w:pPr>
    </w:lvl>
    <w:lvl w:ilvl="3" w:tplc="12604F44" w:tentative="1">
      <w:start w:val="1"/>
      <w:numFmt w:val="decimal"/>
      <w:lvlText w:val="%4."/>
      <w:lvlJc w:val="left"/>
      <w:pPr>
        <w:tabs>
          <w:tab w:val="num" w:pos="3577"/>
        </w:tabs>
        <w:ind w:left="3577" w:hanging="360"/>
      </w:pPr>
    </w:lvl>
    <w:lvl w:ilvl="4" w:tplc="442E1AEC" w:tentative="1">
      <w:start w:val="1"/>
      <w:numFmt w:val="lowerLetter"/>
      <w:lvlText w:val="%5."/>
      <w:lvlJc w:val="left"/>
      <w:pPr>
        <w:tabs>
          <w:tab w:val="num" w:pos="4297"/>
        </w:tabs>
        <w:ind w:left="4297" w:hanging="360"/>
      </w:pPr>
    </w:lvl>
    <w:lvl w:ilvl="5" w:tplc="3D9E2FEA" w:tentative="1">
      <w:start w:val="1"/>
      <w:numFmt w:val="lowerRoman"/>
      <w:lvlText w:val="%6."/>
      <w:lvlJc w:val="right"/>
      <w:pPr>
        <w:tabs>
          <w:tab w:val="num" w:pos="5017"/>
        </w:tabs>
        <w:ind w:left="5017" w:hanging="180"/>
      </w:pPr>
    </w:lvl>
    <w:lvl w:ilvl="6" w:tplc="86F4CE48" w:tentative="1">
      <w:start w:val="1"/>
      <w:numFmt w:val="decimal"/>
      <w:lvlText w:val="%7."/>
      <w:lvlJc w:val="left"/>
      <w:pPr>
        <w:tabs>
          <w:tab w:val="num" w:pos="5737"/>
        </w:tabs>
        <w:ind w:left="5737" w:hanging="360"/>
      </w:pPr>
    </w:lvl>
    <w:lvl w:ilvl="7" w:tplc="4A226050" w:tentative="1">
      <w:start w:val="1"/>
      <w:numFmt w:val="lowerLetter"/>
      <w:lvlText w:val="%8."/>
      <w:lvlJc w:val="left"/>
      <w:pPr>
        <w:tabs>
          <w:tab w:val="num" w:pos="6457"/>
        </w:tabs>
        <w:ind w:left="6457" w:hanging="360"/>
      </w:pPr>
    </w:lvl>
    <w:lvl w:ilvl="8" w:tplc="35960F9A"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DB04B840">
      <w:start w:val="1"/>
      <w:numFmt w:val="decimal"/>
      <w:pStyle w:val="ATSNumber1"/>
      <w:lvlText w:val="%1)"/>
      <w:lvlJc w:val="left"/>
      <w:pPr>
        <w:tabs>
          <w:tab w:val="num" w:pos="720"/>
        </w:tabs>
        <w:ind w:left="720" w:hanging="360"/>
      </w:pPr>
    </w:lvl>
    <w:lvl w:ilvl="1" w:tplc="F738D1A8" w:tentative="1">
      <w:start w:val="1"/>
      <w:numFmt w:val="lowerLetter"/>
      <w:lvlText w:val="%2."/>
      <w:lvlJc w:val="left"/>
      <w:pPr>
        <w:tabs>
          <w:tab w:val="num" w:pos="1440"/>
        </w:tabs>
        <w:ind w:left="1440" w:hanging="360"/>
      </w:pPr>
    </w:lvl>
    <w:lvl w:ilvl="2" w:tplc="CBECBAB8" w:tentative="1">
      <w:start w:val="1"/>
      <w:numFmt w:val="lowerRoman"/>
      <w:lvlText w:val="%3."/>
      <w:lvlJc w:val="right"/>
      <w:pPr>
        <w:tabs>
          <w:tab w:val="num" w:pos="2160"/>
        </w:tabs>
        <w:ind w:left="2160" w:hanging="180"/>
      </w:pPr>
    </w:lvl>
    <w:lvl w:ilvl="3" w:tplc="9E76A3E6" w:tentative="1">
      <w:start w:val="1"/>
      <w:numFmt w:val="decimal"/>
      <w:lvlText w:val="%4."/>
      <w:lvlJc w:val="left"/>
      <w:pPr>
        <w:tabs>
          <w:tab w:val="num" w:pos="2880"/>
        </w:tabs>
        <w:ind w:left="2880" w:hanging="360"/>
      </w:pPr>
    </w:lvl>
    <w:lvl w:ilvl="4" w:tplc="49360A0A" w:tentative="1">
      <w:start w:val="1"/>
      <w:numFmt w:val="lowerLetter"/>
      <w:lvlText w:val="%5."/>
      <w:lvlJc w:val="left"/>
      <w:pPr>
        <w:tabs>
          <w:tab w:val="num" w:pos="3600"/>
        </w:tabs>
        <w:ind w:left="3600" w:hanging="360"/>
      </w:pPr>
    </w:lvl>
    <w:lvl w:ilvl="5" w:tplc="846EEFAA" w:tentative="1">
      <w:start w:val="1"/>
      <w:numFmt w:val="lowerRoman"/>
      <w:lvlText w:val="%6."/>
      <w:lvlJc w:val="right"/>
      <w:pPr>
        <w:tabs>
          <w:tab w:val="num" w:pos="4320"/>
        </w:tabs>
        <w:ind w:left="4320" w:hanging="180"/>
      </w:pPr>
    </w:lvl>
    <w:lvl w:ilvl="6" w:tplc="0C0468F8" w:tentative="1">
      <w:start w:val="1"/>
      <w:numFmt w:val="decimal"/>
      <w:lvlText w:val="%7."/>
      <w:lvlJc w:val="left"/>
      <w:pPr>
        <w:tabs>
          <w:tab w:val="num" w:pos="5040"/>
        </w:tabs>
        <w:ind w:left="5040" w:hanging="360"/>
      </w:pPr>
    </w:lvl>
    <w:lvl w:ilvl="7" w:tplc="5AA85C5C" w:tentative="1">
      <w:start w:val="1"/>
      <w:numFmt w:val="lowerLetter"/>
      <w:lvlText w:val="%8."/>
      <w:lvlJc w:val="left"/>
      <w:pPr>
        <w:tabs>
          <w:tab w:val="num" w:pos="5760"/>
        </w:tabs>
        <w:ind w:left="5760" w:hanging="360"/>
      </w:pPr>
    </w:lvl>
    <w:lvl w:ilvl="8" w:tplc="B300A518"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61DEE49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8CE35E8" w:tentative="1">
      <w:start w:val="1"/>
      <w:numFmt w:val="bullet"/>
      <w:lvlText w:val="o"/>
      <w:lvlJc w:val="left"/>
      <w:pPr>
        <w:tabs>
          <w:tab w:val="num" w:pos="2517"/>
        </w:tabs>
        <w:ind w:left="2517" w:hanging="360"/>
      </w:pPr>
      <w:rPr>
        <w:rFonts w:ascii="Courier New" w:hAnsi="Courier New" w:cs="Courier New" w:hint="default"/>
      </w:rPr>
    </w:lvl>
    <w:lvl w:ilvl="2" w:tplc="76785B70" w:tentative="1">
      <w:start w:val="1"/>
      <w:numFmt w:val="bullet"/>
      <w:lvlText w:val=""/>
      <w:lvlJc w:val="left"/>
      <w:pPr>
        <w:tabs>
          <w:tab w:val="num" w:pos="3237"/>
        </w:tabs>
        <w:ind w:left="3237" w:hanging="360"/>
      </w:pPr>
      <w:rPr>
        <w:rFonts w:ascii="Wingdings" w:hAnsi="Wingdings" w:hint="default"/>
      </w:rPr>
    </w:lvl>
    <w:lvl w:ilvl="3" w:tplc="73ECAAAC" w:tentative="1">
      <w:start w:val="1"/>
      <w:numFmt w:val="bullet"/>
      <w:lvlText w:val=""/>
      <w:lvlJc w:val="left"/>
      <w:pPr>
        <w:tabs>
          <w:tab w:val="num" w:pos="3957"/>
        </w:tabs>
        <w:ind w:left="3957" w:hanging="360"/>
      </w:pPr>
      <w:rPr>
        <w:rFonts w:ascii="Symbol" w:hAnsi="Symbol" w:hint="default"/>
      </w:rPr>
    </w:lvl>
    <w:lvl w:ilvl="4" w:tplc="F88231F2" w:tentative="1">
      <w:start w:val="1"/>
      <w:numFmt w:val="bullet"/>
      <w:lvlText w:val="o"/>
      <w:lvlJc w:val="left"/>
      <w:pPr>
        <w:tabs>
          <w:tab w:val="num" w:pos="4677"/>
        </w:tabs>
        <w:ind w:left="4677" w:hanging="360"/>
      </w:pPr>
      <w:rPr>
        <w:rFonts w:ascii="Courier New" w:hAnsi="Courier New" w:cs="Courier New" w:hint="default"/>
      </w:rPr>
    </w:lvl>
    <w:lvl w:ilvl="5" w:tplc="6242FCB8" w:tentative="1">
      <w:start w:val="1"/>
      <w:numFmt w:val="bullet"/>
      <w:lvlText w:val=""/>
      <w:lvlJc w:val="left"/>
      <w:pPr>
        <w:tabs>
          <w:tab w:val="num" w:pos="5397"/>
        </w:tabs>
        <w:ind w:left="5397" w:hanging="360"/>
      </w:pPr>
      <w:rPr>
        <w:rFonts w:ascii="Wingdings" w:hAnsi="Wingdings" w:hint="default"/>
      </w:rPr>
    </w:lvl>
    <w:lvl w:ilvl="6" w:tplc="D60E6F4E" w:tentative="1">
      <w:start w:val="1"/>
      <w:numFmt w:val="bullet"/>
      <w:lvlText w:val=""/>
      <w:lvlJc w:val="left"/>
      <w:pPr>
        <w:tabs>
          <w:tab w:val="num" w:pos="6117"/>
        </w:tabs>
        <w:ind w:left="6117" w:hanging="360"/>
      </w:pPr>
      <w:rPr>
        <w:rFonts w:ascii="Symbol" w:hAnsi="Symbol" w:hint="default"/>
      </w:rPr>
    </w:lvl>
    <w:lvl w:ilvl="7" w:tplc="6806473C" w:tentative="1">
      <w:start w:val="1"/>
      <w:numFmt w:val="bullet"/>
      <w:lvlText w:val="o"/>
      <w:lvlJc w:val="left"/>
      <w:pPr>
        <w:tabs>
          <w:tab w:val="num" w:pos="6837"/>
        </w:tabs>
        <w:ind w:left="6837" w:hanging="360"/>
      </w:pPr>
      <w:rPr>
        <w:rFonts w:ascii="Courier New" w:hAnsi="Courier New" w:cs="Courier New" w:hint="default"/>
      </w:rPr>
    </w:lvl>
    <w:lvl w:ilvl="8" w:tplc="60D8A0E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24D6883A">
      <w:start w:val="1"/>
      <w:numFmt w:val="decimal"/>
      <w:pStyle w:val="ATSNumber2"/>
      <w:lvlText w:val="%1."/>
      <w:lvlJc w:val="left"/>
      <w:pPr>
        <w:tabs>
          <w:tab w:val="num" w:pos="720"/>
        </w:tabs>
        <w:ind w:left="720" w:hanging="360"/>
      </w:pPr>
      <w:rPr>
        <w:rFonts w:hint="default"/>
      </w:rPr>
    </w:lvl>
    <w:lvl w:ilvl="1" w:tplc="AC560962" w:tentative="1">
      <w:start w:val="1"/>
      <w:numFmt w:val="lowerLetter"/>
      <w:lvlText w:val="%2."/>
      <w:lvlJc w:val="left"/>
      <w:pPr>
        <w:tabs>
          <w:tab w:val="num" w:pos="1440"/>
        </w:tabs>
        <w:ind w:left="1440" w:hanging="360"/>
      </w:pPr>
    </w:lvl>
    <w:lvl w:ilvl="2" w:tplc="780E23BE" w:tentative="1">
      <w:start w:val="1"/>
      <w:numFmt w:val="lowerRoman"/>
      <w:lvlText w:val="%3."/>
      <w:lvlJc w:val="right"/>
      <w:pPr>
        <w:tabs>
          <w:tab w:val="num" w:pos="2160"/>
        </w:tabs>
        <w:ind w:left="2160" w:hanging="180"/>
      </w:pPr>
    </w:lvl>
    <w:lvl w:ilvl="3" w:tplc="866C3F30" w:tentative="1">
      <w:start w:val="1"/>
      <w:numFmt w:val="decimal"/>
      <w:lvlText w:val="%4."/>
      <w:lvlJc w:val="left"/>
      <w:pPr>
        <w:tabs>
          <w:tab w:val="num" w:pos="2880"/>
        </w:tabs>
        <w:ind w:left="2880" w:hanging="360"/>
      </w:pPr>
    </w:lvl>
    <w:lvl w:ilvl="4" w:tplc="664A8928" w:tentative="1">
      <w:start w:val="1"/>
      <w:numFmt w:val="lowerLetter"/>
      <w:lvlText w:val="%5."/>
      <w:lvlJc w:val="left"/>
      <w:pPr>
        <w:tabs>
          <w:tab w:val="num" w:pos="3600"/>
        </w:tabs>
        <w:ind w:left="3600" w:hanging="360"/>
      </w:pPr>
    </w:lvl>
    <w:lvl w:ilvl="5" w:tplc="26CEFCF6" w:tentative="1">
      <w:start w:val="1"/>
      <w:numFmt w:val="lowerRoman"/>
      <w:lvlText w:val="%6."/>
      <w:lvlJc w:val="right"/>
      <w:pPr>
        <w:tabs>
          <w:tab w:val="num" w:pos="4320"/>
        </w:tabs>
        <w:ind w:left="4320" w:hanging="180"/>
      </w:pPr>
    </w:lvl>
    <w:lvl w:ilvl="6" w:tplc="2B48B672" w:tentative="1">
      <w:start w:val="1"/>
      <w:numFmt w:val="decimal"/>
      <w:lvlText w:val="%7."/>
      <w:lvlJc w:val="left"/>
      <w:pPr>
        <w:tabs>
          <w:tab w:val="num" w:pos="5040"/>
        </w:tabs>
        <w:ind w:left="5040" w:hanging="360"/>
      </w:pPr>
    </w:lvl>
    <w:lvl w:ilvl="7" w:tplc="B0CE520A" w:tentative="1">
      <w:start w:val="1"/>
      <w:numFmt w:val="lowerLetter"/>
      <w:lvlText w:val="%8."/>
      <w:lvlJc w:val="left"/>
      <w:pPr>
        <w:tabs>
          <w:tab w:val="num" w:pos="5760"/>
        </w:tabs>
        <w:ind w:left="5760" w:hanging="360"/>
      </w:pPr>
    </w:lvl>
    <w:lvl w:ilvl="8" w:tplc="A9A0FAB0" w:tentative="1">
      <w:start w:val="1"/>
      <w:numFmt w:val="lowerRoman"/>
      <w:lvlText w:val="%9."/>
      <w:lvlJc w:val="right"/>
      <w:pPr>
        <w:tabs>
          <w:tab w:val="num" w:pos="6480"/>
        </w:tabs>
        <w:ind w:left="6480" w:hanging="180"/>
      </w:pPr>
    </w:lvl>
  </w:abstractNum>
  <w:num w:numId="1" w16cid:durableId="1547064303">
    <w:abstractNumId w:val="9"/>
  </w:num>
  <w:num w:numId="2" w16cid:durableId="1269042726">
    <w:abstractNumId w:val="7"/>
  </w:num>
  <w:num w:numId="3" w16cid:durableId="1311712500">
    <w:abstractNumId w:val="6"/>
  </w:num>
  <w:num w:numId="4" w16cid:durableId="608201989">
    <w:abstractNumId w:val="5"/>
  </w:num>
  <w:num w:numId="5" w16cid:durableId="2113619761">
    <w:abstractNumId w:val="4"/>
  </w:num>
  <w:num w:numId="6" w16cid:durableId="1796564176">
    <w:abstractNumId w:val="8"/>
  </w:num>
  <w:num w:numId="7" w16cid:durableId="1506939905">
    <w:abstractNumId w:val="3"/>
  </w:num>
  <w:num w:numId="8" w16cid:durableId="1767732029">
    <w:abstractNumId w:val="2"/>
  </w:num>
  <w:num w:numId="9" w16cid:durableId="1387871361">
    <w:abstractNumId w:val="1"/>
  </w:num>
  <w:num w:numId="10" w16cid:durableId="1120605479">
    <w:abstractNumId w:val="0"/>
  </w:num>
  <w:num w:numId="11" w16cid:durableId="51999756">
    <w:abstractNumId w:val="11"/>
  </w:num>
  <w:num w:numId="12" w16cid:durableId="657533341">
    <w:abstractNumId w:val="16"/>
  </w:num>
  <w:num w:numId="13" w16cid:durableId="1445920913">
    <w:abstractNumId w:val="15"/>
  </w:num>
  <w:num w:numId="14" w16cid:durableId="464587412">
    <w:abstractNumId w:val="12"/>
  </w:num>
  <w:num w:numId="15" w16cid:durableId="1918977162">
    <w:abstractNumId w:val="14"/>
  </w:num>
  <w:num w:numId="16" w16cid:durableId="531456708">
    <w:abstractNumId w:val="10"/>
  </w:num>
  <w:num w:numId="17" w16cid:durableId="349986366">
    <w:abstractNumId w:val="11"/>
  </w:num>
  <w:num w:numId="18" w16cid:durableId="441342769">
    <w:abstractNumId w:val="16"/>
  </w:num>
  <w:num w:numId="19" w16cid:durableId="537547534">
    <w:abstractNumId w:val="15"/>
  </w:num>
  <w:num w:numId="20" w16cid:durableId="1433817653">
    <w:abstractNumId w:val="17"/>
  </w:num>
  <w:num w:numId="21" w16cid:durableId="17611712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27"/>
    <w:rsid w:val="0076553C"/>
    <w:rsid w:val="00950BF5"/>
    <w:rsid w:val="00B45007"/>
    <w:rsid w:val="00BD45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E75461"/>
  <w15:chartTrackingRefBased/>
  <w15:docId w15:val="{05C9AB0B-70B7-4A1F-845C-0F8FC050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76553C"/>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1403</Words>
  <Characters>8405</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2023-04-14T11:12:00Z</dcterms:modified>
</cp:coreProperties>
</file>