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B968" w14:textId="77777777" w:rsidR="00C26F2D" w:rsidRPr="00BF077B" w:rsidRDefault="00846C33" w:rsidP="00BF077B">
      <w:pPr>
        <w:pStyle w:val="ATSNormal"/>
        <w:rPr>
          <w:rStyle w:val="Ttulodellibro"/>
        </w:rPr>
      </w:pPr>
    </w:p>
    <w:p w14:paraId="6EDC8958" w14:textId="77777777" w:rsidR="002F0A13" w:rsidRDefault="00846C33" w:rsidP="004B4A60">
      <w:pPr>
        <w:rPr>
          <w:b/>
          <w:u w:val="single"/>
          <w:lang w:val="es-ES_tradnl"/>
        </w:rPr>
      </w:pPr>
    </w:p>
    <w:p w14:paraId="1D8DE883" w14:textId="77777777" w:rsidR="002F0A13" w:rsidRDefault="00846C33" w:rsidP="004B4A60">
      <w:pPr>
        <w:rPr>
          <w:b/>
          <w:u w:val="single"/>
          <w:lang w:val="es-ES_tradnl"/>
        </w:rPr>
      </w:pPr>
    </w:p>
    <w:p w14:paraId="681DA0A9" w14:textId="77777777" w:rsidR="002F0A13" w:rsidRDefault="00846C33" w:rsidP="004B4A60">
      <w:pPr>
        <w:rPr>
          <w:b/>
          <w:u w:val="single"/>
          <w:lang w:val="es-ES_tradnl"/>
        </w:rPr>
      </w:pPr>
    </w:p>
    <w:p w14:paraId="53A960A4" w14:textId="77777777" w:rsidR="002F0A13" w:rsidRDefault="00846C33" w:rsidP="004B4A60">
      <w:pPr>
        <w:rPr>
          <w:b/>
          <w:u w:val="single"/>
          <w:lang w:val="es-ES_tradnl"/>
        </w:rPr>
      </w:pPr>
    </w:p>
    <w:p w14:paraId="23ED46FA" w14:textId="77777777" w:rsidR="00C26F2D" w:rsidRDefault="00846C33" w:rsidP="004B4A60">
      <w:pPr>
        <w:rPr>
          <w:b/>
          <w:u w:val="single"/>
          <w:lang w:val="es-ES_tradnl"/>
        </w:rPr>
      </w:pPr>
    </w:p>
    <w:p w14:paraId="60C89EAA" w14:textId="77777777" w:rsidR="004B4A60" w:rsidRPr="0057246E" w:rsidRDefault="00846C33" w:rsidP="001B789F">
      <w:pPr>
        <w:pStyle w:val="ATSTitle"/>
      </w:pPr>
      <w:bookmarkStart w:id="0" w:name="name"/>
      <w:r>
        <w:t>Network of Observation Systems</w:t>
      </w:r>
      <w:bookmarkEnd w:id="0"/>
    </w:p>
    <w:p w14:paraId="0B7BC24B" w14:textId="77777777" w:rsidR="004B4A60" w:rsidRPr="0057246E" w:rsidRDefault="00846C33" w:rsidP="00F75424">
      <w:pPr>
        <w:jc w:val="center"/>
      </w:pPr>
    </w:p>
    <w:p w14:paraId="25D96541" w14:textId="77777777" w:rsidR="004B4A60" w:rsidRPr="002F0A13" w:rsidRDefault="00846C33" w:rsidP="002F0A13"/>
    <w:p w14:paraId="200E3652" w14:textId="77777777" w:rsidR="004B4A60" w:rsidRDefault="00846C33" w:rsidP="00F75424">
      <w:pPr>
        <w:jc w:val="center"/>
      </w:pPr>
      <w:bookmarkStart w:id="1" w:name="memo"/>
      <w:bookmarkEnd w:id="1"/>
    </w:p>
    <w:p w14:paraId="5C46BB1C" w14:textId="77777777" w:rsidR="0097629D" w:rsidRDefault="00846C33" w:rsidP="00F75424">
      <w:pPr>
        <w:jc w:val="center"/>
      </w:pPr>
    </w:p>
    <w:p w14:paraId="2084FA6A" w14:textId="77777777" w:rsidR="0097629D" w:rsidRDefault="00846C33" w:rsidP="00F75424">
      <w:pPr>
        <w:jc w:val="center"/>
      </w:pPr>
    </w:p>
    <w:p w14:paraId="288774CC" w14:textId="77777777" w:rsidR="0097629D" w:rsidRDefault="00846C33" w:rsidP="00F75424">
      <w:pPr>
        <w:jc w:val="center"/>
      </w:pPr>
    </w:p>
    <w:p w14:paraId="6F988A1A" w14:textId="77777777" w:rsidR="0097629D" w:rsidRPr="00C26F2D" w:rsidRDefault="00846C33" w:rsidP="00F75424">
      <w:pPr>
        <w:jc w:val="center"/>
      </w:pPr>
    </w:p>
    <w:p w14:paraId="49F6F909" w14:textId="77777777" w:rsidR="004B4A60" w:rsidRPr="0057246E" w:rsidRDefault="00846C33" w:rsidP="004B4A60"/>
    <w:p w14:paraId="22BCB632" w14:textId="77777777" w:rsidR="00C26F2D" w:rsidRDefault="00846C3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D6D8C76" w14:textId="77777777" w:rsidR="00846C33" w:rsidRDefault="00846C33" w:rsidP="00846C33">
      <w:pPr>
        <w:pStyle w:val="ATSHeading1"/>
        <w:rPr>
          <w:i/>
        </w:rPr>
      </w:pPr>
      <w:r w:rsidRPr="000D30F0">
        <w:lastRenderedPageBreak/>
        <w:t>Network of Observation Systems</w:t>
      </w:r>
    </w:p>
    <w:p w14:paraId="50FB9564" w14:textId="77777777" w:rsidR="00846C33" w:rsidRPr="000D30F0" w:rsidRDefault="00846C33" w:rsidP="00846C33">
      <w:pPr>
        <w:pStyle w:val="ATSHeading2"/>
      </w:pPr>
      <w:r w:rsidRPr="000D30F0">
        <w:t>Summary</w:t>
      </w:r>
    </w:p>
    <w:p w14:paraId="5E9EFF42" w14:textId="77777777" w:rsidR="00846C33" w:rsidRPr="000D30F0" w:rsidRDefault="00846C33" w:rsidP="00846C33">
      <w:pPr>
        <w:pStyle w:val="ATSNormal"/>
        <w:rPr>
          <w:lang w:val="en-US"/>
        </w:rPr>
      </w:pPr>
      <w:r w:rsidRPr="000D30F0">
        <w:rPr>
          <w:lang w:val="en-US"/>
        </w:rPr>
        <w:t>Well-supported long-term monitoring programs of the physical and living environment are essential to understand ongoing environmental changes in Antarctica. The more coordinated and integrated such observing efforts are, the better placed to respond to the challenge.  This paper explores the state of coordinated observing efforts and suggests a need for and actions towards further coordinated, comprehensive and complimentary observation networks.</w:t>
      </w:r>
    </w:p>
    <w:p w14:paraId="42E908D4" w14:textId="77777777" w:rsidR="00846C33" w:rsidRPr="000D30F0" w:rsidRDefault="00846C33" w:rsidP="00846C33">
      <w:pPr>
        <w:pStyle w:val="ATSHeading2"/>
      </w:pPr>
      <w:r w:rsidRPr="000D30F0">
        <w:t>Introduction</w:t>
      </w:r>
    </w:p>
    <w:p w14:paraId="01047D58" w14:textId="77777777" w:rsidR="00846C33" w:rsidRPr="000D30F0" w:rsidRDefault="00846C33" w:rsidP="00846C33">
      <w:pPr>
        <w:pStyle w:val="ATSNormal"/>
        <w:rPr>
          <w:lang w:val="en-US"/>
        </w:rPr>
      </w:pPr>
      <w:r w:rsidRPr="000D30F0">
        <w:rPr>
          <w:lang w:val="en-US"/>
        </w:rPr>
        <w:t xml:space="preserve">SCAR’s Antarctic Climate Change and the Environment (ACCE) decadal update report, submitted and discussed at ATCM XXLIV, notes that the Antarctic Treaty Parties have declared an obligation to implement the mitigation and adaptation actions that will reduce climate change-related and other human impacts on Antarctic marine and terrestrial environments, their ecosystems and biodiversity, and the ecosystem services they deliver. To meet this obligation ACCE highlights inter alia well-supported long-term monitoring programs of the physical and living environment as essential element to meet this obligation. </w:t>
      </w:r>
    </w:p>
    <w:p w14:paraId="244941A8" w14:textId="77777777" w:rsidR="00846C33" w:rsidRPr="000D30F0" w:rsidRDefault="00846C33" w:rsidP="00846C33">
      <w:pPr>
        <w:pStyle w:val="ATSNormal"/>
        <w:rPr>
          <w:lang w:val="en-US"/>
        </w:rPr>
      </w:pPr>
      <w:r w:rsidRPr="000D30F0">
        <w:rPr>
          <w:lang w:val="en-US"/>
        </w:rPr>
        <w:t xml:space="preserve">The more coordinated and integrated observing efforts are, the more complete spatial distribution of observations and the more cost-efficient it will be. This again will strengthen the Antarctic Treaty Parties’ and Antarctic National Programs’ joint ability to in a timely manner contribute to closing key knowledge gaps </w:t>
      </w:r>
      <w:proofErr w:type="gramStart"/>
      <w:r w:rsidRPr="000D30F0">
        <w:rPr>
          <w:lang w:val="en-US"/>
        </w:rPr>
        <w:t>in order to</w:t>
      </w:r>
      <w:proofErr w:type="gramEnd"/>
      <w:r w:rsidRPr="000D30F0">
        <w:rPr>
          <w:lang w:val="en-US"/>
        </w:rPr>
        <w:t xml:space="preserve"> understand large-scale Antarctic changes and their effects on the global system.  </w:t>
      </w:r>
    </w:p>
    <w:p w14:paraId="2C4437A1" w14:textId="77777777" w:rsidR="00846C33" w:rsidRPr="000D30F0" w:rsidRDefault="00846C33" w:rsidP="00846C33">
      <w:pPr>
        <w:pStyle w:val="ATSHeading2"/>
      </w:pPr>
      <w:r w:rsidRPr="000D30F0">
        <w:t xml:space="preserve">Observations and observation systems in Antarctica </w:t>
      </w:r>
    </w:p>
    <w:p w14:paraId="5016E8C7" w14:textId="77777777" w:rsidR="00846C33" w:rsidRPr="000D30F0" w:rsidRDefault="00846C33" w:rsidP="00846C33">
      <w:pPr>
        <w:pStyle w:val="ATSNormal"/>
        <w:rPr>
          <w:lang w:val="en-US"/>
        </w:rPr>
      </w:pPr>
      <w:r w:rsidRPr="000D30F0">
        <w:rPr>
          <w:lang w:val="en-US"/>
        </w:rPr>
        <w:t xml:space="preserve">Antarctica and the Southern Ocean is obviously not void of observations, observation systems or observation networks. </w:t>
      </w:r>
    </w:p>
    <w:p w14:paraId="19ECEEDA" w14:textId="77777777" w:rsidR="00846C33" w:rsidRPr="000D30F0" w:rsidRDefault="00846C33" w:rsidP="00846C33">
      <w:pPr>
        <w:pStyle w:val="ATSNormal"/>
        <w:rPr>
          <w:lang w:val="en-US"/>
        </w:rPr>
      </w:pPr>
      <w:r w:rsidRPr="000D30F0">
        <w:rPr>
          <w:lang w:val="en-US"/>
        </w:rPr>
        <w:t>Most of the research stations in Antarctica have ongoing observational efforts in one or more realms. A simplified overview of these capabilities can be found in the COMNAP Antarctic Station Catalogue (2017) which in addition to station details provides information about the observational capacities at the stations.</w:t>
      </w:r>
    </w:p>
    <w:p w14:paraId="3193E72E" w14:textId="77777777" w:rsidR="00846C33" w:rsidRPr="000D30F0" w:rsidRDefault="00846C33" w:rsidP="00846C33">
      <w:pPr>
        <w:pStyle w:val="ATSNormal"/>
        <w:rPr>
          <w:lang w:val="en-US"/>
        </w:rPr>
      </w:pPr>
      <w:r w:rsidRPr="000D30F0">
        <w:rPr>
          <w:lang w:val="en-US"/>
        </w:rPr>
        <w:t>There are also many stations and national programs that have designed holistic observational networks as a fundament for the research efforts in the region.  The Troll Observing Network (</w:t>
      </w:r>
      <w:proofErr w:type="spellStart"/>
      <w:r w:rsidRPr="000D30F0">
        <w:rPr>
          <w:lang w:val="en-US"/>
        </w:rPr>
        <w:t>TONe</w:t>
      </w:r>
      <w:proofErr w:type="spellEnd"/>
      <w:r w:rsidRPr="000D30F0">
        <w:rPr>
          <w:lang w:val="en-US"/>
        </w:rPr>
        <w:t xml:space="preserve">) is one such example (see further information below). </w:t>
      </w:r>
    </w:p>
    <w:p w14:paraId="12189C37" w14:textId="77777777" w:rsidR="00846C33" w:rsidRPr="000D30F0" w:rsidRDefault="00846C33" w:rsidP="00846C33">
      <w:pPr>
        <w:pStyle w:val="ATSNormal"/>
        <w:rPr>
          <w:lang w:val="en-US"/>
        </w:rPr>
      </w:pPr>
      <w:r w:rsidRPr="000D30F0">
        <w:rPr>
          <w:lang w:val="en-US"/>
        </w:rPr>
        <w:t xml:space="preserve">System of networks exist for some observations. An obvious example of this is weather observations through the Antarctic AWS network, which has successfully been used for a wide range of science activities as well as for weather forecasting. </w:t>
      </w:r>
    </w:p>
    <w:p w14:paraId="552DAEEA" w14:textId="77777777" w:rsidR="00846C33" w:rsidRPr="000D30F0" w:rsidRDefault="00846C33" w:rsidP="00846C33">
      <w:pPr>
        <w:pStyle w:val="ATSNormal"/>
        <w:rPr>
          <w:lang w:val="en-US"/>
        </w:rPr>
      </w:pPr>
      <w:r w:rsidRPr="000D30F0">
        <w:rPr>
          <w:lang w:val="en-US"/>
        </w:rPr>
        <w:t xml:space="preserve">There are also </w:t>
      </w:r>
      <w:proofErr w:type="gramStart"/>
      <w:r w:rsidRPr="000D30F0">
        <w:rPr>
          <w:lang w:val="en-US"/>
        </w:rPr>
        <w:t>a number of</w:t>
      </w:r>
      <w:proofErr w:type="gramEnd"/>
      <w:r w:rsidRPr="000D30F0">
        <w:rPr>
          <w:lang w:val="en-US"/>
        </w:rPr>
        <w:t xml:space="preserve"> efforts and initiatives aiming to coordinate and facilitate observation efforts that are comprehensive, compatible and coordinated, many of these within SCAR, and often thematically oriented within scientific disciplines. For example, ANTPAS aims to develop an internationally coordinated monitoring system on Antarctic permafrost and soils. ANTOS which aims to establish biologically focused, integrated and coordinated Antarctic-wide observation is another example.</w:t>
      </w:r>
    </w:p>
    <w:p w14:paraId="549C250B" w14:textId="77777777" w:rsidR="00846C33" w:rsidRPr="000D30F0" w:rsidRDefault="00846C33" w:rsidP="00846C33">
      <w:pPr>
        <w:pStyle w:val="ATSNormal"/>
        <w:rPr>
          <w:lang w:val="en-US"/>
        </w:rPr>
      </w:pPr>
      <w:r w:rsidRPr="000D30F0">
        <w:rPr>
          <w:lang w:val="en-US"/>
        </w:rPr>
        <w:t xml:space="preserve">The Southern Ocean Observing System (SOOS) is one of few examples of an ongoing comprehensive coordinated effort. SOOS is a coordinating body to enhance and ensure the delivery of Southern Ocean data across nations, organizations, </w:t>
      </w:r>
      <w:proofErr w:type="gramStart"/>
      <w:r w:rsidRPr="000D30F0">
        <w:rPr>
          <w:lang w:val="en-US"/>
        </w:rPr>
        <w:t>programs</w:t>
      </w:r>
      <w:proofErr w:type="gramEnd"/>
      <w:r w:rsidRPr="000D30F0">
        <w:rPr>
          <w:lang w:val="en-US"/>
        </w:rPr>
        <w:t xml:space="preserve"> and stakeholders, and to provide the infrastructure for organization of community networks to develop sustained observing systems and syntheses of existing Southern Ocean datasets. See more at soos.aq. </w:t>
      </w:r>
    </w:p>
    <w:p w14:paraId="0545EF44" w14:textId="77777777" w:rsidR="00846C33" w:rsidRPr="000D30F0" w:rsidRDefault="00846C33" w:rsidP="00846C33">
      <w:pPr>
        <w:pStyle w:val="ATSNormal"/>
        <w:rPr>
          <w:lang w:val="en-US"/>
        </w:rPr>
      </w:pPr>
      <w:r w:rsidRPr="000D30F0">
        <w:rPr>
          <w:lang w:val="en-US"/>
        </w:rPr>
        <w:lastRenderedPageBreak/>
        <w:t xml:space="preserve">Despite all these initiatives and efforts, there still seem to be gaps and challenges to be overcome to allow for an efficient and systematic observation data gathering effort in Antarctica. </w:t>
      </w:r>
    </w:p>
    <w:p w14:paraId="6E6FF331" w14:textId="77777777" w:rsidR="00846C33" w:rsidRPr="000D30F0" w:rsidRDefault="00846C33" w:rsidP="00846C33">
      <w:pPr>
        <w:pStyle w:val="ATSHeading2"/>
      </w:pPr>
      <w:r w:rsidRPr="000D30F0">
        <w:t>Observations during the 2018 Norwegian inspection</w:t>
      </w:r>
    </w:p>
    <w:p w14:paraId="57D18B85" w14:textId="77777777" w:rsidR="00846C33" w:rsidRPr="000D30F0" w:rsidRDefault="00846C33" w:rsidP="00846C33">
      <w:pPr>
        <w:pStyle w:val="ATSNormal"/>
        <w:rPr>
          <w:lang w:val="en-US"/>
        </w:rPr>
      </w:pPr>
      <w:r w:rsidRPr="000D30F0">
        <w:rPr>
          <w:lang w:val="en-US"/>
        </w:rPr>
        <w:t xml:space="preserve">The 2018 Norwegian inspection (ref. ATCM XXLI WP 26) in </w:t>
      </w:r>
      <w:proofErr w:type="spellStart"/>
      <w:r w:rsidRPr="000D30F0">
        <w:rPr>
          <w:lang w:val="en-US"/>
        </w:rPr>
        <w:t>Dronning</w:t>
      </w:r>
      <w:proofErr w:type="spellEnd"/>
      <w:r w:rsidRPr="000D30F0">
        <w:rPr>
          <w:lang w:val="en-US"/>
        </w:rPr>
        <w:t xml:space="preserve"> Maud Land noted in its concluding reflections that at the well-established year-round research stations emphasis is given to ensure the longevity of fundamental and important time series feeding into global observation systems. The inspection team furthermore observed that there seems to be a </w:t>
      </w:r>
      <w:proofErr w:type="gramStart"/>
      <w:r w:rsidRPr="000D30F0">
        <w:rPr>
          <w:lang w:val="en-US"/>
        </w:rPr>
        <w:t>fairly large</w:t>
      </w:r>
      <w:proofErr w:type="gramEnd"/>
      <w:r w:rsidRPr="000D30F0">
        <w:rPr>
          <w:lang w:val="en-US"/>
        </w:rPr>
        <w:t xml:space="preserve"> degree of comparable observations ongoing at the various research stations, while at the same time it was not always clear if these individual observations were fed into (as part of an) a systematically coordinated effort. This may also raise questions with respect to optimal spatial distribution, comparability and/or complementarity of observations, the input and use in global observation systems and processes, etc.  On this basis the inspection team recommended that there could be merit in getting an overview and assessment of Antarctic observation efforts </w:t>
      </w:r>
      <w:proofErr w:type="gramStart"/>
      <w:r w:rsidRPr="000D30F0">
        <w:rPr>
          <w:lang w:val="en-US"/>
        </w:rPr>
        <w:t>in order to</w:t>
      </w:r>
      <w:proofErr w:type="gramEnd"/>
      <w:r w:rsidRPr="000D30F0">
        <w:rPr>
          <w:lang w:val="en-US"/>
        </w:rPr>
        <w:t xml:space="preserve"> enhance their use and robustness, as well as identifying gaps in observation needs.</w:t>
      </w:r>
    </w:p>
    <w:p w14:paraId="1CE25CBD" w14:textId="77777777" w:rsidR="00846C33" w:rsidRPr="000D30F0" w:rsidRDefault="00846C33" w:rsidP="00846C33">
      <w:pPr>
        <w:pStyle w:val="ATSNormal"/>
        <w:rPr>
          <w:lang w:val="en-US"/>
        </w:rPr>
      </w:pPr>
      <w:r w:rsidRPr="000D30F0">
        <w:rPr>
          <w:lang w:val="en-US"/>
        </w:rPr>
        <w:t xml:space="preserve">Furthermore, the 2018 inspection noted that there are many innovative and exciting technological approaches developed </w:t>
      </w:r>
      <w:proofErr w:type="gramStart"/>
      <w:r w:rsidRPr="000D30F0">
        <w:rPr>
          <w:lang w:val="en-US"/>
        </w:rPr>
        <w:t>with regard to</w:t>
      </w:r>
      <w:proofErr w:type="gramEnd"/>
      <w:r w:rsidRPr="000D30F0">
        <w:rPr>
          <w:lang w:val="en-US"/>
        </w:rPr>
        <w:t xml:space="preserve"> observation and data collection both in the physical and biological scientific field. Many of these technical solutions seem to have universal applicability and usability. However, while knowledge across stations seem limited, and there thus is a potential for more exchange of information also on technological solutions for research and observation efforts in Antarctica.</w:t>
      </w:r>
    </w:p>
    <w:p w14:paraId="001613CC" w14:textId="77777777" w:rsidR="00846C33" w:rsidRPr="000D30F0" w:rsidRDefault="00846C33" w:rsidP="00846C33">
      <w:pPr>
        <w:pStyle w:val="ATSHeading2"/>
      </w:pPr>
      <w:r w:rsidRPr="000D30F0">
        <w:t>Troll Observing Network – a node in a pan-Antarctic observation network?</w:t>
      </w:r>
    </w:p>
    <w:p w14:paraId="6A0219C7" w14:textId="77777777" w:rsidR="00846C33" w:rsidRPr="000D30F0" w:rsidRDefault="00846C33" w:rsidP="00846C33">
      <w:pPr>
        <w:pStyle w:val="ATSNormal"/>
        <w:rPr>
          <w:lang w:val="en-US"/>
        </w:rPr>
      </w:pPr>
      <w:r w:rsidRPr="000D30F0">
        <w:rPr>
          <w:lang w:val="en-US"/>
        </w:rPr>
        <w:t>Troll Observing Network (</w:t>
      </w:r>
      <w:proofErr w:type="spellStart"/>
      <w:r w:rsidRPr="000D30F0">
        <w:rPr>
          <w:lang w:val="en-US"/>
        </w:rPr>
        <w:t>TONe</w:t>
      </w:r>
      <w:proofErr w:type="spellEnd"/>
      <w:r w:rsidRPr="000D30F0">
        <w:rPr>
          <w:lang w:val="en-US"/>
        </w:rPr>
        <w:t xml:space="preserve">) is a comprehensive infrastructure which aims to contribute significantly to observation and data gathering efforts, </w:t>
      </w:r>
      <w:proofErr w:type="spellStart"/>
      <w:r w:rsidRPr="000D30F0">
        <w:rPr>
          <w:lang w:val="en-US"/>
        </w:rPr>
        <w:t>centred</w:t>
      </w:r>
      <w:proofErr w:type="spellEnd"/>
      <w:r w:rsidRPr="000D30F0">
        <w:rPr>
          <w:lang w:val="en-US"/>
        </w:rPr>
        <w:t xml:space="preserve"> at the Norwegian Antarctic research station Troll. By utilizing </w:t>
      </w:r>
      <w:proofErr w:type="spellStart"/>
      <w:r w:rsidRPr="000D30F0">
        <w:rPr>
          <w:lang w:val="en-US"/>
        </w:rPr>
        <w:t>TONe</w:t>
      </w:r>
      <w:proofErr w:type="spellEnd"/>
      <w:r w:rsidRPr="000D30F0">
        <w:rPr>
          <w:lang w:val="en-US"/>
        </w:rPr>
        <w:t xml:space="preserve"> infrastructure and observations the research community will </w:t>
      </w:r>
      <w:proofErr w:type="spellStart"/>
      <w:r w:rsidRPr="000D30F0">
        <w:rPr>
          <w:lang w:val="en-US"/>
        </w:rPr>
        <w:t>will</w:t>
      </w:r>
      <w:proofErr w:type="spellEnd"/>
      <w:r w:rsidRPr="000D30F0">
        <w:rPr>
          <w:lang w:val="en-US"/>
        </w:rPr>
        <w:t xml:space="preserve"> be able to answer questions and generate knowledge related to climate and sea-level change, atmosphere dynamics, solid Earth structure, cryosphere dynamics, space weather effects, robustness of communication networks, quality of weather and climate models, and the effects of global changes on marine ecosystems. The data collected through the eight </w:t>
      </w:r>
      <w:proofErr w:type="spellStart"/>
      <w:r w:rsidRPr="000D30F0">
        <w:rPr>
          <w:lang w:val="en-US"/>
        </w:rPr>
        <w:t>TONe</w:t>
      </w:r>
      <w:proofErr w:type="spellEnd"/>
      <w:r w:rsidRPr="000D30F0">
        <w:rPr>
          <w:lang w:val="en-US"/>
        </w:rPr>
        <w:t xml:space="preserve"> observatories are in themselves part of the </w:t>
      </w:r>
      <w:proofErr w:type="spellStart"/>
      <w:r w:rsidRPr="000D30F0">
        <w:rPr>
          <w:lang w:val="en-US"/>
        </w:rPr>
        <w:t>TONe</w:t>
      </w:r>
      <w:proofErr w:type="spellEnd"/>
      <w:r w:rsidRPr="000D30F0">
        <w:rPr>
          <w:lang w:val="en-US"/>
        </w:rPr>
        <w:t xml:space="preserve"> research infrastructure and will be openly available to the entire science community in line with Article III of the Antarctic Treaty For further information about </w:t>
      </w:r>
      <w:proofErr w:type="spellStart"/>
      <w:r w:rsidRPr="000D30F0">
        <w:rPr>
          <w:lang w:val="en-US"/>
        </w:rPr>
        <w:t>TONe</w:t>
      </w:r>
      <w:proofErr w:type="spellEnd"/>
      <w:r w:rsidRPr="000D30F0">
        <w:rPr>
          <w:lang w:val="en-US"/>
        </w:rPr>
        <w:t>, refer to XXLIV IP 73 XXLIV and www.npolar.no/en/tone.</w:t>
      </w:r>
    </w:p>
    <w:p w14:paraId="6DA3C8A0" w14:textId="77777777" w:rsidR="00846C33" w:rsidRPr="000D30F0" w:rsidRDefault="00846C33" w:rsidP="00846C33">
      <w:pPr>
        <w:pStyle w:val="ATSNormal"/>
        <w:rPr>
          <w:lang w:val="en-US"/>
        </w:rPr>
      </w:pPr>
      <w:r w:rsidRPr="000D30F0">
        <w:rPr>
          <w:lang w:val="en-US"/>
        </w:rPr>
        <w:t xml:space="preserve">In establishing </w:t>
      </w:r>
      <w:proofErr w:type="spellStart"/>
      <w:r w:rsidRPr="000D30F0">
        <w:rPr>
          <w:lang w:val="en-US"/>
        </w:rPr>
        <w:t>TONe</w:t>
      </w:r>
      <w:proofErr w:type="spellEnd"/>
      <w:r w:rsidRPr="000D30F0">
        <w:rPr>
          <w:lang w:val="en-US"/>
        </w:rPr>
        <w:t xml:space="preserve">, care was taken to consider how the observatories sit in the context of other international observation initiatives, envisioning the </w:t>
      </w:r>
      <w:proofErr w:type="spellStart"/>
      <w:r w:rsidRPr="000D30F0">
        <w:rPr>
          <w:lang w:val="en-US"/>
        </w:rPr>
        <w:t>TONe</w:t>
      </w:r>
      <w:proofErr w:type="spellEnd"/>
      <w:r w:rsidRPr="000D30F0">
        <w:rPr>
          <w:lang w:val="en-US"/>
        </w:rPr>
        <w:t xml:space="preserve"> observation network simply as one module in a pan-Antarctic observation network in the future. </w:t>
      </w:r>
    </w:p>
    <w:p w14:paraId="3F5487BA" w14:textId="77777777" w:rsidR="00846C33" w:rsidRPr="000D30F0" w:rsidRDefault="00846C33" w:rsidP="00846C33">
      <w:pPr>
        <w:pStyle w:val="ATSNormal"/>
        <w:rPr>
          <w:lang w:val="en-US"/>
        </w:rPr>
      </w:pPr>
      <w:r w:rsidRPr="000D30F0">
        <w:rPr>
          <w:lang w:val="en-US"/>
        </w:rPr>
        <w:t xml:space="preserve">Troll research station has a unique location; no other permanent station is located further inland in </w:t>
      </w:r>
      <w:proofErr w:type="spellStart"/>
      <w:r w:rsidRPr="000D30F0">
        <w:rPr>
          <w:lang w:val="en-US"/>
        </w:rPr>
        <w:t>Dronning</w:t>
      </w:r>
      <w:proofErr w:type="spellEnd"/>
      <w:r w:rsidRPr="000D30F0">
        <w:rPr>
          <w:lang w:val="en-US"/>
        </w:rPr>
        <w:t xml:space="preserve"> Maud Land (DML), or anywhere else on the slope of East Antarctica. As such </w:t>
      </w:r>
      <w:proofErr w:type="spellStart"/>
      <w:r w:rsidRPr="000D30F0">
        <w:rPr>
          <w:lang w:val="en-US"/>
        </w:rPr>
        <w:t>TONe</w:t>
      </w:r>
      <w:proofErr w:type="spellEnd"/>
      <w:r w:rsidRPr="000D30F0">
        <w:rPr>
          <w:lang w:val="en-US"/>
        </w:rPr>
        <w:t xml:space="preserve"> fills </w:t>
      </w:r>
      <w:proofErr w:type="gramStart"/>
      <w:r w:rsidRPr="000D30F0">
        <w:rPr>
          <w:lang w:val="en-US"/>
        </w:rPr>
        <w:t>a</w:t>
      </w:r>
      <w:proofErr w:type="gramEnd"/>
      <w:r w:rsidRPr="000D30F0">
        <w:rPr>
          <w:lang w:val="en-US"/>
        </w:rPr>
        <w:t xml:space="preserve"> observational void in this region. Its location on the slope provides unique atmospheric observations, and the seismic array at Troll is the only one in Antarctica located on the bedrock. </w:t>
      </w:r>
    </w:p>
    <w:p w14:paraId="28E7D01A" w14:textId="77777777" w:rsidR="00846C33" w:rsidRDefault="00846C33" w:rsidP="00846C33">
      <w:pPr>
        <w:pStyle w:val="ATSNormal"/>
        <w:rPr>
          <w:lang w:val="en-US"/>
        </w:rPr>
      </w:pPr>
      <w:r w:rsidRPr="000D30F0">
        <w:rPr>
          <w:lang w:val="en-US"/>
        </w:rPr>
        <w:t xml:space="preserve">There are currently some 70 permanent research stations scattered across Antarctica. In DML there are six all-year stations mostly on or near the coast. The COMNAP Antarctic Station Catalogue served a good basis when designing </w:t>
      </w:r>
      <w:proofErr w:type="spellStart"/>
      <w:r w:rsidRPr="000D30F0">
        <w:rPr>
          <w:lang w:val="en-US"/>
        </w:rPr>
        <w:t>TONe</w:t>
      </w:r>
      <w:proofErr w:type="spellEnd"/>
      <w:r w:rsidRPr="000D30F0">
        <w:rPr>
          <w:lang w:val="en-US"/>
        </w:rPr>
        <w:t xml:space="preserve">, and the </w:t>
      </w:r>
      <w:proofErr w:type="spellStart"/>
      <w:r w:rsidRPr="000D30F0">
        <w:rPr>
          <w:lang w:val="en-US"/>
        </w:rPr>
        <w:t>TONe</w:t>
      </w:r>
      <w:proofErr w:type="spellEnd"/>
      <w:r w:rsidRPr="000D30F0">
        <w:rPr>
          <w:lang w:val="en-US"/>
        </w:rPr>
        <w:t xml:space="preserve"> partners strived to ensure complementarity and comparability with the </w:t>
      </w:r>
      <w:proofErr w:type="spellStart"/>
      <w:r w:rsidRPr="000D30F0">
        <w:rPr>
          <w:lang w:val="en-US"/>
        </w:rPr>
        <w:t>programmes</w:t>
      </w:r>
      <w:proofErr w:type="spellEnd"/>
      <w:r w:rsidRPr="000D30F0">
        <w:rPr>
          <w:lang w:val="en-US"/>
        </w:rPr>
        <w:t xml:space="preserve"> at the stations having similar observatories.</w:t>
      </w:r>
    </w:p>
    <w:p w14:paraId="60272DA4" w14:textId="02285296" w:rsidR="00846C33" w:rsidRDefault="00846C33" w:rsidP="00846C33">
      <w:pPr>
        <w:pStyle w:val="ATSNormal"/>
        <w:rPr>
          <w:lang w:val="en-US"/>
        </w:rPr>
      </w:pPr>
    </w:p>
    <w:p w14:paraId="5FF50754" w14:textId="77777777" w:rsidR="00846C33" w:rsidRDefault="00846C33" w:rsidP="00846C33">
      <w:pPr>
        <w:pStyle w:val="ATSNormal"/>
        <w:rPr>
          <w:lang w:val="en-US"/>
        </w:rPr>
      </w:pPr>
    </w:p>
    <w:tbl>
      <w:tblPr>
        <w:tblW w:w="9175" w:type="dxa"/>
        <w:tblLook w:val="04A0" w:firstRow="1" w:lastRow="0" w:firstColumn="1" w:lastColumn="0" w:noHBand="0" w:noVBand="1"/>
      </w:tblPr>
      <w:tblGrid>
        <w:gridCol w:w="3114"/>
        <w:gridCol w:w="6061"/>
      </w:tblGrid>
      <w:tr w:rsidR="00846C33" w:rsidRPr="007E431A" w14:paraId="693524FB" w14:textId="77777777" w:rsidTr="00A617BF">
        <w:trPr>
          <w:trHeight w:val="255"/>
        </w:trPr>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5A0ECF42" w14:textId="77777777" w:rsidR="00846C33" w:rsidRPr="007E431A" w:rsidRDefault="00846C33" w:rsidP="00A617BF">
            <w:pPr>
              <w:rPr>
                <w:rFonts w:cstheme="minorHAnsi"/>
                <w:b/>
                <w:bCs/>
                <w:color w:val="000000"/>
                <w:sz w:val="20"/>
                <w:szCs w:val="20"/>
                <w:lang w:val="en-US"/>
              </w:rPr>
            </w:pPr>
            <w:proofErr w:type="spellStart"/>
            <w:r w:rsidRPr="007E431A">
              <w:rPr>
                <w:rFonts w:cstheme="minorHAnsi"/>
                <w:b/>
                <w:bCs/>
                <w:color w:val="000000"/>
                <w:sz w:val="20"/>
                <w:szCs w:val="20"/>
                <w:lang w:val="en-US"/>
              </w:rPr>
              <w:lastRenderedPageBreak/>
              <w:t>TONe</w:t>
            </w:r>
            <w:proofErr w:type="spellEnd"/>
            <w:r w:rsidRPr="007E431A">
              <w:rPr>
                <w:rFonts w:cstheme="minorHAnsi"/>
                <w:b/>
                <w:bCs/>
                <w:color w:val="000000"/>
                <w:sz w:val="20"/>
                <w:szCs w:val="20"/>
                <w:lang w:val="en-US"/>
              </w:rPr>
              <w:t xml:space="preserve"> infrastructure description</w:t>
            </w:r>
          </w:p>
        </w:tc>
        <w:tc>
          <w:tcPr>
            <w:tcW w:w="6061" w:type="dxa"/>
            <w:tcBorders>
              <w:top w:val="single" w:sz="4" w:space="0" w:color="auto"/>
              <w:left w:val="nil"/>
              <w:bottom w:val="single" w:sz="4" w:space="0" w:color="auto"/>
              <w:right w:val="single" w:sz="4" w:space="0" w:color="auto"/>
            </w:tcBorders>
            <w:shd w:val="clear" w:color="auto" w:fill="auto"/>
            <w:hideMark/>
          </w:tcPr>
          <w:p w14:paraId="0531F949" w14:textId="77777777" w:rsidR="00846C33" w:rsidRPr="007E431A" w:rsidRDefault="00846C33" w:rsidP="00A617BF">
            <w:pPr>
              <w:rPr>
                <w:rFonts w:cstheme="minorHAnsi"/>
                <w:b/>
                <w:bCs/>
                <w:color w:val="000000"/>
                <w:sz w:val="20"/>
                <w:szCs w:val="20"/>
                <w:lang w:val="en-US"/>
              </w:rPr>
            </w:pPr>
            <w:r w:rsidRPr="007E431A">
              <w:rPr>
                <w:rFonts w:cstheme="minorHAnsi"/>
                <w:b/>
                <w:bCs/>
                <w:color w:val="000000"/>
                <w:sz w:val="20"/>
                <w:szCs w:val="20"/>
                <w:lang w:val="en-US"/>
              </w:rPr>
              <w:t>Landscape of similar observational capacities</w:t>
            </w:r>
          </w:p>
        </w:tc>
      </w:tr>
      <w:tr w:rsidR="00846C33" w:rsidRPr="007E431A" w14:paraId="7D9D1105" w14:textId="77777777" w:rsidTr="00A617BF">
        <w:trPr>
          <w:trHeight w:val="531"/>
        </w:trPr>
        <w:tc>
          <w:tcPr>
            <w:tcW w:w="3114" w:type="dxa"/>
            <w:tcBorders>
              <w:top w:val="nil"/>
              <w:left w:val="single" w:sz="4" w:space="0" w:color="auto"/>
              <w:bottom w:val="single" w:sz="4" w:space="0" w:color="auto"/>
              <w:right w:val="single" w:sz="4" w:space="0" w:color="auto"/>
            </w:tcBorders>
            <w:shd w:val="clear" w:color="auto" w:fill="auto"/>
            <w:hideMark/>
          </w:tcPr>
          <w:p w14:paraId="36D8AB9E" w14:textId="77777777" w:rsidR="00846C33" w:rsidRPr="007E431A" w:rsidRDefault="00846C33" w:rsidP="00A617BF">
            <w:pPr>
              <w:rPr>
                <w:color w:val="000000"/>
                <w:sz w:val="20"/>
                <w:szCs w:val="20"/>
                <w:lang w:val="en-US"/>
              </w:rPr>
            </w:pPr>
            <w:r w:rsidRPr="007E431A">
              <w:rPr>
                <w:color w:val="000000" w:themeColor="text1"/>
                <w:sz w:val="20"/>
                <w:szCs w:val="20"/>
                <w:lang w:val="en-US"/>
              </w:rPr>
              <w:t xml:space="preserve">Integrated Cloud Observatory (ICO). </w:t>
            </w:r>
          </w:p>
        </w:tc>
        <w:tc>
          <w:tcPr>
            <w:tcW w:w="6061" w:type="dxa"/>
            <w:tcBorders>
              <w:top w:val="nil"/>
              <w:left w:val="nil"/>
              <w:bottom w:val="single" w:sz="4" w:space="0" w:color="auto"/>
              <w:right w:val="single" w:sz="4" w:space="0" w:color="auto"/>
            </w:tcBorders>
            <w:shd w:val="clear" w:color="auto" w:fill="auto"/>
            <w:hideMark/>
          </w:tcPr>
          <w:p w14:paraId="313C9E99" w14:textId="77777777" w:rsidR="00846C33" w:rsidRPr="007E431A" w:rsidRDefault="00846C33" w:rsidP="00A617BF">
            <w:pPr>
              <w:rPr>
                <w:color w:val="000000"/>
                <w:sz w:val="20"/>
                <w:szCs w:val="20"/>
                <w:lang w:val="en-US"/>
              </w:rPr>
            </w:pPr>
            <w:r w:rsidRPr="007E431A">
              <w:rPr>
                <w:color w:val="000000" w:themeColor="text1"/>
                <w:sz w:val="20"/>
                <w:szCs w:val="20"/>
                <w:lang w:val="en-US"/>
              </w:rPr>
              <w:t>Some relevant measurements at Princess Elisabeth/</w:t>
            </w:r>
            <w:proofErr w:type="spellStart"/>
            <w:r w:rsidRPr="007E431A">
              <w:rPr>
                <w:color w:val="000000" w:themeColor="text1"/>
                <w:sz w:val="20"/>
                <w:szCs w:val="20"/>
                <w:lang w:val="en-US"/>
              </w:rPr>
              <w:t>Neumayer</w:t>
            </w:r>
            <w:proofErr w:type="spellEnd"/>
            <w:r w:rsidRPr="007E431A">
              <w:rPr>
                <w:color w:val="000000" w:themeColor="text1"/>
                <w:sz w:val="20"/>
                <w:szCs w:val="20"/>
                <w:lang w:val="en-US"/>
              </w:rPr>
              <w:t>; Same suite at several Arctic sites</w:t>
            </w:r>
          </w:p>
        </w:tc>
      </w:tr>
      <w:tr w:rsidR="00846C33" w:rsidRPr="007E431A" w14:paraId="33C7A1BC" w14:textId="77777777" w:rsidTr="00A617BF">
        <w:trPr>
          <w:trHeight w:val="567"/>
        </w:trPr>
        <w:tc>
          <w:tcPr>
            <w:tcW w:w="3114" w:type="dxa"/>
            <w:tcBorders>
              <w:top w:val="nil"/>
              <w:left w:val="single" w:sz="4" w:space="0" w:color="auto"/>
              <w:bottom w:val="single" w:sz="4" w:space="0" w:color="auto"/>
              <w:right w:val="single" w:sz="4" w:space="0" w:color="auto"/>
            </w:tcBorders>
            <w:shd w:val="clear" w:color="auto" w:fill="auto"/>
            <w:hideMark/>
          </w:tcPr>
          <w:p w14:paraId="0DA2EAED" w14:textId="77777777" w:rsidR="00846C33" w:rsidRPr="007E431A" w:rsidRDefault="00846C33" w:rsidP="00A617BF">
            <w:pPr>
              <w:rPr>
                <w:color w:val="000000"/>
                <w:sz w:val="20"/>
                <w:szCs w:val="20"/>
                <w:lang w:val="en-US"/>
              </w:rPr>
            </w:pPr>
            <w:r w:rsidRPr="007E431A">
              <w:rPr>
                <w:color w:val="000000" w:themeColor="text1"/>
                <w:sz w:val="20"/>
                <w:szCs w:val="20"/>
                <w:lang w:val="en-US"/>
              </w:rPr>
              <w:t>Atmosphere Composition Observatory (ACO)</w:t>
            </w:r>
          </w:p>
        </w:tc>
        <w:tc>
          <w:tcPr>
            <w:tcW w:w="6061" w:type="dxa"/>
            <w:tcBorders>
              <w:top w:val="nil"/>
              <w:left w:val="nil"/>
              <w:bottom w:val="single" w:sz="4" w:space="0" w:color="auto"/>
              <w:right w:val="single" w:sz="4" w:space="0" w:color="auto"/>
            </w:tcBorders>
            <w:shd w:val="clear" w:color="auto" w:fill="auto"/>
            <w:hideMark/>
          </w:tcPr>
          <w:p w14:paraId="3E1B2E2F" w14:textId="77777777" w:rsidR="00846C33" w:rsidRPr="007E431A" w:rsidRDefault="00846C33" w:rsidP="00A617BF">
            <w:pPr>
              <w:rPr>
                <w:color w:val="000000"/>
                <w:sz w:val="20"/>
                <w:szCs w:val="20"/>
                <w:lang w:val="en-US"/>
              </w:rPr>
            </w:pPr>
            <w:proofErr w:type="spellStart"/>
            <w:r w:rsidRPr="007E431A">
              <w:rPr>
                <w:color w:val="000000" w:themeColor="text1"/>
                <w:sz w:val="20"/>
                <w:szCs w:val="20"/>
                <w:lang w:val="en-US"/>
              </w:rPr>
              <w:t>Neumayer</w:t>
            </w:r>
            <w:proofErr w:type="spellEnd"/>
            <w:r w:rsidRPr="007E431A">
              <w:rPr>
                <w:color w:val="000000" w:themeColor="text1"/>
                <w:sz w:val="20"/>
                <w:szCs w:val="20"/>
                <w:lang w:val="en-US"/>
              </w:rPr>
              <w:t xml:space="preserve">, Amundsen-Scott South Pole, McMurdo, Syowa </w:t>
            </w:r>
          </w:p>
        </w:tc>
      </w:tr>
      <w:tr w:rsidR="00846C33" w:rsidRPr="007E431A" w14:paraId="1D1894A0" w14:textId="77777777" w:rsidTr="00A617BF">
        <w:trPr>
          <w:trHeight w:val="262"/>
        </w:trPr>
        <w:tc>
          <w:tcPr>
            <w:tcW w:w="3114" w:type="dxa"/>
            <w:tcBorders>
              <w:top w:val="nil"/>
              <w:left w:val="single" w:sz="4" w:space="0" w:color="auto"/>
              <w:bottom w:val="single" w:sz="4" w:space="0" w:color="auto"/>
              <w:right w:val="single" w:sz="4" w:space="0" w:color="auto"/>
            </w:tcBorders>
            <w:shd w:val="clear" w:color="auto" w:fill="auto"/>
            <w:hideMark/>
          </w:tcPr>
          <w:p w14:paraId="0C9468EA" w14:textId="77777777" w:rsidR="00846C33" w:rsidRPr="007E431A" w:rsidRDefault="00846C33" w:rsidP="00A617BF">
            <w:pPr>
              <w:rPr>
                <w:color w:val="000000"/>
                <w:sz w:val="20"/>
                <w:szCs w:val="20"/>
                <w:lang w:val="en-US"/>
              </w:rPr>
            </w:pPr>
            <w:r w:rsidRPr="007E431A">
              <w:rPr>
                <w:color w:val="000000" w:themeColor="text1"/>
                <w:sz w:val="20"/>
                <w:szCs w:val="20"/>
                <w:lang w:val="en-US"/>
              </w:rPr>
              <w:t>Infrasound Array (IA)</w:t>
            </w:r>
            <w:r w:rsidRPr="007E431A">
              <w:rPr>
                <w:sz w:val="20"/>
                <w:szCs w:val="20"/>
              </w:rPr>
              <w:br/>
            </w:r>
          </w:p>
        </w:tc>
        <w:tc>
          <w:tcPr>
            <w:tcW w:w="6061" w:type="dxa"/>
            <w:tcBorders>
              <w:top w:val="nil"/>
              <w:left w:val="nil"/>
              <w:bottom w:val="single" w:sz="4" w:space="0" w:color="auto"/>
              <w:right w:val="single" w:sz="4" w:space="0" w:color="auto"/>
            </w:tcBorders>
            <w:shd w:val="clear" w:color="auto" w:fill="auto"/>
            <w:hideMark/>
          </w:tcPr>
          <w:p w14:paraId="348994A7" w14:textId="77777777" w:rsidR="00846C33" w:rsidRPr="007E431A" w:rsidRDefault="00846C33" w:rsidP="00A617BF">
            <w:pPr>
              <w:rPr>
                <w:color w:val="000000"/>
                <w:sz w:val="20"/>
                <w:szCs w:val="20"/>
                <w:lang w:val="en-US"/>
              </w:rPr>
            </w:pPr>
            <w:r w:rsidRPr="007E431A">
              <w:rPr>
                <w:color w:val="000000" w:themeColor="text1"/>
                <w:sz w:val="20"/>
                <w:szCs w:val="20"/>
                <w:lang w:val="en-US"/>
              </w:rPr>
              <w:t xml:space="preserve">All other at the coast: </w:t>
            </w:r>
            <w:proofErr w:type="spellStart"/>
            <w:r w:rsidRPr="007E431A">
              <w:rPr>
                <w:color w:val="000000" w:themeColor="text1"/>
                <w:sz w:val="20"/>
                <w:szCs w:val="20"/>
                <w:lang w:val="en-US"/>
              </w:rPr>
              <w:t>Neumayer</w:t>
            </w:r>
            <w:proofErr w:type="spellEnd"/>
            <w:r w:rsidRPr="007E431A">
              <w:rPr>
                <w:color w:val="000000" w:themeColor="text1"/>
                <w:sz w:val="20"/>
                <w:szCs w:val="20"/>
                <w:lang w:val="en-US"/>
              </w:rPr>
              <w:t xml:space="preserve">, </w:t>
            </w:r>
            <w:proofErr w:type="spellStart"/>
            <w:r w:rsidRPr="007E431A">
              <w:rPr>
                <w:color w:val="000000" w:themeColor="text1"/>
                <w:sz w:val="20"/>
                <w:szCs w:val="20"/>
                <w:lang w:val="en-US"/>
              </w:rPr>
              <w:t>Siple</w:t>
            </w:r>
            <w:proofErr w:type="spellEnd"/>
            <w:r w:rsidRPr="007E431A">
              <w:rPr>
                <w:color w:val="000000" w:themeColor="text1"/>
                <w:sz w:val="20"/>
                <w:szCs w:val="20"/>
                <w:lang w:val="en-US"/>
              </w:rPr>
              <w:t xml:space="preserve">, Windless Bright </w:t>
            </w:r>
          </w:p>
        </w:tc>
      </w:tr>
      <w:tr w:rsidR="00846C33" w:rsidRPr="00493C74" w14:paraId="1C219728" w14:textId="77777777" w:rsidTr="00A617BF">
        <w:trPr>
          <w:trHeight w:val="515"/>
        </w:trPr>
        <w:tc>
          <w:tcPr>
            <w:tcW w:w="3114" w:type="dxa"/>
            <w:tcBorders>
              <w:top w:val="nil"/>
              <w:left w:val="single" w:sz="4" w:space="0" w:color="auto"/>
              <w:bottom w:val="single" w:sz="4" w:space="0" w:color="auto"/>
              <w:right w:val="single" w:sz="4" w:space="0" w:color="auto"/>
            </w:tcBorders>
            <w:shd w:val="clear" w:color="auto" w:fill="auto"/>
            <w:hideMark/>
          </w:tcPr>
          <w:p w14:paraId="530A7C51" w14:textId="77777777" w:rsidR="00846C33" w:rsidRPr="007E431A" w:rsidRDefault="00846C33" w:rsidP="00A617BF">
            <w:pPr>
              <w:rPr>
                <w:color w:val="000000"/>
                <w:sz w:val="20"/>
                <w:szCs w:val="20"/>
                <w:lang w:val="en-US"/>
              </w:rPr>
            </w:pPr>
            <w:r w:rsidRPr="007E431A">
              <w:rPr>
                <w:color w:val="000000" w:themeColor="text1"/>
                <w:sz w:val="20"/>
                <w:szCs w:val="20"/>
                <w:lang w:val="en-US"/>
              </w:rPr>
              <w:t>Ionosphere Observatory (IO)</w:t>
            </w:r>
            <w:r w:rsidRPr="007E431A">
              <w:rPr>
                <w:sz w:val="20"/>
                <w:szCs w:val="20"/>
                <w:lang w:val="en-US"/>
              </w:rPr>
              <w:br/>
            </w:r>
          </w:p>
        </w:tc>
        <w:tc>
          <w:tcPr>
            <w:tcW w:w="6061" w:type="dxa"/>
            <w:tcBorders>
              <w:top w:val="nil"/>
              <w:left w:val="nil"/>
              <w:bottom w:val="single" w:sz="4" w:space="0" w:color="auto"/>
              <w:right w:val="single" w:sz="4" w:space="0" w:color="auto"/>
            </w:tcBorders>
            <w:shd w:val="clear" w:color="auto" w:fill="auto"/>
            <w:hideMark/>
          </w:tcPr>
          <w:p w14:paraId="5450001F" w14:textId="77777777" w:rsidR="00846C33" w:rsidRPr="000D30F0" w:rsidRDefault="00846C33" w:rsidP="00A617BF">
            <w:pPr>
              <w:rPr>
                <w:color w:val="000000"/>
                <w:sz w:val="20"/>
                <w:szCs w:val="20"/>
                <w:lang w:val="nb-NO"/>
              </w:rPr>
            </w:pPr>
            <w:r w:rsidRPr="000D30F0">
              <w:rPr>
                <w:color w:val="000000" w:themeColor="text1"/>
                <w:sz w:val="20"/>
                <w:szCs w:val="20"/>
                <w:lang w:val="nb-NO"/>
              </w:rPr>
              <w:t>Maitri, Syowa, SANAE-IV, Halley, Zhongshan</w:t>
            </w:r>
          </w:p>
        </w:tc>
      </w:tr>
      <w:tr w:rsidR="00846C33" w:rsidRPr="007E431A" w14:paraId="2B3F9833" w14:textId="77777777" w:rsidTr="00A617BF">
        <w:trPr>
          <w:trHeight w:val="374"/>
        </w:trPr>
        <w:tc>
          <w:tcPr>
            <w:tcW w:w="3114" w:type="dxa"/>
            <w:tcBorders>
              <w:top w:val="nil"/>
              <w:left w:val="single" w:sz="4" w:space="0" w:color="auto"/>
              <w:bottom w:val="single" w:sz="4" w:space="0" w:color="auto"/>
              <w:right w:val="single" w:sz="4" w:space="0" w:color="auto"/>
            </w:tcBorders>
            <w:shd w:val="clear" w:color="auto" w:fill="auto"/>
            <w:hideMark/>
          </w:tcPr>
          <w:p w14:paraId="4FB0909A" w14:textId="77777777" w:rsidR="00846C33" w:rsidRPr="007E431A" w:rsidRDefault="00846C33" w:rsidP="00A617BF">
            <w:pPr>
              <w:rPr>
                <w:color w:val="000000"/>
                <w:sz w:val="20"/>
                <w:szCs w:val="20"/>
                <w:lang w:val="en-US"/>
              </w:rPr>
            </w:pPr>
            <w:r w:rsidRPr="007E431A">
              <w:rPr>
                <w:color w:val="000000" w:themeColor="text1"/>
                <w:sz w:val="20"/>
                <w:szCs w:val="20"/>
                <w:lang w:val="en-US"/>
              </w:rPr>
              <w:t>Seismic Array (SA)</w:t>
            </w:r>
            <w:r w:rsidRPr="007E431A">
              <w:rPr>
                <w:sz w:val="20"/>
                <w:szCs w:val="20"/>
              </w:rPr>
              <w:br/>
            </w:r>
          </w:p>
        </w:tc>
        <w:tc>
          <w:tcPr>
            <w:tcW w:w="6061" w:type="dxa"/>
            <w:tcBorders>
              <w:top w:val="nil"/>
              <w:left w:val="nil"/>
              <w:bottom w:val="single" w:sz="4" w:space="0" w:color="auto"/>
              <w:right w:val="single" w:sz="4" w:space="0" w:color="auto"/>
            </w:tcBorders>
            <w:shd w:val="clear" w:color="auto" w:fill="auto"/>
            <w:hideMark/>
          </w:tcPr>
          <w:p w14:paraId="43A85131" w14:textId="77777777" w:rsidR="00846C33" w:rsidRPr="007E431A" w:rsidRDefault="00846C33" w:rsidP="00A617BF">
            <w:pPr>
              <w:rPr>
                <w:color w:val="000000"/>
                <w:sz w:val="20"/>
                <w:szCs w:val="20"/>
                <w:lang w:val="en-US"/>
              </w:rPr>
            </w:pPr>
            <w:r w:rsidRPr="007E431A">
              <w:rPr>
                <w:color w:val="000000" w:themeColor="text1"/>
                <w:sz w:val="20"/>
                <w:szCs w:val="20"/>
                <w:lang w:val="en-US"/>
              </w:rPr>
              <w:t xml:space="preserve">No other SA on bedrock. </w:t>
            </w:r>
            <w:proofErr w:type="spellStart"/>
            <w:r w:rsidRPr="007E431A">
              <w:rPr>
                <w:color w:val="000000" w:themeColor="text1"/>
                <w:sz w:val="20"/>
                <w:szCs w:val="20"/>
                <w:lang w:val="en-US"/>
              </w:rPr>
              <w:t>Neumayer</w:t>
            </w:r>
            <w:proofErr w:type="spellEnd"/>
            <w:r w:rsidRPr="007E431A">
              <w:rPr>
                <w:color w:val="000000" w:themeColor="text1"/>
                <w:sz w:val="20"/>
                <w:szCs w:val="20"/>
                <w:lang w:val="en-US"/>
              </w:rPr>
              <w:t>, South Pole, Concordia on ice</w:t>
            </w:r>
          </w:p>
        </w:tc>
      </w:tr>
      <w:tr w:rsidR="00846C33" w:rsidRPr="00A752CD" w14:paraId="37E4835E" w14:textId="77777777" w:rsidTr="00A617BF">
        <w:trPr>
          <w:trHeight w:val="544"/>
        </w:trPr>
        <w:tc>
          <w:tcPr>
            <w:tcW w:w="3114" w:type="dxa"/>
            <w:tcBorders>
              <w:top w:val="nil"/>
              <w:left w:val="single" w:sz="4" w:space="0" w:color="auto"/>
              <w:bottom w:val="single" w:sz="4" w:space="0" w:color="auto"/>
              <w:right w:val="single" w:sz="4" w:space="0" w:color="auto"/>
            </w:tcBorders>
            <w:shd w:val="clear" w:color="auto" w:fill="auto"/>
            <w:hideMark/>
          </w:tcPr>
          <w:p w14:paraId="41BE965F" w14:textId="77777777" w:rsidR="00846C33" w:rsidRPr="007E431A" w:rsidRDefault="00846C33" w:rsidP="00A617BF">
            <w:pPr>
              <w:rPr>
                <w:color w:val="000000"/>
                <w:sz w:val="20"/>
                <w:szCs w:val="20"/>
                <w:lang w:val="en-US"/>
              </w:rPr>
            </w:pPr>
            <w:proofErr w:type="spellStart"/>
            <w:r w:rsidRPr="007E431A">
              <w:rPr>
                <w:color w:val="000000" w:themeColor="text1"/>
                <w:sz w:val="20"/>
                <w:szCs w:val="20"/>
                <w:lang w:val="en-US"/>
              </w:rPr>
              <w:t>Fimbulisen</w:t>
            </w:r>
            <w:proofErr w:type="spellEnd"/>
            <w:r w:rsidRPr="007E431A">
              <w:rPr>
                <w:color w:val="000000" w:themeColor="text1"/>
                <w:sz w:val="20"/>
                <w:szCs w:val="20"/>
                <w:lang w:val="en-US"/>
              </w:rPr>
              <w:t xml:space="preserve"> Ice-shelf Observatory (FIO)</w:t>
            </w:r>
            <w:r w:rsidRPr="007E431A">
              <w:rPr>
                <w:sz w:val="20"/>
                <w:szCs w:val="20"/>
                <w:lang w:val="en-US"/>
              </w:rPr>
              <w:br/>
            </w:r>
          </w:p>
        </w:tc>
        <w:tc>
          <w:tcPr>
            <w:tcW w:w="6061" w:type="dxa"/>
            <w:tcBorders>
              <w:top w:val="nil"/>
              <w:left w:val="nil"/>
              <w:bottom w:val="single" w:sz="4" w:space="0" w:color="auto"/>
              <w:right w:val="single" w:sz="4" w:space="0" w:color="auto"/>
            </w:tcBorders>
            <w:shd w:val="clear" w:color="auto" w:fill="auto"/>
            <w:hideMark/>
          </w:tcPr>
          <w:p w14:paraId="479B9D0B" w14:textId="77777777" w:rsidR="00846C33" w:rsidRPr="007E431A" w:rsidRDefault="00846C33" w:rsidP="00A617BF">
            <w:pPr>
              <w:rPr>
                <w:color w:val="000000"/>
                <w:sz w:val="20"/>
                <w:szCs w:val="20"/>
              </w:rPr>
            </w:pPr>
            <w:r w:rsidRPr="007E431A">
              <w:rPr>
                <w:color w:val="000000" w:themeColor="text1"/>
                <w:sz w:val="20"/>
                <w:szCs w:val="20"/>
              </w:rPr>
              <w:t xml:space="preserve">Filchner Ronne, Amery, Ross ice shelves, Thwaites, </w:t>
            </w:r>
            <w:proofErr w:type="spellStart"/>
            <w:r w:rsidRPr="007E431A">
              <w:rPr>
                <w:color w:val="000000" w:themeColor="text1"/>
                <w:sz w:val="20"/>
                <w:szCs w:val="20"/>
              </w:rPr>
              <w:t>Langhovde</w:t>
            </w:r>
            <w:proofErr w:type="spellEnd"/>
            <w:r w:rsidRPr="007E431A">
              <w:rPr>
                <w:color w:val="000000" w:themeColor="text1"/>
                <w:sz w:val="20"/>
                <w:szCs w:val="20"/>
              </w:rPr>
              <w:t xml:space="preserve"> Glacier, </w:t>
            </w:r>
            <w:proofErr w:type="spellStart"/>
            <w:r w:rsidRPr="007E431A">
              <w:rPr>
                <w:color w:val="000000" w:themeColor="text1"/>
                <w:sz w:val="20"/>
                <w:szCs w:val="20"/>
              </w:rPr>
              <w:t>Gerorg</w:t>
            </w:r>
            <w:proofErr w:type="spellEnd"/>
            <w:r w:rsidRPr="007E431A">
              <w:rPr>
                <w:color w:val="000000" w:themeColor="text1"/>
                <w:sz w:val="20"/>
                <w:szCs w:val="20"/>
              </w:rPr>
              <w:t xml:space="preserve"> VI &amp; Larsen</w:t>
            </w:r>
          </w:p>
        </w:tc>
      </w:tr>
      <w:tr w:rsidR="00846C33" w:rsidRPr="007E431A" w14:paraId="582A38FA" w14:textId="77777777" w:rsidTr="00A617BF">
        <w:trPr>
          <w:trHeight w:val="699"/>
        </w:trPr>
        <w:tc>
          <w:tcPr>
            <w:tcW w:w="3114" w:type="dxa"/>
            <w:tcBorders>
              <w:top w:val="nil"/>
              <w:left w:val="single" w:sz="4" w:space="0" w:color="auto"/>
              <w:bottom w:val="single" w:sz="4" w:space="0" w:color="auto"/>
              <w:right w:val="single" w:sz="4" w:space="0" w:color="auto"/>
            </w:tcBorders>
            <w:shd w:val="clear" w:color="auto" w:fill="auto"/>
            <w:hideMark/>
          </w:tcPr>
          <w:p w14:paraId="549074DB" w14:textId="77777777" w:rsidR="00846C33" w:rsidRPr="007E431A" w:rsidRDefault="00846C33" w:rsidP="00A617BF">
            <w:pPr>
              <w:rPr>
                <w:color w:val="000000"/>
                <w:sz w:val="20"/>
                <w:szCs w:val="20"/>
                <w:lang w:val="en-US"/>
              </w:rPr>
            </w:pPr>
            <w:r w:rsidRPr="007E431A">
              <w:rPr>
                <w:color w:val="000000" w:themeColor="text1"/>
                <w:sz w:val="20"/>
                <w:szCs w:val="20"/>
                <w:lang w:val="en-US"/>
              </w:rPr>
              <w:t>Multidisciplinary Ocean Moored Observatory (MOMO)</w:t>
            </w:r>
            <w:r w:rsidRPr="007E431A">
              <w:rPr>
                <w:sz w:val="20"/>
                <w:szCs w:val="20"/>
                <w:lang w:val="en-US"/>
              </w:rPr>
              <w:br/>
            </w:r>
          </w:p>
        </w:tc>
        <w:tc>
          <w:tcPr>
            <w:tcW w:w="6061" w:type="dxa"/>
            <w:tcBorders>
              <w:top w:val="nil"/>
              <w:left w:val="nil"/>
              <w:bottom w:val="single" w:sz="4" w:space="0" w:color="auto"/>
              <w:right w:val="single" w:sz="4" w:space="0" w:color="auto"/>
            </w:tcBorders>
            <w:shd w:val="clear" w:color="auto" w:fill="auto"/>
            <w:hideMark/>
          </w:tcPr>
          <w:p w14:paraId="44DFC8E1" w14:textId="77777777" w:rsidR="00846C33" w:rsidRPr="007E431A" w:rsidRDefault="00846C33" w:rsidP="00A617BF">
            <w:pPr>
              <w:rPr>
                <w:rFonts w:cstheme="minorHAnsi"/>
                <w:color w:val="000000"/>
                <w:sz w:val="20"/>
                <w:szCs w:val="20"/>
                <w:lang w:val="en-US"/>
              </w:rPr>
            </w:pPr>
            <w:r w:rsidRPr="007E431A">
              <w:rPr>
                <w:rFonts w:cstheme="minorHAnsi"/>
                <w:color w:val="000000"/>
                <w:sz w:val="20"/>
                <w:szCs w:val="20"/>
              </w:rPr>
              <w:t xml:space="preserve">30E (NIPR), 17W (AWI, UEA), Maud Rise, S. Weddell &amp; </w:t>
            </w:r>
            <w:proofErr w:type="spellStart"/>
            <w:r w:rsidRPr="007E431A">
              <w:rPr>
                <w:rFonts w:cstheme="minorHAnsi"/>
                <w:color w:val="000000"/>
                <w:sz w:val="20"/>
                <w:szCs w:val="20"/>
              </w:rPr>
              <w:t>Penninsula</w:t>
            </w:r>
            <w:proofErr w:type="spellEnd"/>
            <w:r w:rsidRPr="007E431A">
              <w:rPr>
                <w:rFonts w:cstheme="minorHAnsi"/>
                <w:color w:val="000000"/>
                <w:sz w:val="20"/>
                <w:szCs w:val="20"/>
              </w:rPr>
              <w:t xml:space="preserve"> (</w:t>
            </w:r>
            <w:proofErr w:type="spellStart"/>
            <w:r w:rsidRPr="007E431A">
              <w:rPr>
                <w:rFonts w:cstheme="minorHAnsi"/>
                <w:color w:val="000000"/>
                <w:sz w:val="20"/>
                <w:szCs w:val="20"/>
              </w:rPr>
              <w:t>UiB</w:t>
            </w:r>
            <w:proofErr w:type="spellEnd"/>
            <w:r w:rsidRPr="007E431A">
              <w:rPr>
                <w:rFonts w:cstheme="minorHAnsi"/>
                <w:color w:val="000000"/>
                <w:sz w:val="20"/>
                <w:szCs w:val="20"/>
              </w:rPr>
              <w:t>, NORCE, BAS, AWI, L'OCEAN, AWI, SU)</w:t>
            </w:r>
          </w:p>
        </w:tc>
      </w:tr>
      <w:tr w:rsidR="00846C33" w:rsidRPr="007E431A" w14:paraId="3F712193" w14:textId="77777777" w:rsidTr="00A617BF">
        <w:trPr>
          <w:trHeight w:val="425"/>
        </w:trPr>
        <w:tc>
          <w:tcPr>
            <w:tcW w:w="3114" w:type="dxa"/>
            <w:tcBorders>
              <w:top w:val="nil"/>
              <w:left w:val="single" w:sz="4" w:space="0" w:color="auto"/>
              <w:bottom w:val="single" w:sz="4" w:space="0" w:color="auto"/>
              <w:right w:val="single" w:sz="4" w:space="0" w:color="auto"/>
            </w:tcBorders>
            <w:shd w:val="clear" w:color="auto" w:fill="auto"/>
            <w:hideMark/>
          </w:tcPr>
          <w:p w14:paraId="66D8B578" w14:textId="77777777" w:rsidR="00846C33" w:rsidRPr="007E431A" w:rsidRDefault="00846C33" w:rsidP="00A617BF">
            <w:pPr>
              <w:rPr>
                <w:color w:val="000000" w:themeColor="text1"/>
                <w:sz w:val="20"/>
                <w:szCs w:val="20"/>
                <w:lang w:val="en-US"/>
              </w:rPr>
            </w:pPr>
            <w:r w:rsidRPr="007E431A">
              <w:rPr>
                <w:color w:val="000000" w:themeColor="text1"/>
                <w:sz w:val="20"/>
                <w:szCs w:val="20"/>
                <w:lang w:val="en-US"/>
              </w:rPr>
              <w:t>Seabird Monitoring Observatory (SMO)</w:t>
            </w:r>
          </w:p>
          <w:p w14:paraId="22B6B6F4" w14:textId="77777777" w:rsidR="00846C33" w:rsidRPr="007E431A" w:rsidRDefault="00846C33" w:rsidP="00A617BF">
            <w:pPr>
              <w:rPr>
                <w:color w:val="000000"/>
                <w:sz w:val="20"/>
                <w:szCs w:val="20"/>
                <w:lang w:val="en-US"/>
              </w:rPr>
            </w:pPr>
          </w:p>
        </w:tc>
        <w:tc>
          <w:tcPr>
            <w:tcW w:w="6061" w:type="dxa"/>
            <w:tcBorders>
              <w:top w:val="nil"/>
              <w:left w:val="nil"/>
              <w:bottom w:val="single" w:sz="4" w:space="0" w:color="auto"/>
              <w:right w:val="single" w:sz="4" w:space="0" w:color="auto"/>
            </w:tcBorders>
            <w:shd w:val="clear" w:color="auto" w:fill="auto"/>
            <w:hideMark/>
          </w:tcPr>
          <w:p w14:paraId="569579DE" w14:textId="77777777" w:rsidR="00846C33" w:rsidRPr="007E431A" w:rsidRDefault="00846C33" w:rsidP="00A617BF">
            <w:pPr>
              <w:rPr>
                <w:color w:val="000000"/>
                <w:sz w:val="20"/>
                <w:szCs w:val="20"/>
                <w:lang w:val="en-US"/>
              </w:rPr>
            </w:pPr>
            <w:r w:rsidRPr="007E431A">
              <w:rPr>
                <w:color w:val="000000" w:themeColor="text1"/>
                <w:sz w:val="20"/>
                <w:szCs w:val="20"/>
                <w:lang w:val="en-US"/>
              </w:rPr>
              <w:t>Atka Bay (AWI), Adelie Land, Antarctic Peninsula, Ross Sea</w:t>
            </w:r>
          </w:p>
        </w:tc>
      </w:tr>
    </w:tbl>
    <w:p w14:paraId="7221DBC4" w14:textId="77777777" w:rsidR="00846C33" w:rsidRDefault="00846C33" w:rsidP="00846C33">
      <w:pPr>
        <w:pStyle w:val="ATSNormal"/>
        <w:rPr>
          <w:lang w:val="en-US"/>
        </w:rPr>
      </w:pPr>
    </w:p>
    <w:p w14:paraId="17F8E677" w14:textId="77777777" w:rsidR="00846C33" w:rsidRPr="000D30F0" w:rsidRDefault="00846C33" w:rsidP="00846C33">
      <w:pPr>
        <w:pStyle w:val="ATSHeading2"/>
      </w:pPr>
      <w:r w:rsidRPr="000D30F0">
        <w:t>Conclusions and recommendations</w:t>
      </w:r>
    </w:p>
    <w:p w14:paraId="42AE2B3D" w14:textId="77777777" w:rsidR="00846C33" w:rsidRPr="000D30F0" w:rsidRDefault="00846C33" w:rsidP="00846C33">
      <w:pPr>
        <w:pStyle w:val="ATSNormal"/>
        <w:rPr>
          <w:lang w:val="en-US"/>
        </w:rPr>
      </w:pPr>
      <w:r w:rsidRPr="000D30F0">
        <w:rPr>
          <w:lang w:val="en-US"/>
        </w:rPr>
        <w:t>The urgency in closing knowledge gaps (and therefore observation gaps) is ever increasing while the cost of Antarctic research is increasing at the same time. In this context it will be ever more important for Antarctic Treaty Parties and Antarctic National Programs that their investments in Antarctic observation systems gives the best possible value for the investments. A clear understanding of where the gaps are and how they should be filled would facilitate good investments. To enable well-founded investments, it is suggested that:</w:t>
      </w:r>
    </w:p>
    <w:p w14:paraId="2EBD8BFE" w14:textId="77777777" w:rsidR="00846C33" w:rsidRPr="000D30F0" w:rsidRDefault="00846C33" w:rsidP="00846C33">
      <w:pPr>
        <w:pStyle w:val="ATSNormal"/>
        <w:numPr>
          <w:ilvl w:val="0"/>
          <w:numId w:val="21"/>
        </w:numPr>
        <w:rPr>
          <w:lang w:val="en-US"/>
        </w:rPr>
      </w:pPr>
      <w:r w:rsidRPr="000D30F0">
        <w:rPr>
          <w:lang w:val="en-US"/>
        </w:rPr>
        <w:t xml:space="preserve">ATCM should invite SCAR to give Parties an overview and assessment of Antarctic long-term observation efforts </w:t>
      </w:r>
      <w:proofErr w:type="gramStart"/>
      <w:r w:rsidRPr="000D30F0">
        <w:rPr>
          <w:lang w:val="en-US"/>
        </w:rPr>
        <w:t>in order to</w:t>
      </w:r>
      <w:proofErr w:type="gramEnd"/>
      <w:r w:rsidRPr="000D30F0">
        <w:rPr>
          <w:lang w:val="en-US"/>
        </w:rPr>
        <w:t xml:space="preserve"> enhance their use and robustness, as well as identifying gaps in observation needs.</w:t>
      </w:r>
    </w:p>
    <w:p w14:paraId="38B05808" w14:textId="77777777" w:rsidR="00846C33" w:rsidRPr="008671C5" w:rsidRDefault="00846C33" w:rsidP="00846C33">
      <w:pPr>
        <w:pStyle w:val="ATSNormal"/>
        <w:numPr>
          <w:ilvl w:val="0"/>
          <w:numId w:val="21"/>
        </w:numPr>
        <w:rPr>
          <w:lang w:val="en-US"/>
        </w:rPr>
      </w:pPr>
      <w:r w:rsidRPr="000D30F0">
        <w:rPr>
          <w:lang w:val="en-US"/>
        </w:rPr>
        <w:t>ATCM should consider mechanisms for and encourage further exchange of information on technological solutions for observation efforts in Antarctica, and in this manner strengthen the long-term capacity for a pan-Antarctic observation effort.</w:t>
      </w:r>
    </w:p>
    <w:p w14:paraId="602DECB1" w14:textId="77777777" w:rsidR="00846C33" w:rsidRDefault="00846C33" w:rsidP="00846C33">
      <w:pPr>
        <w:jc w:val="center"/>
        <w:rPr>
          <w:b/>
          <w:bCs/>
        </w:rPr>
      </w:pPr>
    </w:p>
    <w:p w14:paraId="5CDE2E92" w14:textId="77777777" w:rsidR="00846C33" w:rsidRDefault="00846C33" w:rsidP="00846C33">
      <w:pPr>
        <w:jc w:val="center"/>
        <w:rPr>
          <w:b/>
          <w:bCs/>
        </w:rPr>
      </w:pPr>
    </w:p>
    <w:p w14:paraId="76F70451" w14:textId="77777777" w:rsidR="00846C33" w:rsidRDefault="00846C33" w:rsidP="00952E9F"/>
    <w:sectPr w:rsidR="00846C33"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F502A" w14:textId="77777777" w:rsidR="00000000" w:rsidRDefault="00846C33">
      <w:r>
        <w:separator/>
      </w:r>
    </w:p>
  </w:endnote>
  <w:endnote w:type="continuationSeparator" w:id="0">
    <w:p w14:paraId="0B09B3CF" w14:textId="77777777" w:rsidR="00000000" w:rsidRDefault="0084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977F" w14:textId="77777777" w:rsidR="00FA0B9F" w:rsidRDefault="00846C33" w:rsidP="00CF5C82">
    <w:pPr>
      <w:framePr w:wrap="around" w:vAnchor="text" w:hAnchor="margin" w:xAlign="right" w:y="1"/>
    </w:pPr>
    <w:r>
      <w:fldChar w:fldCharType="begin"/>
    </w:r>
    <w:r>
      <w:instrText xml:space="preserve">PAGE  </w:instrText>
    </w:r>
    <w:r>
      <w:fldChar w:fldCharType="separate"/>
    </w:r>
    <w:r>
      <w:fldChar w:fldCharType="end"/>
    </w:r>
  </w:p>
  <w:p w14:paraId="3DA4B1A0" w14:textId="77777777" w:rsidR="00FA0B9F" w:rsidRDefault="00846C3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D4C3" w14:textId="77777777" w:rsidR="00FA0B9F" w:rsidRDefault="00846C3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46E35DA" w14:textId="37F1BECE" w:rsidR="00FA0B9F" w:rsidRDefault="00846C33" w:rsidP="00846C3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815D" w14:textId="77777777" w:rsidR="00E311C9" w:rsidRDefault="00846C3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6FD8235" w14:textId="77777777" w:rsidR="00E311C9" w:rsidRDefault="00846C3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AFA4D" w14:textId="77777777" w:rsidR="00000000" w:rsidRDefault="00846C33">
      <w:r>
        <w:separator/>
      </w:r>
    </w:p>
  </w:footnote>
  <w:footnote w:type="continuationSeparator" w:id="0">
    <w:p w14:paraId="739AFAED" w14:textId="77777777" w:rsidR="00000000" w:rsidRDefault="00846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C2A49" w14:paraId="4E2F3A4E" w14:textId="77777777" w:rsidTr="002E12EC">
      <w:trPr>
        <w:trHeight w:val="344"/>
        <w:jc w:val="center"/>
      </w:trPr>
      <w:tc>
        <w:tcPr>
          <w:tcW w:w="5495" w:type="dxa"/>
        </w:tcPr>
        <w:p w14:paraId="2737A956" w14:textId="77777777" w:rsidR="00DB7C09" w:rsidRDefault="00846C33" w:rsidP="00F968D4"/>
      </w:tc>
      <w:tc>
        <w:tcPr>
          <w:tcW w:w="4253" w:type="dxa"/>
          <w:gridSpan w:val="2"/>
        </w:tcPr>
        <w:p w14:paraId="1D6811AD" w14:textId="77777777" w:rsidR="00DB7C09" w:rsidRPr="00BD47E4" w:rsidRDefault="00846C33" w:rsidP="002A07BC">
          <w:pPr>
            <w:jc w:val="right"/>
            <w:rPr>
              <w:b/>
              <w:sz w:val="32"/>
              <w:szCs w:val="32"/>
            </w:rPr>
          </w:pPr>
          <w:bookmarkStart w:id="2" w:name="type"/>
          <w:r w:rsidRPr="00BD47E4">
            <w:rPr>
              <w:b/>
              <w:sz w:val="32"/>
              <w:szCs w:val="32"/>
            </w:rPr>
            <w:t>WP</w:t>
          </w:r>
          <w:bookmarkEnd w:id="2"/>
        </w:p>
      </w:tc>
      <w:tc>
        <w:tcPr>
          <w:tcW w:w="1524" w:type="dxa"/>
          <w:gridSpan w:val="2"/>
        </w:tcPr>
        <w:p w14:paraId="3C7ACDA0" w14:textId="77777777" w:rsidR="00DB7C09" w:rsidRPr="00BD47E4" w:rsidRDefault="00846C33" w:rsidP="00DB7C09">
          <w:pPr>
            <w:rPr>
              <w:b/>
              <w:sz w:val="32"/>
              <w:szCs w:val="32"/>
            </w:rPr>
          </w:pPr>
          <w:bookmarkStart w:id="3" w:name="number"/>
          <w:r w:rsidRPr="00BD47E4">
            <w:rPr>
              <w:b/>
              <w:sz w:val="32"/>
              <w:szCs w:val="32"/>
            </w:rPr>
            <w:t>31</w:t>
          </w:r>
          <w:bookmarkEnd w:id="3"/>
        </w:p>
      </w:tc>
    </w:tr>
    <w:tr w:rsidR="00DC2A49" w14:paraId="1F95B1F0" w14:textId="77777777" w:rsidTr="002E12EC">
      <w:trPr>
        <w:trHeight w:val="2165"/>
        <w:jc w:val="center"/>
      </w:trPr>
      <w:tc>
        <w:tcPr>
          <w:tcW w:w="5495" w:type="dxa"/>
        </w:tcPr>
        <w:p w14:paraId="04DCB19C" w14:textId="77777777" w:rsidR="00490760" w:rsidRPr="00EE4D48" w:rsidRDefault="00846C33" w:rsidP="002A07BC">
          <w:pPr>
            <w:rPr>
              <w:b/>
              <w:sz w:val="28"/>
              <w:szCs w:val="28"/>
            </w:rPr>
          </w:pPr>
          <w:r>
            <w:rPr>
              <w:noProof/>
            </w:rPr>
            <w:drawing>
              <wp:inline distT="0" distB="0" distL="0" distR="0" wp14:anchorId="764E3A2D" wp14:editId="321ADA2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9569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1965709" w14:textId="77777777" w:rsidR="00490760" w:rsidRPr="00FE5146" w:rsidRDefault="00846C33" w:rsidP="00490760">
          <w:pPr>
            <w:jc w:val="right"/>
            <w:rPr>
              <w:sz w:val="144"/>
              <w:szCs w:val="144"/>
            </w:rPr>
          </w:pPr>
          <w:r w:rsidRPr="00FE5146">
            <w:rPr>
              <w:sz w:val="144"/>
              <w:szCs w:val="144"/>
            </w:rPr>
            <w:t>ENG</w:t>
          </w:r>
        </w:p>
      </w:tc>
    </w:tr>
    <w:tr w:rsidR="00DC2A49" w14:paraId="64D284D0" w14:textId="77777777" w:rsidTr="002E12EC">
      <w:trPr>
        <w:trHeight w:val="409"/>
        <w:jc w:val="center"/>
      </w:trPr>
      <w:tc>
        <w:tcPr>
          <w:tcW w:w="8500" w:type="dxa"/>
          <w:gridSpan w:val="2"/>
        </w:tcPr>
        <w:p w14:paraId="4CD80A78" w14:textId="77777777" w:rsidR="00BD47E4" w:rsidRDefault="00846C33" w:rsidP="002C30DA">
          <w:pPr>
            <w:jc w:val="right"/>
          </w:pPr>
          <w:r>
            <w:t>Agenda Item:</w:t>
          </w:r>
        </w:p>
      </w:tc>
      <w:tc>
        <w:tcPr>
          <w:tcW w:w="2382" w:type="dxa"/>
          <w:gridSpan w:val="2"/>
        </w:tcPr>
        <w:p w14:paraId="171685F9" w14:textId="77777777" w:rsidR="00BD47E4" w:rsidRDefault="00846C33" w:rsidP="002C30DA">
          <w:pPr>
            <w:jc w:val="right"/>
          </w:pPr>
          <w:bookmarkStart w:id="4" w:name="agenda"/>
          <w:r>
            <w:t>ATCM 6d</w:t>
          </w:r>
          <w:bookmarkEnd w:id="4"/>
        </w:p>
      </w:tc>
      <w:tc>
        <w:tcPr>
          <w:tcW w:w="390" w:type="dxa"/>
        </w:tcPr>
        <w:p w14:paraId="561E55E8" w14:textId="77777777" w:rsidR="00BD47E4" w:rsidRDefault="00846C33" w:rsidP="00387A65">
          <w:pPr>
            <w:jc w:val="right"/>
          </w:pPr>
        </w:p>
      </w:tc>
    </w:tr>
    <w:tr w:rsidR="00DC2A49" w14:paraId="74765FEB" w14:textId="77777777" w:rsidTr="002E12EC">
      <w:trPr>
        <w:trHeight w:val="397"/>
        <w:jc w:val="center"/>
      </w:trPr>
      <w:tc>
        <w:tcPr>
          <w:tcW w:w="8500" w:type="dxa"/>
          <w:gridSpan w:val="2"/>
        </w:tcPr>
        <w:p w14:paraId="7B3E101A" w14:textId="77777777" w:rsidR="00BD47E4" w:rsidRDefault="00846C33" w:rsidP="002C30DA">
          <w:pPr>
            <w:jc w:val="right"/>
          </w:pPr>
          <w:r>
            <w:t>Presented by:</w:t>
          </w:r>
        </w:p>
      </w:tc>
      <w:tc>
        <w:tcPr>
          <w:tcW w:w="2382" w:type="dxa"/>
          <w:gridSpan w:val="2"/>
        </w:tcPr>
        <w:p w14:paraId="16FCAEE8" w14:textId="77777777" w:rsidR="00BD47E4" w:rsidRDefault="00846C33" w:rsidP="002C30DA">
          <w:pPr>
            <w:jc w:val="right"/>
          </w:pPr>
          <w:bookmarkStart w:id="5" w:name="party"/>
          <w:r>
            <w:t>Norway</w:t>
          </w:r>
          <w:bookmarkEnd w:id="5"/>
        </w:p>
      </w:tc>
      <w:tc>
        <w:tcPr>
          <w:tcW w:w="390" w:type="dxa"/>
        </w:tcPr>
        <w:p w14:paraId="76CEBEB0" w14:textId="77777777" w:rsidR="00BD47E4" w:rsidRDefault="00846C33" w:rsidP="00387A65">
          <w:pPr>
            <w:jc w:val="right"/>
          </w:pPr>
        </w:p>
      </w:tc>
    </w:tr>
    <w:tr w:rsidR="00DC2A49" w14:paraId="56B9A439" w14:textId="77777777" w:rsidTr="002E12EC">
      <w:trPr>
        <w:trHeight w:val="409"/>
        <w:jc w:val="center"/>
      </w:trPr>
      <w:tc>
        <w:tcPr>
          <w:tcW w:w="8500" w:type="dxa"/>
          <w:gridSpan w:val="2"/>
        </w:tcPr>
        <w:p w14:paraId="7C4AAF7B" w14:textId="77777777" w:rsidR="00BD47E4" w:rsidRDefault="00846C33" w:rsidP="002C30DA">
          <w:pPr>
            <w:jc w:val="right"/>
          </w:pPr>
          <w:r>
            <w:t>Original:</w:t>
          </w:r>
        </w:p>
      </w:tc>
      <w:tc>
        <w:tcPr>
          <w:tcW w:w="2382" w:type="dxa"/>
          <w:gridSpan w:val="2"/>
        </w:tcPr>
        <w:p w14:paraId="583AFE4A" w14:textId="77777777" w:rsidR="00BD47E4" w:rsidRDefault="00846C33" w:rsidP="002C30DA">
          <w:pPr>
            <w:jc w:val="right"/>
          </w:pPr>
          <w:bookmarkStart w:id="6" w:name="language"/>
          <w:r>
            <w:t>English</w:t>
          </w:r>
          <w:bookmarkEnd w:id="6"/>
        </w:p>
      </w:tc>
      <w:tc>
        <w:tcPr>
          <w:tcW w:w="390" w:type="dxa"/>
        </w:tcPr>
        <w:p w14:paraId="6A3A396B" w14:textId="77777777" w:rsidR="00BD47E4" w:rsidRDefault="00846C33" w:rsidP="00387A65">
          <w:pPr>
            <w:jc w:val="right"/>
          </w:pPr>
        </w:p>
      </w:tc>
    </w:tr>
    <w:tr w:rsidR="00DC2A49" w14:paraId="4E8FE2E8" w14:textId="77777777" w:rsidTr="002E12EC">
      <w:trPr>
        <w:trHeight w:val="409"/>
        <w:jc w:val="center"/>
      </w:trPr>
      <w:tc>
        <w:tcPr>
          <w:tcW w:w="8500" w:type="dxa"/>
          <w:gridSpan w:val="2"/>
        </w:tcPr>
        <w:p w14:paraId="2ADDFD31" w14:textId="77777777" w:rsidR="0097629D" w:rsidRDefault="00846C33" w:rsidP="002C30DA">
          <w:pPr>
            <w:jc w:val="right"/>
          </w:pPr>
          <w:r>
            <w:t>Submitted:</w:t>
          </w:r>
        </w:p>
      </w:tc>
      <w:tc>
        <w:tcPr>
          <w:tcW w:w="2382" w:type="dxa"/>
          <w:gridSpan w:val="2"/>
        </w:tcPr>
        <w:p w14:paraId="21471C84" w14:textId="77777777" w:rsidR="0097629D" w:rsidRDefault="00846C33" w:rsidP="0097629D">
          <w:pPr>
            <w:jc w:val="right"/>
          </w:pPr>
          <w:bookmarkStart w:id="7" w:name="date_submission"/>
          <w:r>
            <w:t>14 Apr 2023</w:t>
          </w:r>
          <w:bookmarkEnd w:id="7"/>
        </w:p>
      </w:tc>
      <w:tc>
        <w:tcPr>
          <w:tcW w:w="390" w:type="dxa"/>
        </w:tcPr>
        <w:p w14:paraId="401DB404" w14:textId="77777777" w:rsidR="0097629D" w:rsidRDefault="00846C33" w:rsidP="00387A65">
          <w:pPr>
            <w:jc w:val="right"/>
          </w:pPr>
        </w:p>
      </w:tc>
    </w:tr>
  </w:tbl>
  <w:p w14:paraId="0100B5E0" w14:textId="77777777" w:rsidR="00AE5DD0" w:rsidRDefault="00846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C2A49" w14:paraId="70ECF0AC" w14:textId="77777777">
      <w:trPr>
        <w:trHeight w:val="354"/>
        <w:jc w:val="center"/>
      </w:trPr>
      <w:tc>
        <w:tcPr>
          <w:tcW w:w="9694" w:type="dxa"/>
        </w:tcPr>
        <w:p w14:paraId="47852266" w14:textId="25074F84" w:rsidR="00AE5DD0" w:rsidRPr="00BD47E4" w:rsidRDefault="00846C33" w:rsidP="00C26F2D">
          <w:pPr>
            <w:jc w:val="right"/>
            <w:rPr>
              <w:b/>
              <w:sz w:val="32"/>
              <w:szCs w:val="32"/>
            </w:rPr>
          </w:pPr>
          <w:r>
            <w:rPr>
              <w:b/>
              <w:sz w:val="32"/>
              <w:szCs w:val="32"/>
            </w:rPr>
            <w:t>WP</w:t>
          </w:r>
        </w:p>
      </w:tc>
      <w:tc>
        <w:tcPr>
          <w:tcW w:w="1332" w:type="dxa"/>
        </w:tcPr>
        <w:p w14:paraId="59857BD8" w14:textId="1EE24D46" w:rsidR="00AE5DD0" w:rsidRPr="00BD47E4" w:rsidRDefault="00846C33" w:rsidP="00080F4C">
          <w:pPr>
            <w:rPr>
              <w:b/>
              <w:sz w:val="32"/>
              <w:szCs w:val="32"/>
            </w:rPr>
          </w:pPr>
          <w:r>
            <w:rPr>
              <w:b/>
              <w:sz w:val="32"/>
              <w:szCs w:val="32"/>
            </w:rPr>
            <w:t>31</w:t>
          </w:r>
        </w:p>
      </w:tc>
    </w:tr>
  </w:tbl>
  <w:p w14:paraId="4CD9E334" w14:textId="77777777" w:rsidR="00AE5DD0" w:rsidRDefault="00846C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2484D00">
      <w:start w:val="1"/>
      <w:numFmt w:val="bullet"/>
      <w:pStyle w:val="ATSBullet1"/>
      <w:lvlText w:val=""/>
      <w:lvlJc w:val="left"/>
      <w:pPr>
        <w:tabs>
          <w:tab w:val="num" w:pos="360"/>
        </w:tabs>
        <w:ind w:left="360" w:hanging="360"/>
      </w:pPr>
      <w:rPr>
        <w:rFonts w:ascii="Symbol" w:hAnsi="Symbol" w:hint="default"/>
        <w:color w:val="auto"/>
      </w:rPr>
    </w:lvl>
    <w:lvl w:ilvl="1" w:tplc="663A1CEE" w:tentative="1">
      <w:start w:val="1"/>
      <w:numFmt w:val="bullet"/>
      <w:lvlText w:val="o"/>
      <w:lvlJc w:val="left"/>
      <w:pPr>
        <w:tabs>
          <w:tab w:val="num" w:pos="1440"/>
        </w:tabs>
        <w:ind w:left="1440" w:hanging="360"/>
      </w:pPr>
      <w:rPr>
        <w:rFonts w:ascii="Courier New" w:hAnsi="Courier New" w:cs="Courier New" w:hint="default"/>
      </w:rPr>
    </w:lvl>
    <w:lvl w:ilvl="2" w:tplc="3A3EE88C" w:tentative="1">
      <w:start w:val="1"/>
      <w:numFmt w:val="bullet"/>
      <w:lvlText w:val=""/>
      <w:lvlJc w:val="left"/>
      <w:pPr>
        <w:tabs>
          <w:tab w:val="num" w:pos="2160"/>
        </w:tabs>
        <w:ind w:left="2160" w:hanging="360"/>
      </w:pPr>
      <w:rPr>
        <w:rFonts w:ascii="Wingdings" w:hAnsi="Wingdings" w:hint="default"/>
      </w:rPr>
    </w:lvl>
    <w:lvl w:ilvl="3" w:tplc="C862EA1E" w:tentative="1">
      <w:start w:val="1"/>
      <w:numFmt w:val="bullet"/>
      <w:lvlText w:val=""/>
      <w:lvlJc w:val="left"/>
      <w:pPr>
        <w:tabs>
          <w:tab w:val="num" w:pos="2880"/>
        </w:tabs>
        <w:ind w:left="2880" w:hanging="360"/>
      </w:pPr>
      <w:rPr>
        <w:rFonts w:ascii="Symbol" w:hAnsi="Symbol" w:hint="default"/>
      </w:rPr>
    </w:lvl>
    <w:lvl w:ilvl="4" w:tplc="08C4A1BC" w:tentative="1">
      <w:start w:val="1"/>
      <w:numFmt w:val="bullet"/>
      <w:lvlText w:val="o"/>
      <w:lvlJc w:val="left"/>
      <w:pPr>
        <w:tabs>
          <w:tab w:val="num" w:pos="3600"/>
        </w:tabs>
        <w:ind w:left="3600" w:hanging="360"/>
      </w:pPr>
      <w:rPr>
        <w:rFonts w:ascii="Courier New" w:hAnsi="Courier New" w:cs="Courier New" w:hint="default"/>
      </w:rPr>
    </w:lvl>
    <w:lvl w:ilvl="5" w:tplc="116A52C4" w:tentative="1">
      <w:start w:val="1"/>
      <w:numFmt w:val="bullet"/>
      <w:lvlText w:val=""/>
      <w:lvlJc w:val="left"/>
      <w:pPr>
        <w:tabs>
          <w:tab w:val="num" w:pos="4320"/>
        </w:tabs>
        <w:ind w:left="4320" w:hanging="360"/>
      </w:pPr>
      <w:rPr>
        <w:rFonts w:ascii="Wingdings" w:hAnsi="Wingdings" w:hint="default"/>
      </w:rPr>
    </w:lvl>
    <w:lvl w:ilvl="6" w:tplc="B5365040" w:tentative="1">
      <w:start w:val="1"/>
      <w:numFmt w:val="bullet"/>
      <w:lvlText w:val=""/>
      <w:lvlJc w:val="left"/>
      <w:pPr>
        <w:tabs>
          <w:tab w:val="num" w:pos="5040"/>
        </w:tabs>
        <w:ind w:left="5040" w:hanging="360"/>
      </w:pPr>
      <w:rPr>
        <w:rFonts w:ascii="Symbol" w:hAnsi="Symbol" w:hint="default"/>
      </w:rPr>
    </w:lvl>
    <w:lvl w:ilvl="7" w:tplc="0158F544" w:tentative="1">
      <w:start w:val="1"/>
      <w:numFmt w:val="bullet"/>
      <w:lvlText w:val="o"/>
      <w:lvlJc w:val="left"/>
      <w:pPr>
        <w:tabs>
          <w:tab w:val="num" w:pos="5760"/>
        </w:tabs>
        <w:ind w:left="5760" w:hanging="360"/>
      </w:pPr>
      <w:rPr>
        <w:rFonts w:ascii="Courier New" w:hAnsi="Courier New" w:cs="Courier New" w:hint="default"/>
      </w:rPr>
    </w:lvl>
    <w:lvl w:ilvl="8" w:tplc="FD404E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4E0698"/>
    <w:multiLevelType w:val="hybridMultilevel"/>
    <w:tmpl w:val="24C62EDC"/>
    <w:lvl w:ilvl="0" w:tplc="2C68141E">
      <w:start w:val="1"/>
      <w:numFmt w:val="decimal"/>
      <w:lvlText w:val="%1."/>
      <w:lvlJc w:val="left"/>
      <w:pPr>
        <w:ind w:left="710" w:hanging="71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3" w15:restartNumberingAfterBreak="0">
    <w:nsid w:val="49D35C15"/>
    <w:multiLevelType w:val="hybridMultilevel"/>
    <w:tmpl w:val="A8A2E45C"/>
    <w:lvl w:ilvl="0" w:tplc="E87A4AD2">
      <w:start w:val="1"/>
      <w:numFmt w:val="decimal"/>
      <w:lvlText w:val="%1)"/>
      <w:lvlJc w:val="left"/>
      <w:pPr>
        <w:tabs>
          <w:tab w:val="num" w:pos="340"/>
        </w:tabs>
        <w:ind w:left="340" w:hanging="340"/>
      </w:pPr>
      <w:rPr>
        <w:rFonts w:hint="default"/>
      </w:rPr>
    </w:lvl>
    <w:lvl w:ilvl="1" w:tplc="BDB690B0" w:tentative="1">
      <w:start w:val="1"/>
      <w:numFmt w:val="lowerLetter"/>
      <w:lvlText w:val="%2."/>
      <w:lvlJc w:val="left"/>
      <w:pPr>
        <w:tabs>
          <w:tab w:val="num" w:pos="1440"/>
        </w:tabs>
        <w:ind w:left="1440" w:hanging="360"/>
      </w:pPr>
    </w:lvl>
    <w:lvl w:ilvl="2" w:tplc="55004CD0" w:tentative="1">
      <w:start w:val="1"/>
      <w:numFmt w:val="lowerRoman"/>
      <w:lvlText w:val="%3."/>
      <w:lvlJc w:val="right"/>
      <w:pPr>
        <w:tabs>
          <w:tab w:val="num" w:pos="2160"/>
        </w:tabs>
        <w:ind w:left="2160" w:hanging="180"/>
      </w:pPr>
    </w:lvl>
    <w:lvl w:ilvl="3" w:tplc="2B2A4672" w:tentative="1">
      <w:start w:val="1"/>
      <w:numFmt w:val="decimal"/>
      <w:lvlText w:val="%4."/>
      <w:lvlJc w:val="left"/>
      <w:pPr>
        <w:tabs>
          <w:tab w:val="num" w:pos="2880"/>
        </w:tabs>
        <w:ind w:left="2880" w:hanging="360"/>
      </w:pPr>
    </w:lvl>
    <w:lvl w:ilvl="4" w:tplc="F7984754" w:tentative="1">
      <w:start w:val="1"/>
      <w:numFmt w:val="lowerLetter"/>
      <w:lvlText w:val="%5."/>
      <w:lvlJc w:val="left"/>
      <w:pPr>
        <w:tabs>
          <w:tab w:val="num" w:pos="3600"/>
        </w:tabs>
        <w:ind w:left="3600" w:hanging="360"/>
      </w:pPr>
    </w:lvl>
    <w:lvl w:ilvl="5" w:tplc="C87CB01E" w:tentative="1">
      <w:start w:val="1"/>
      <w:numFmt w:val="lowerRoman"/>
      <w:lvlText w:val="%6."/>
      <w:lvlJc w:val="right"/>
      <w:pPr>
        <w:tabs>
          <w:tab w:val="num" w:pos="4320"/>
        </w:tabs>
        <w:ind w:left="4320" w:hanging="180"/>
      </w:pPr>
    </w:lvl>
    <w:lvl w:ilvl="6" w:tplc="22DC9A5E" w:tentative="1">
      <w:start w:val="1"/>
      <w:numFmt w:val="decimal"/>
      <w:lvlText w:val="%7."/>
      <w:lvlJc w:val="left"/>
      <w:pPr>
        <w:tabs>
          <w:tab w:val="num" w:pos="5040"/>
        </w:tabs>
        <w:ind w:left="5040" w:hanging="360"/>
      </w:pPr>
    </w:lvl>
    <w:lvl w:ilvl="7" w:tplc="71507606" w:tentative="1">
      <w:start w:val="1"/>
      <w:numFmt w:val="lowerLetter"/>
      <w:lvlText w:val="%8."/>
      <w:lvlJc w:val="left"/>
      <w:pPr>
        <w:tabs>
          <w:tab w:val="num" w:pos="5760"/>
        </w:tabs>
        <w:ind w:left="5760" w:hanging="360"/>
      </w:pPr>
    </w:lvl>
    <w:lvl w:ilvl="8" w:tplc="5DB0AAFA"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E3E677B0">
      <w:start w:val="1"/>
      <w:numFmt w:val="decimal"/>
      <w:lvlText w:val="%1."/>
      <w:lvlJc w:val="left"/>
      <w:pPr>
        <w:tabs>
          <w:tab w:val="num" w:pos="1057"/>
        </w:tabs>
        <w:ind w:left="1057" w:hanging="360"/>
      </w:pPr>
      <w:rPr>
        <w:rFonts w:hint="default"/>
      </w:rPr>
    </w:lvl>
    <w:lvl w:ilvl="1" w:tplc="2524301A" w:tentative="1">
      <w:start w:val="1"/>
      <w:numFmt w:val="lowerLetter"/>
      <w:lvlText w:val="%2."/>
      <w:lvlJc w:val="left"/>
      <w:pPr>
        <w:tabs>
          <w:tab w:val="num" w:pos="2137"/>
        </w:tabs>
        <w:ind w:left="2137" w:hanging="360"/>
      </w:pPr>
    </w:lvl>
    <w:lvl w:ilvl="2" w:tplc="D5965A26" w:tentative="1">
      <w:start w:val="1"/>
      <w:numFmt w:val="lowerRoman"/>
      <w:lvlText w:val="%3."/>
      <w:lvlJc w:val="right"/>
      <w:pPr>
        <w:tabs>
          <w:tab w:val="num" w:pos="2857"/>
        </w:tabs>
        <w:ind w:left="2857" w:hanging="180"/>
      </w:pPr>
    </w:lvl>
    <w:lvl w:ilvl="3" w:tplc="E48C7748" w:tentative="1">
      <w:start w:val="1"/>
      <w:numFmt w:val="decimal"/>
      <w:lvlText w:val="%4."/>
      <w:lvlJc w:val="left"/>
      <w:pPr>
        <w:tabs>
          <w:tab w:val="num" w:pos="3577"/>
        </w:tabs>
        <w:ind w:left="3577" w:hanging="360"/>
      </w:pPr>
    </w:lvl>
    <w:lvl w:ilvl="4" w:tplc="7EE81E86" w:tentative="1">
      <w:start w:val="1"/>
      <w:numFmt w:val="lowerLetter"/>
      <w:lvlText w:val="%5."/>
      <w:lvlJc w:val="left"/>
      <w:pPr>
        <w:tabs>
          <w:tab w:val="num" w:pos="4297"/>
        </w:tabs>
        <w:ind w:left="4297" w:hanging="360"/>
      </w:pPr>
    </w:lvl>
    <w:lvl w:ilvl="5" w:tplc="5EF07644" w:tentative="1">
      <w:start w:val="1"/>
      <w:numFmt w:val="lowerRoman"/>
      <w:lvlText w:val="%6."/>
      <w:lvlJc w:val="right"/>
      <w:pPr>
        <w:tabs>
          <w:tab w:val="num" w:pos="5017"/>
        </w:tabs>
        <w:ind w:left="5017" w:hanging="180"/>
      </w:pPr>
    </w:lvl>
    <w:lvl w:ilvl="6" w:tplc="8984F5C4" w:tentative="1">
      <w:start w:val="1"/>
      <w:numFmt w:val="decimal"/>
      <w:lvlText w:val="%7."/>
      <w:lvlJc w:val="left"/>
      <w:pPr>
        <w:tabs>
          <w:tab w:val="num" w:pos="5737"/>
        </w:tabs>
        <w:ind w:left="5737" w:hanging="360"/>
      </w:pPr>
    </w:lvl>
    <w:lvl w:ilvl="7" w:tplc="FD58C0EE" w:tentative="1">
      <w:start w:val="1"/>
      <w:numFmt w:val="lowerLetter"/>
      <w:lvlText w:val="%8."/>
      <w:lvlJc w:val="left"/>
      <w:pPr>
        <w:tabs>
          <w:tab w:val="num" w:pos="6457"/>
        </w:tabs>
        <w:ind w:left="6457" w:hanging="360"/>
      </w:pPr>
    </w:lvl>
    <w:lvl w:ilvl="8" w:tplc="1F1CC6F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3446EAD0">
      <w:start w:val="1"/>
      <w:numFmt w:val="decimal"/>
      <w:pStyle w:val="ATSNumber1"/>
      <w:lvlText w:val="%1)"/>
      <w:lvlJc w:val="left"/>
      <w:pPr>
        <w:tabs>
          <w:tab w:val="num" w:pos="720"/>
        </w:tabs>
        <w:ind w:left="720" w:hanging="360"/>
      </w:pPr>
    </w:lvl>
    <w:lvl w:ilvl="1" w:tplc="E38621CA" w:tentative="1">
      <w:start w:val="1"/>
      <w:numFmt w:val="lowerLetter"/>
      <w:lvlText w:val="%2."/>
      <w:lvlJc w:val="left"/>
      <w:pPr>
        <w:tabs>
          <w:tab w:val="num" w:pos="1440"/>
        </w:tabs>
        <w:ind w:left="1440" w:hanging="360"/>
      </w:pPr>
    </w:lvl>
    <w:lvl w:ilvl="2" w:tplc="A3C089CC" w:tentative="1">
      <w:start w:val="1"/>
      <w:numFmt w:val="lowerRoman"/>
      <w:lvlText w:val="%3."/>
      <w:lvlJc w:val="right"/>
      <w:pPr>
        <w:tabs>
          <w:tab w:val="num" w:pos="2160"/>
        </w:tabs>
        <w:ind w:left="2160" w:hanging="180"/>
      </w:pPr>
    </w:lvl>
    <w:lvl w:ilvl="3" w:tplc="CE063978" w:tentative="1">
      <w:start w:val="1"/>
      <w:numFmt w:val="decimal"/>
      <w:lvlText w:val="%4."/>
      <w:lvlJc w:val="left"/>
      <w:pPr>
        <w:tabs>
          <w:tab w:val="num" w:pos="2880"/>
        </w:tabs>
        <w:ind w:left="2880" w:hanging="360"/>
      </w:pPr>
    </w:lvl>
    <w:lvl w:ilvl="4" w:tplc="18E432F6" w:tentative="1">
      <w:start w:val="1"/>
      <w:numFmt w:val="lowerLetter"/>
      <w:lvlText w:val="%5."/>
      <w:lvlJc w:val="left"/>
      <w:pPr>
        <w:tabs>
          <w:tab w:val="num" w:pos="3600"/>
        </w:tabs>
        <w:ind w:left="3600" w:hanging="360"/>
      </w:pPr>
    </w:lvl>
    <w:lvl w:ilvl="5" w:tplc="77905EC0" w:tentative="1">
      <w:start w:val="1"/>
      <w:numFmt w:val="lowerRoman"/>
      <w:lvlText w:val="%6."/>
      <w:lvlJc w:val="right"/>
      <w:pPr>
        <w:tabs>
          <w:tab w:val="num" w:pos="4320"/>
        </w:tabs>
        <w:ind w:left="4320" w:hanging="180"/>
      </w:pPr>
    </w:lvl>
    <w:lvl w:ilvl="6" w:tplc="76643CE6" w:tentative="1">
      <w:start w:val="1"/>
      <w:numFmt w:val="decimal"/>
      <w:lvlText w:val="%7."/>
      <w:lvlJc w:val="left"/>
      <w:pPr>
        <w:tabs>
          <w:tab w:val="num" w:pos="5040"/>
        </w:tabs>
        <w:ind w:left="5040" w:hanging="360"/>
      </w:pPr>
    </w:lvl>
    <w:lvl w:ilvl="7" w:tplc="95D21B42" w:tentative="1">
      <w:start w:val="1"/>
      <w:numFmt w:val="lowerLetter"/>
      <w:lvlText w:val="%8."/>
      <w:lvlJc w:val="left"/>
      <w:pPr>
        <w:tabs>
          <w:tab w:val="num" w:pos="5760"/>
        </w:tabs>
        <w:ind w:left="5760" w:hanging="360"/>
      </w:pPr>
    </w:lvl>
    <w:lvl w:ilvl="8" w:tplc="F7E2303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1180CBB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3CA22B4" w:tentative="1">
      <w:start w:val="1"/>
      <w:numFmt w:val="bullet"/>
      <w:lvlText w:val="o"/>
      <w:lvlJc w:val="left"/>
      <w:pPr>
        <w:tabs>
          <w:tab w:val="num" w:pos="2517"/>
        </w:tabs>
        <w:ind w:left="2517" w:hanging="360"/>
      </w:pPr>
      <w:rPr>
        <w:rFonts w:ascii="Courier New" w:hAnsi="Courier New" w:cs="Courier New" w:hint="default"/>
      </w:rPr>
    </w:lvl>
    <w:lvl w:ilvl="2" w:tplc="DF8EE9CE" w:tentative="1">
      <w:start w:val="1"/>
      <w:numFmt w:val="bullet"/>
      <w:lvlText w:val=""/>
      <w:lvlJc w:val="left"/>
      <w:pPr>
        <w:tabs>
          <w:tab w:val="num" w:pos="3237"/>
        </w:tabs>
        <w:ind w:left="3237" w:hanging="360"/>
      </w:pPr>
      <w:rPr>
        <w:rFonts w:ascii="Wingdings" w:hAnsi="Wingdings" w:hint="default"/>
      </w:rPr>
    </w:lvl>
    <w:lvl w:ilvl="3" w:tplc="14C060BA" w:tentative="1">
      <w:start w:val="1"/>
      <w:numFmt w:val="bullet"/>
      <w:lvlText w:val=""/>
      <w:lvlJc w:val="left"/>
      <w:pPr>
        <w:tabs>
          <w:tab w:val="num" w:pos="3957"/>
        </w:tabs>
        <w:ind w:left="3957" w:hanging="360"/>
      </w:pPr>
      <w:rPr>
        <w:rFonts w:ascii="Symbol" w:hAnsi="Symbol" w:hint="default"/>
      </w:rPr>
    </w:lvl>
    <w:lvl w:ilvl="4" w:tplc="3B06B694" w:tentative="1">
      <w:start w:val="1"/>
      <w:numFmt w:val="bullet"/>
      <w:lvlText w:val="o"/>
      <w:lvlJc w:val="left"/>
      <w:pPr>
        <w:tabs>
          <w:tab w:val="num" w:pos="4677"/>
        </w:tabs>
        <w:ind w:left="4677" w:hanging="360"/>
      </w:pPr>
      <w:rPr>
        <w:rFonts w:ascii="Courier New" w:hAnsi="Courier New" w:cs="Courier New" w:hint="default"/>
      </w:rPr>
    </w:lvl>
    <w:lvl w:ilvl="5" w:tplc="D682E1D6" w:tentative="1">
      <w:start w:val="1"/>
      <w:numFmt w:val="bullet"/>
      <w:lvlText w:val=""/>
      <w:lvlJc w:val="left"/>
      <w:pPr>
        <w:tabs>
          <w:tab w:val="num" w:pos="5397"/>
        </w:tabs>
        <w:ind w:left="5397" w:hanging="360"/>
      </w:pPr>
      <w:rPr>
        <w:rFonts w:ascii="Wingdings" w:hAnsi="Wingdings" w:hint="default"/>
      </w:rPr>
    </w:lvl>
    <w:lvl w:ilvl="6" w:tplc="7646E99A" w:tentative="1">
      <w:start w:val="1"/>
      <w:numFmt w:val="bullet"/>
      <w:lvlText w:val=""/>
      <w:lvlJc w:val="left"/>
      <w:pPr>
        <w:tabs>
          <w:tab w:val="num" w:pos="6117"/>
        </w:tabs>
        <w:ind w:left="6117" w:hanging="360"/>
      </w:pPr>
      <w:rPr>
        <w:rFonts w:ascii="Symbol" w:hAnsi="Symbol" w:hint="default"/>
      </w:rPr>
    </w:lvl>
    <w:lvl w:ilvl="7" w:tplc="5AE6AF8C" w:tentative="1">
      <w:start w:val="1"/>
      <w:numFmt w:val="bullet"/>
      <w:lvlText w:val="o"/>
      <w:lvlJc w:val="left"/>
      <w:pPr>
        <w:tabs>
          <w:tab w:val="num" w:pos="6837"/>
        </w:tabs>
        <w:ind w:left="6837" w:hanging="360"/>
      </w:pPr>
      <w:rPr>
        <w:rFonts w:ascii="Courier New" w:hAnsi="Courier New" w:cs="Courier New" w:hint="default"/>
      </w:rPr>
    </w:lvl>
    <w:lvl w:ilvl="8" w:tplc="1680741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00808AEE">
      <w:start w:val="1"/>
      <w:numFmt w:val="decimal"/>
      <w:pStyle w:val="ATSNumber2"/>
      <w:lvlText w:val="%1."/>
      <w:lvlJc w:val="left"/>
      <w:pPr>
        <w:tabs>
          <w:tab w:val="num" w:pos="720"/>
        </w:tabs>
        <w:ind w:left="720" w:hanging="360"/>
      </w:pPr>
      <w:rPr>
        <w:rFonts w:hint="default"/>
      </w:rPr>
    </w:lvl>
    <w:lvl w:ilvl="1" w:tplc="3A704A2A" w:tentative="1">
      <w:start w:val="1"/>
      <w:numFmt w:val="lowerLetter"/>
      <w:lvlText w:val="%2."/>
      <w:lvlJc w:val="left"/>
      <w:pPr>
        <w:tabs>
          <w:tab w:val="num" w:pos="1440"/>
        </w:tabs>
        <w:ind w:left="1440" w:hanging="360"/>
      </w:pPr>
    </w:lvl>
    <w:lvl w:ilvl="2" w:tplc="7B201020" w:tentative="1">
      <w:start w:val="1"/>
      <w:numFmt w:val="lowerRoman"/>
      <w:lvlText w:val="%3."/>
      <w:lvlJc w:val="right"/>
      <w:pPr>
        <w:tabs>
          <w:tab w:val="num" w:pos="2160"/>
        </w:tabs>
        <w:ind w:left="2160" w:hanging="180"/>
      </w:pPr>
    </w:lvl>
    <w:lvl w:ilvl="3" w:tplc="1D9AF1E4" w:tentative="1">
      <w:start w:val="1"/>
      <w:numFmt w:val="decimal"/>
      <w:lvlText w:val="%4."/>
      <w:lvlJc w:val="left"/>
      <w:pPr>
        <w:tabs>
          <w:tab w:val="num" w:pos="2880"/>
        </w:tabs>
        <w:ind w:left="2880" w:hanging="360"/>
      </w:pPr>
    </w:lvl>
    <w:lvl w:ilvl="4" w:tplc="7834CAAE" w:tentative="1">
      <w:start w:val="1"/>
      <w:numFmt w:val="lowerLetter"/>
      <w:lvlText w:val="%5."/>
      <w:lvlJc w:val="left"/>
      <w:pPr>
        <w:tabs>
          <w:tab w:val="num" w:pos="3600"/>
        </w:tabs>
        <w:ind w:left="3600" w:hanging="360"/>
      </w:pPr>
    </w:lvl>
    <w:lvl w:ilvl="5" w:tplc="2662DB22" w:tentative="1">
      <w:start w:val="1"/>
      <w:numFmt w:val="lowerRoman"/>
      <w:lvlText w:val="%6."/>
      <w:lvlJc w:val="right"/>
      <w:pPr>
        <w:tabs>
          <w:tab w:val="num" w:pos="4320"/>
        </w:tabs>
        <w:ind w:left="4320" w:hanging="180"/>
      </w:pPr>
    </w:lvl>
    <w:lvl w:ilvl="6" w:tplc="637055B6" w:tentative="1">
      <w:start w:val="1"/>
      <w:numFmt w:val="decimal"/>
      <w:lvlText w:val="%7."/>
      <w:lvlJc w:val="left"/>
      <w:pPr>
        <w:tabs>
          <w:tab w:val="num" w:pos="5040"/>
        </w:tabs>
        <w:ind w:left="5040" w:hanging="360"/>
      </w:pPr>
    </w:lvl>
    <w:lvl w:ilvl="7" w:tplc="AAB8059C" w:tentative="1">
      <w:start w:val="1"/>
      <w:numFmt w:val="lowerLetter"/>
      <w:lvlText w:val="%8."/>
      <w:lvlJc w:val="left"/>
      <w:pPr>
        <w:tabs>
          <w:tab w:val="num" w:pos="5760"/>
        </w:tabs>
        <w:ind w:left="5760" w:hanging="360"/>
      </w:pPr>
    </w:lvl>
    <w:lvl w:ilvl="8" w:tplc="6FD24104" w:tentative="1">
      <w:start w:val="1"/>
      <w:numFmt w:val="lowerRoman"/>
      <w:lvlText w:val="%9."/>
      <w:lvlJc w:val="right"/>
      <w:pPr>
        <w:tabs>
          <w:tab w:val="num" w:pos="6480"/>
        </w:tabs>
        <w:ind w:left="6480" w:hanging="180"/>
      </w:pPr>
    </w:lvl>
  </w:abstractNum>
  <w:num w:numId="1" w16cid:durableId="1917812398">
    <w:abstractNumId w:val="9"/>
  </w:num>
  <w:num w:numId="2" w16cid:durableId="522669507">
    <w:abstractNumId w:val="7"/>
  </w:num>
  <w:num w:numId="3" w16cid:durableId="1089347800">
    <w:abstractNumId w:val="6"/>
  </w:num>
  <w:num w:numId="4" w16cid:durableId="2083989747">
    <w:abstractNumId w:val="5"/>
  </w:num>
  <w:num w:numId="5" w16cid:durableId="1982727936">
    <w:abstractNumId w:val="4"/>
  </w:num>
  <w:num w:numId="6" w16cid:durableId="955910144">
    <w:abstractNumId w:val="8"/>
  </w:num>
  <w:num w:numId="7" w16cid:durableId="400911419">
    <w:abstractNumId w:val="3"/>
  </w:num>
  <w:num w:numId="8" w16cid:durableId="1259829041">
    <w:abstractNumId w:val="2"/>
  </w:num>
  <w:num w:numId="9" w16cid:durableId="1307005703">
    <w:abstractNumId w:val="1"/>
  </w:num>
  <w:num w:numId="10" w16cid:durableId="1241985968">
    <w:abstractNumId w:val="0"/>
  </w:num>
  <w:num w:numId="11" w16cid:durableId="221986030">
    <w:abstractNumId w:val="11"/>
  </w:num>
  <w:num w:numId="12" w16cid:durableId="1672289723">
    <w:abstractNumId w:val="16"/>
  </w:num>
  <w:num w:numId="13" w16cid:durableId="1907453459">
    <w:abstractNumId w:val="15"/>
  </w:num>
  <w:num w:numId="14" w16cid:durableId="382631853">
    <w:abstractNumId w:val="13"/>
  </w:num>
  <w:num w:numId="15" w16cid:durableId="637342316">
    <w:abstractNumId w:val="14"/>
  </w:num>
  <w:num w:numId="16" w16cid:durableId="20016117">
    <w:abstractNumId w:val="10"/>
  </w:num>
  <w:num w:numId="17" w16cid:durableId="649016191">
    <w:abstractNumId w:val="11"/>
  </w:num>
  <w:num w:numId="18" w16cid:durableId="1014458091">
    <w:abstractNumId w:val="16"/>
  </w:num>
  <w:num w:numId="19" w16cid:durableId="337972795">
    <w:abstractNumId w:val="15"/>
  </w:num>
  <w:num w:numId="20" w16cid:durableId="547034433">
    <w:abstractNumId w:val="17"/>
  </w:num>
  <w:num w:numId="21" w16cid:durableId="6169836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49"/>
    <w:rsid w:val="00846C33"/>
    <w:rsid w:val="00DC2A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53674"/>
  <w15:chartTrackingRefBased/>
  <w15:docId w15:val="{5DD38017-8268-46FA-9A77-A1366508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846C33"/>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1320</Words>
  <Characters>7917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2023-04-14T18:17:00Z</dcterms:modified>
</cp:coreProperties>
</file>