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8A771" w14:textId="77777777" w:rsidR="00C26F2D" w:rsidRDefault="00EF66D2" w:rsidP="009E619D">
      <w:pPr>
        <w:rPr>
          <w:lang w:val="es-ES_tradnl"/>
        </w:rPr>
      </w:pPr>
    </w:p>
    <w:p w14:paraId="26CC6AE6" w14:textId="77777777" w:rsidR="002F0A13" w:rsidRDefault="00EF66D2" w:rsidP="004B4A60">
      <w:pPr>
        <w:rPr>
          <w:b/>
          <w:u w:val="single"/>
          <w:lang w:val="es-ES_tradnl"/>
        </w:rPr>
      </w:pPr>
    </w:p>
    <w:p w14:paraId="0B2DD306" w14:textId="77777777" w:rsidR="002F0A13" w:rsidRDefault="00EF66D2" w:rsidP="004B4A60">
      <w:pPr>
        <w:rPr>
          <w:b/>
          <w:u w:val="single"/>
          <w:lang w:val="es-ES_tradnl"/>
        </w:rPr>
      </w:pPr>
    </w:p>
    <w:p w14:paraId="78053C02" w14:textId="77777777" w:rsidR="002F0A13" w:rsidRDefault="00EF66D2" w:rsidP="004B4A60">
      <w:pPr>
        <w:rPr>
          <w:b/>
          <w:u w:val="single"/>
          <w:lang w:val="es-ES_tradnl"/>
        </w:rPr>
      </w:pPr>
    </w:p>
    <w:p w14:paraId="7BDC06B8" w14:textId="77777777" w:rsidR="002F0A13" w:rsidRDefault="00EF66D2" w:rsidP="004B4A60">
      <w:pPr>
        <w:rPr>
          <w:b/>
          <w:u w:val="single"/>
          <w:lang w:val="es-ES_tradnl"/>
        </w:rPr>
      </w:pPr>
    </w:p>
    <w:p w14:paraId="42FAB38F" w14:textId="77777777" w:rsidR="00C26F2D" w:rsidRDefault="00EF66D2" w:rsidP="004B4A60">
      <w:pPr>
        <w:rPr>
          <w:b/>
          <w:u w:val="single"/>
          <w:lang w:val="es-ES_tradnl"/>
        </w:rPr>
      </w:pPr>
    </w:p>
    <w:p w14:paraId="47B066D9" w14:textId="2D4F0813" w:rsidR="004B4A60" w:rsidRPr="00442B86" w:rsidRDefault="00EF66D2" w:rsidP="00EF66D2">
      <w:pPr>
        <w:pStyle w:val="ATSTitle"/>
      </w:pPr>
      <w:r>
        <w:rPr>
          <w:shd w:val="clear" w:color="auto" w:fill="FFFFFF"/>
        </w:rPr>
        <w:t>Draft Comprehensive Environmental Evaluation (CEE) for the renovation of Petrel Base, Dundee Island, Antarctica"</w:t>
      </w:r>
    </w:p>
    <w:p w14:paraId="5566663A" w14:textId="77777777" w:rsidR="004B4A60" w:rsidRPr="00442B86" w:rsidRDefault="00EF66D2" w:rsidP="002F0A13"/>
    <w:p w14:paraId="546C9F47" w14:textId="77777777" w:rsidR="004B4A60" w:rsidRPr="00464B2B" w:rsidRDefault="00EF66D2" w:rsidP="00F75424">
      <w:pPr>
        <w:jc w:val="center"/>
      </w:pPr>
      <w:bookmarkStart w:id="0" w:name="memo"/>
      <w:bookmarkEnd w:id="0"/>
    </w:p>
    <w:p w14:paraId="66274952" w14:textId="77777777" w:rsidR="004B4A60" w:rsidRPr="00442B86" w:rsidRDefault="00EF66D2" w:rsidP="004B4A60"/>
    <w:p w14:paraId="0C34C986" w14:textId="77777777" w:rsidR="00C26F2D" w:rsidRPr="00442B86" w:rsidRDefault="00EF66D2" w:rsidP="00952E9F">
      <w:pPr>
        <w:sectPr w:rsidR="00C26F2D" w:rsidRPr="00442B86" w:rsidSect="000E1D5C">
          <w:headerReference w:type="default" r:id="rId7"/>
          <w:footerReference w:type="even" r:id="rId8"/>
          <w:footerReference w:type="default" r:id="rId9"/>
          <w:pgSz w:w="11907" w:h="16840" w:code="9"/>
          <w:pgMar w:top="1134" w:right="1134" w:bottom="1134" w:left="1134" w:header="709" w:footer="709" w:gutter="0"/>
          <w:cols w:space="708"/>
          <w:docGrid w:linePitch="360"/>
        </w:sectPr>
      </w:pPr>
    </w:p>
    <w:p w14:paraId="20B82381" w14:textId="77777777" w:rsidR="00EF66D2" w:rsidRDefault="00EF66D2" w:rsidP="00464B2B">
      <w:pPr>
        <w:spacing w:before="240" w:after="60"/>
        <w:jc w:val="center"/>
        <w:rPr>
          <w:rFonts w:ascii="Arial" w:hAnsi="Arial"/>
          <w:b/>
          <w:color w:val="000000"/>
          <w:sz w:val="32"/>
        </w:rPr>
      </w:pPr>
      <w:r w:rsidRPr="00EF66D2">
        <w:rPr>
          <w:rFonts w:ascii="Arial" w:hAnsi="Arial"/>
          <w:b/>
          <w:color w:val="000000"/>
          <w:sz w:val="32"/>
        </w:rPr>
        <w:lastRenderedPageBreak/>
        <w:t>Draft Comprehensive Environmental Evaluation (CEE) for the renovation of Petrel Base, Dundee Island, Antarctica"</w:t>
      </w:r>
    </w:p>
    <w:p w14:paraId="284E5AB8" w14:textId="7F70AD5F" w:rsidR="00464B2B" w:rsidRPr="00585B6D" w:rsidRDefault="00464B2B" w:rsidP="00464B2B">
      <w:pPr>
        <w:spacing w:before="240" w:after="60"/>
        <w:jc w:val="center"/>
        <w:rPr>
          <w:i/>
          <w:sz w:val="24"/>
        </w:rPr>
      </w:pPr>
      <w:r>
        <w:rPr>
          <w:rFonts w:ascii="Calibri" w:hAnsi="Calibri"/>
          <w:b/>
          <w:i/>
          <w:color w:val="000000"/>
        </w:rPr>
        <w:t>Working Paper submitted by Argentina</w:t>
      </w:r>
    </w:p>
    <w:p w14:paraId="60FB10E5" w14:textId="77777777" w:rsidR="00464B2B" w:rsidRPr="00760B88" w:rsidRDefault="00464B2B" w:rsidP="00464B2B">
      <w:pPr>
        <w:pStyle w:val="ATSHeading2"/>
      </w:pPr>
      <w:r>
        <w:t xml:space="preserve">Summary </w:t>
      </w:r>
    </w:p>
    <w:p w14:paraId="1AC4090B" w14:textId="77777777" w:rsidR="00464B2B" w:rsidRPr="005100E4" w:rsidRDefault="00464B2B" w:rsidP="00464B2B">
      <w:pPr>
        <w:spacing w:before="240"/>
        <w:jc w:val="both"/>
        <w:rPr>
          <w:sz w:val="24"/>
        </w:rPr>
      </w:pPr>
      <w:r>
        <w:rPr>
          <w:color w:val="000000"/>
        </w:rPr>
        <w:t>The National Directorate of the Antarctic (DNA) of the Argentine Republic, in its capacity as appropriate authority of the Protocol on Environmental Protection to the Antarctic Treaty, prepared this Comprehensive Environmental Evaluation (CEE) with the purpose of renovating the Petrel base while the scientific and operational activities of the Argentine Antarctic Programme (PAA) are being maintained at said base, both at sites on the ground and at the facilities that the base supports. This CEE project has been prepared following the requirements of Article 3, Annex I to the Protocol on Environmental Protection to the Antarctic Treaty and the Revised Guidelines for Environmental Impact Assessment in Antarctica-Resolution 1 (2016) and the applicable laws of Argentina.</w:t>
      </w:r>
    </w:p>
    <w:p w14:paraId="6D9BBB64" w14:textId="77777777" w:rsidR="00464B2B" w:rsidRPr="005100E4" w:rsidRDefault="00464B2B" w:rsidP="00464B2B">
      <w:pPr>
        <w:spacing w:before="240" w:after="240"/>
        <w:jc w:val="both"/>
        <w:rPr>
          <w:sz w:val="24"/>
        </w:rPr>
      </w:pPr>
      <w:r>
        <w:rPr>
          <w:color w:val="000000"/>
        </w:rPr>
        <w:t>The activities that make up the project consist of: renovation and use of the Base facilities; construction and use of a new runway for airplanes; construction of a Photovoltaic Central; improvements in the use and consumption of water supply lagoons. The estimated time range for the activity encompasses the period from the summer of 2023/2024 to the end of the summer of 2028/2029. After a comprehensive evaluation of the proposed activities and their related mitigation measures, it has been concluded that the proposed activities are likely to have a greater than minimal or transitory impact on the Antarctic environment. We thus conclude through this CEE project that the proposed activities should proceed on the basis that the positive impacts in terms of improvements to safety, environmental protection, and ability to support science are greater than the negative impacts associated with the proposed activities. </w:t>
      </w:r>
    </w:p>
    <w:p w14:paraId="0A70E7B6" w14:textId="77777777" w:rsidR="00464B2B" w:rsidRPr="005100E4" w:rsidRDefault="00464B2B" w:rsidP="00464B2B">
      <w:pPr>
        <w:spacing w:before="240" w:after="240"/>
        <w:rPr>
          <w:sz w:val="24"/>
        </w:rPr>
      </w:pPr>
      <w:r>
        <w:rPr>
          <w:rFonts w:ascii="Arial" w:hAnsi="Arial"/>
          <w:b/>
          <w:i/>
          <w:color w:val="000000"/>
        </w:rPr>
        <w:t>CEE dissemination and translation</w:t>
      </w:r>
    </w:p>
    <w:p w14:paraId="2875F8AD" w14:textId="77777777" w:rsidR="00464B2B" w:rsidRPr="005100E4" w:rsidRDefault="00464B2B" w:rsidP="00464B2B">
      <w:pPr>
        <w:spacing w:before="240" w:after="240"/>
        <w:jc w:val="both"/>
        <w:rPr>
          <w:szCs w:val="22"/>
        </w:rPr>
      </w:pPr>
      <w:r>
        <w:rPr>
          <w:color w:val="000000"/>
        </w:rPr>
        <w:t>The Secretariat of the Antarctic Treaty distributed the notification on the availability of the CEE to all Parties through Secretariat Circular 4 (30 January 2023). The president of the CEP reported this through CEP Circular 3 (31 January 2023). In addition, the Secretariat made available to Committee members, on the CEP workspace within its website (https://www.ats.aq/devAS/EP/CEPWorkspace), both the Non-Technical Summary and the complete package of files that make up the CEE project, in the four official languages of the Antarctic Treaty.</w:t>
      </w:r>
    </w:p>
    <w:p w14:paraId="50D1CA3B" w14:textId="77777777" w:rsidR="00464B2B" w:rsidRPr="005100E4" w:rsidRDefault="00464B2B" w:rsidP="00464B2B">
      <w:pPr>
        <w:pStyle w:val="NormalWeb"/>
        <w:spacing w:before="120" w:beforeAutospacing="0" w:after="120" w:afterAutospacing="0"/>
      </w:pPr>
      <w:r>
        <w:rPr>
          <w:color w:val="000000"/>
          <w:sz w:val="22"/>
        </w:rPr>
        <w:t xml:space="preserve">In accordance with the </w:t>
      </w:r>
      <w:r>
        <w:rPr>
          <w:i/>
          <w:color w:val="000000"/>
          <w:sz w:val="22"/>
        </w:rPr>
        <w:t xml:space="preserve">Procedures for intersessional CEP consideration of draft CEEs </w:t>
      </w:r>
      <w:r>
        <w:rPr>
          <w:color w:val="000000"/>
          <w:sz w:val="22"/>
        </w:rPr>
        <w:t>(Appendix 3 of the Final Report of the 20th Meeting of the CEP), an intersessional contact group (ICG), coordinated by New Zealand, was established to carry out the review of the CEE project. The ICG correspondence was made available to CEP Members and Observers through the CEP discussion forum, which also provided the Non-Technical Summary (NTS) translated into the official languages of the Treaty. </w:t>
      </w:r>
    </w:p>
    <w:p w14:paraId="1B481AEB" w14:textId="77777777" w:rsidR="00464B2B" w:rsidRPr="005100E4" w:rsidRDefault="00464B2B" w:rsidP="00464B2B">
      <w:pPr>
        <w:spacing w:before="480" w:after="120"/>
        <w:jc w:val="both"/>
        <w:rPr>
          <w:sz w:val="24"/>
        </w:rPr>
      </w:pPr>
      <w:r>
        <w:rPr>
          <w:rFonts w:ascii="Arial" w:hAnsi="Arial"/>
          <w:b/>
          <w:i/>
          <w:color w:val="000000"/>
        </w:rPr>
        <w:t>Non-Technical Summary and CEE Conclusions</w:t>
      </w:r>
    </w:p>
    <w:p w14:paraId="383D68E9" w14:textId="77777777" w:rsidR="00464B2B" w:rsidRPr="005100E4" w:rsidRDefault="00464B2B" w:rsidP="00464B2B">
      <w:pPr>
        <w:spacing w:before="240" w:after="220"/>
        <w:jc w:val="both"/>
        <w:rPr>
          <w:sz w:val="24"/>
        </w:rPr>
      </w:pPr>
      <w:r>
        <w:rPr>
          <w:color w:val="000000"/>
        </w:rPr>
        <w:t>The NTS is attached as Annex A to this document. The NTS includes a description of the activities that are proposed to be carried out, the stages of completion, the evaluation of alternatives, the environmental conditions, the identification and forecast of impacts, the mitigation measures, the monitoring programme and the conclusions.</w:t>
      </w:r>
    </w:p>
    <w:p w14:paraId="26EE8DAF" w14:textId="77777777" w:rsidR="00464B2B" w:rsidRPr="005100E4" w:rsidRDefault="00464B2B" w:rsidP="00464B2B">
      <w:pPr>
        <w:spacing w:before="240" w:after="220"/>
        <w:jc w:val="both"/>
        <w:rPr>
          <w:sz w:val="24"/>
        </w:rPr>
      </w:pPr>
      <w:r>
        <w:rPr>
          <w:color w:val="000000"/>
        </w:rPr>
        <w:lastRenderedPageBreak/>
        <w:t xml:space="preserve">In 1976 the Petrel Base became a temporary summer base after a fire destroyed its main house room. From that moment on, the activity at this base was significantly reduced, limited to periodic maintenance for short periods of time in the austral summer. Its air activities were transferred to the </w:t>
      </w:r>
      <w:proofErr w:type="spellStart"/>
      <w:r>
        <w:rPr>
          <w:color w:val="000000"/>
        </w:rPr>
        <w:t>Marambio</w:t>
      </w:r>
      <w:proofErr w:type="spellEnd"/>
      <w:r>
        <w:rPr>
          <w:color w:val="000000"/>
        </w:rPr>
        <w:t xml:space="preserve"> base, which has constituted the hub for the Argentine Antarctic Programme air activities from 1976 to the present.</w:t>
      </w:r>
    </w:p>
    <w:p w14:paraId="28BE40A7" w14:textId="77777777" w:rsidR="00464B2B" w:rsidRPr="005100E4" w:rsidRDefault="00464B2B" w:rsidP="00464B2B">
      <w:pPr>
        <w:spacing w:before="240" w:after="220"/>
        <w:jc w:val="both"/>
        <w:rPr>
          <w:sz w:val="24"/>
        </w:rPr>
      </w:pPr>
      <w:r>
        <w:rPr>
          <w:color w:val="000000"/>
        </w:rPr>
        <w:t xml:space="preserve">In recent years, the increase in scientific activity of the Argentine Antarctic Programme, added to changes in climatic conditions and the new logistic means incorporated into the activity, has made us rethink the way we carry out our science and the consequent logistical support required. Therefore, the development of the Petrel base has emerged in response to the inconveniences that arise in the access, operation and maintenance of the </w:t>
      </w:r>
      <w:proofErr w:type="spellStart"/>
      <w:r>
        <w:rPr>
          <w:color w:val="000000"/>
        </w:rPr>
        <w:t>Marambio</w:t>
      </w:r>
      <w:proofErr w:type="spellEnd"/>
      <w:r>
        <w:rPr>
          <w:color w:val="000000"/>
        </w:rPr>
        <w:t xml:space="preserve"> base in order to support the activity of the Argentine Antarctic Programme.</w:t>
      </w:r>
    </w:p>
    <w:p w14:paraId="25C3047C" w14:textId="77777777" w:rsidR="00464B2B" w:rsidRPr="005100E4" w:rsidRDefault="00464B2B" w:rsidP="00464B2B">
      <w:pPr>
        <w:spacing w:before="240" w:after="220"/>
        <w:jc w:val="both"/>
        <w:rPr>
          <w:sz w:val="24"/>
        </w:rPr>
      </w:pPr>
      <w:r>
        <w:rPr>
          <w:color w:val="000000"/>
        </w:rPr>
        <w:t>Through the Environmental Impact Assessment process, the National Antarctic Directorate of the Argentine Republic concluded that the level of impact of the proposed activity is acceptable considering the important benefits that it would bring. Among them, it is worth highlighting improvements in environmental terms, and the possibility of expanding scientific and logistical collaboration with other Antarctic programmes, which will open up new opportunities for international scientific cooperation. On the other hand, positive effects would be verified on the scientific programme of the Argentine Antarctic Programme, due to the greater efficiency of resources and greater capacities, thus offering a better platform for scientific research currently underway in Antarctica.</w:t>
      </w:r>
    </w:p>
    <w:p w14:paraId="458FDD44" w14:textId="77777777" w:rsidR="00464B2B" w:rsidRPr="005100E4" w:rsidRDefault="00464B2B" w:rsidP="00464B2B">
      <w:pPr>
        <w:spacing w:before="480" w:after="120"/>
        <w:rPr>
          <w:sz w:val="24"/>
        </w:rPr>
      </w:pPr>
      <w:r>
        <w:rPr>
          <w:rFonts w:ascii="Arial" w:hAnsi="Arial"/>
          <w:b/>
          <w:i/>
          <w:color w:val="000000"/>
        </w:rPr>
        <w:t>Response to the ICG</w:t>
      </w:r>
    </w:p>
    <w:p w14:paraId="3B2859D6" w14:textId="77777777" w:rsidR="00464B2B" w:rsidRPr="005100E4" w:rsidRDefault="00464B2B" w:rsidP="00464B2B">
      <w:pPr>
        <w:spacing w:before="120" w:after="120"/>
        <w:jc w:val="both"/>
        <w:rPr>
          <w:sz w:val="24"/>
        </w:rPr>
      </w:pPr>
      <w:r>
        <w:rPr>
          <w:color w:val="000000"/>
        </w:rPr>
        <w:t>Argentina appreciates the comments and recommendations on the CEE presented by the ICG coordinated by New Zealand. Argentina will present a preliminary response to the comments received to date through an Information Paper and also during the presentation of the CEE on the occasion of the XXV Meeting of the CEP.</w:t>
      </w:r>
    </w:p>
    <w:p w14:paraId="160B424F" w14:textId="77777777" w:rsidR="00464B2B" w:rsidRPr="005100E4" w:rsidRDefault="00464B2B" w:rsidP="00464B2B">
      <w:pPr>
        <w:spacing w:before="120" w:after="120"/>
        <w:jc w:val="both"/>
        <w:rPr>
          <w:sz w:val="24"/>
        </w:rPr>
      </w:pPr>
      <w:r>
        <w:rPr>
          <w:color w:val="000000"/>
        </w:rPr>
        <w:t xml:space="preserve">Both the comments raised during the ICG process and any other observation made during the debates of the XXV Meeting of the CEP will be taken into account for the final CEE.  </w:t>
      </w:r>
    </w:p>
    <w:p w14:paraId="48FB82D3" w14:textId="77777777" w:rsidR="00464B2B" w:rsidRPr="00442B86" w:rsidRDefault="00464B2B" w:rsidP="00464B2B">
      <w:pPr>
        <w:spacing w:after="160" w:line="259" w:lineRule="auto"/>
        <w:jc w:val="both"/>
        <w:rPr>
          <w:rFonts w:eastAsiaTheme="minorHAnsi"/>
          <w:kern w:val="2"/>
          <w:szCs w:val="22"/>
          <w14:ligatures w14:val="standardContextual"/>
        </w:rPr>
      </w:pPr>
    </w:p>
    <w:p w14:paraId="73D6C658" w14:textId="77777777" w:rsidR="00464B2B" w:rsidRPr="00442B86" w:rsidRDefault="00464B2B" w:rsidP="00464B2B"/>
    <w:p w14:paraId="46A3F00D" w14:textId="77777777" w:rsidR="00464B2B" w:rsidRPr="00442B86" w:rsidRDefault="00464B2B" w:rsidP="00952E9F"/>
    <w:sectPr w:rsidR="00464B2B" w:rsidRPr="00442B86" w:rsidSect="00E02E88">
      <w:headerReference w:type="default" r:id="rId10"/>
      <w:footerReference w:type="default" r:id="rId11"/>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4D3C7" w14:textId="77777777" w:rsidR="00D712D0" w:rsidRDefault="00464B2B">
      <w:r>
        <w:separator/>
      </w:r>
    </w:p>
  </w:endnote>
  <w:endnote w:type="continuationSeparator" w:id="0">
    <w:p w14:paraId="6FB7BAEC" w14:textId="77777777" w:rsidR="00D712D0" w:rsidRDefault="00464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8DCAC" w14:textId="77777777" w:rsidR="00FA0B9F" w:rsidRDefault="00464B2B" w:rsidP="00CF5C82">
    <w:pPr>
      <w:framePr w:wrap="around" w:vAnchor="text" w:hAnchor="margin" w:xAlign="right" w:y="1"/>
    </w:pPr>
    <w:r>
      <w:fldChar w:fldCharType="begin"/>
    </w:r>
    <w:r>
      <w:instrText xml:space="preserve">PAGE  </w:instrText>
    </w:r>
    <w:r w:rsidR="00EF66D2">
      <w:fldChar w:fldCharType="separate"/>
    </w:r>
    <w:r>
      <w:fldChar w:fldCharType="end"/>
    </w:r>
  </w:p>
  <w:p w14:paraId="3DA6A2F4" w14:textId="77777777" w:rsidR="00FA0B9F" w:rsidRDefault="00EF66D2"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FEC06" w14:textId="77777777" w:rsidR="00FA0B9F" w:rsidRDefault="00464B2B" w:rsidP="00CF5C82">
    <w:pPr>
      <w:framePr w:wrap="around" w:vAnchor="text" w:hAnchor="margin" w:xAlign="right" w:y="1"/>
    </w:pPr>
    <w:r>
      <w:fldChar w:fldCharType="begin"/>
    </w:r>
    <w:r>
      <w:instrText xml:space="preserve">PAGE  </w:instrText>
    </w:r>
    <w:r>
      <w:fldChar w:fldCharType="separate"/>
    </w:r>
    <w:r>
      <w:t>1</w:t>
    </w:r>
    <w:r>
      <w:fldChar w:fldCharType="end"/>
    </w:r>
  </w:p>
  <w:p w14:paraId="7F8046ED" w14:textId="77777777" w:rsidR="00464B2B" w:rsidRDefault="00464B2B" w:rsidP="00464B2B">
    <w:pPr>
      <w:ind w:right="360"/>
    </w:pPr>
    <w:r>
      <w:t xml:space="preserve">Attachments: </w:t>
    </w:r>
  </w:p>
  <w:p w14:paraId="772E016F" w14:textId="2A256474" w:rsidR="00464B2B" w:rsidRPr="00464B2B" w:rsidRDefault="00464B2B" w:rsidP="00464B2B">
    <w:pPr>
      <w:ind w:right="360"/>
    </w:pPr>
    <w:r>
      <w:t xml:space="preserve">Atcm45_att056_s.docx: </w:t>
    </w:r>
    <w:proofErr w:type="spellStart"/>
    <w:r w:rsidR="00442B86" w:rsidRPr="00442B86">
      <w:t>Resumen</w:t>
    </w:r>
    <w:proofErr w:type="spellEnd"/>
    <w:r w:rsidR="00442B86" w:rsidRPr="00442B86">
      <w:t xml:space="preserve"> </w:t>
    </w:r>
    <w:proofErr w:type="spellStart"/>
    <w:r w:rsidR="00442B86" w:rsidRPr="00442B86">
      <w:t>ejecutivo</w:t>
    </w:r>
    <w:proofErr w:type="spellEnd"/>
    <w:r w:rsidR="00442B86" w:rsidRPr="00442B86">
      <w:t xml:space="preserve"> [Executive summary]</w:t>
    </w:r>
  </w:p>
  <w:p w14:paraId="187E6E76" w14:textId="55CEF455" w:rsidR="00FA0B9F" w:rsidRPr="00464B2B" w:rsidRDefault="00EF66D2" w:rsidP="00464B2B">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910A7" w14:textId="77777777" w:rsidR="00E311C9" w:rsidRDefault="00464B2B" w:rsidP="00CF5C82">
    <w:pPr>
      <w:framePr w:wrap="around" w:vAnchor="text" w:hAnchor="margin" w:xAlign="right" w:y="1"/>
    </w:pPr>
    <w:r>
      <w:fldChar w:fldCharType="begin"/>
    </w:r>
    <w:r>
      <w:instrText xml:space="preserve">PAGE  </w:instrText>
    </w:r>
    <w:r>
      <w:fldChar w:fldCharType="separate"/>
    </w:r>
    <w:r>
      <w:t>3</w:t>
    </w:r>
    <w:r>
      <w:fldChar w:fldCharType="end"/>
    </w:r>
  </w:p>
  <w:p w14:paraId="74D0838C" w14:textId="77777777" w:rsidR="00E311C9" w:rsidRDefault="00EF66D2"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A6649" w14:textId="77777777" w:rsidR="00D712D0" w:rsidRDefault="00464B2B">
      <w:r>
        <w:separator/>
      </w:r>
    </w:p>
  </w:footnote>
  <w:footnote w:type="continuationSeparator" w:id="0">
    <w:p w14:paraId="219C1421" w14:textId="77777777" w:rsidR="00D712D0" w:rsidRDefault="00464B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342" w:type="dxa"/>
      <w:jc w:val="center"/>
      <w:tblLook w:val="01E0" w:firstRow="1" w:lastRow="1" w:firstColumn="1" w:lastColumn="1" w:noHBand="0" w:noVBand="0"/>
    </w:tblPr>
    <w:tblGrid>
      <w:gridCol w:w="5672"/>
      <w:gridCol w:w="2828"/>
      <w:gridCol w:w="1242"/>
      <w:gridCol w:w="991"/>
      <w:gridCol w:w="609"/>
    </w:tblGrid>
    <w:tr w:rsidR="0047191A" w14:paraId="58A080E5" w14:textId="77777777" w:rsidTr="00AC010C">
      <w:trPr>
        <w:trHeight w:val="354"/>
        <w:jc w:val="center"/>
      </w:trPr>
      <w:tc>
        <w:tcPr>
          <w:tcW w:w="5672" w:type="dxa"/>
        </w:tcPr>
        <w:p w14:paraId="4C701FF6" w14:textId="77777777" w:rsidR="00C449BA" w:rsidRDefault="00EF66D2" w:rsidP="002A07BC"/>
      </w:tc>
      <w:tc>
        <w:tcPr>
          <w:tcW w:w="4070" w:type="dxa"/>
          <w:gridSpan w:val="2"/>
        </w:tcPr>
        <w:p w14:paraId="0486FD5B" w14:textId="77777777" w:rsidR="00C449BA" w:rsidRPr="000A4CD7" w:rsidRDefault="00464B2B" w:rsidP="002A07BC">
          <w:pPr>
            <w:jc w:val="right"/>
            <w:rPr>
              <w:b/>
              <w:sz w:val="32"/>
              <w:szCs w:val="32"/>
            </w:rPr>
          </w:pPr>
          <w:bookmarkStart w:id="1" w:name="type"/>
          <w:r>
            <w:rPr>
              <w:b/>
              <w:sz w:val="32"/>
            </w:rPr>
            <w:t>WP</w:t>
          </w:r>
          <w:bookmarkEnd w:id="1"/>
        </w:p>
      </w:tc>
      <w:tc>
        <w:tcPr>
          <w:tcW w:w="1600" w:type="dxa"/>
          <w:gridSpan w:val="2"/>
        </w:tcPr>
        <w:p w14:paraId="49B24F7E" w14:textId="77777777" w:rsidR="00C449BA" w:rsidRPr="000A4CD7" w:rsidRDefault="00464B2B" w:rsidP="002A07BC">
          <w:pPr>
            <w:rPr>
              <w:b/>
              <w:sz w:val="32"/>
              <w:szCs w:val="32"/>
            </w:rPr>
          </w:pPr>
          <w:bookmarkStart w:id="2" w:name="number"/>
          <w:r>
            <w:rPr>
              <w:b/>
              <w:sz w:val="32"/>
            </w:rPr>
            <w:t>61 rev. 1</w:t>
          </w:r>
          <w:bookmarkEnd w:id="2"/>
        </w:p>
      </w:tc>
    </w:tr>
    <w:tr w:rsidR="0047191A" w14:paraId="13DD7E25" w14:textId="77777777" w:rsidTr="00AC010C">
      <w:trPr>
        <w:trHeight w:val="2244"/>
        <w:jc w:val="center"/>
      </w:trPr>
      <w:tc>
        <w:tcPr>
          <w:tcW w:w="5672" w:type="dxa"/>
        </w:tcPr>
        <w:p w14:paraId="207DAF27" w14:textId="77777777" w:rsidR="002169D4" w:rsidRPr="00550FDE" w:rsidRDefault="00464B2B" w:rsidP="002A07BC">
          <w:pPr>
            <w:rPr>
              <w:b/>
              <w:sz w:val="28"/>
              <w:szCs w:val="28"/>
            </w:rPr>
          </w:pPr>
          <w:r>
            <w:rPr>
              <w:noProof/>
            </w:rPr>
            <w:drawing>
              <wp:inline distT="0" distB="0" distL="0" distR="0" wp14:anchorId="0076044D" wp14:editId="4A8FA516">
                <wp:extent cx="2806700" cy="1638246"/>
                <wp:effectExtent l="0" t="0" r="0" b="635"/>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01926"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40618" cy="1716413"/>
                        </a:xfrm>
                        <a:prstGeom prst="rect">
                          <a:avLst/>
                        </a:prstGeom>
                      </pic:spPr>
                    </pic:pic>
                  </a:graphicData>
                </a:graphic>
              </wp:inline>
            </w:drawing>
          </w:r>
        </w:p>
      </w:tc>
      <w:tc>
        <w:tcPr>
          <w:tcW w:w="5670" w:type="dxa"/>
          <w:gridSpan w:val="4"/>
          <w:vAlign w:val="center"/>
        </w:tcPr>
        <w:p w14:paraId="10B53C78" w14:textId="77777777" w:rsidR="002169D4" w:rsidRPr="002169D4" w:rsidRDefault="00464B2B" w:rsidP="002169D4">
          <w:pPr>
            <w:jc w:val="right"/>
            <w:rPr>
              <w:sz w:val="144"/>
              <w:szCs w:val="144"/>
            </w:rPr>
          </w:pPr>
          <w:r>
            <w:rPr>
              <w:sz w:val="144"/>
            </w:rPr>
            <w:t>ENG</w:t>
          </w:r>
        </w:p>
      </w:tc>
    </w:tr>
    <w:tr w:rsidR="0047191A" w14:paraId="1FAC8486" w14:textId="77777777" w:rsidTr="00AC010C">
      <w:trPr>
        <w:trHeight w:val="420"/>
        <w:jc w:val="center"/>
      </w:trPr>
      <w:tc>
        <w:tcPr>
          <w:tcW w:w="8500" w:type="dxa"/>
          <w:gridSpan w:val="2"/>
        </w:tcPr>
        <w:p w14:paraId="333D0DE9" w14:textId="77777777" w:rsidR="000A4CD7" w:rsidRDefault="00464B2B" w:rsidP="008D2157">
          <w:pPr>
            <w:jc w:val="right"/>
          </w:pPr>
          <w:r>
            <w:t>Agenda Item:</w:t>
          </w:r>
        </w:p>
      </w:tc>
      <w:tc>
        <w:tcPr>
          <w:tcW w:w="2233" w:type="dxa"/>
          <w:gridSpan w:val="2"/>
        </w:tcPr>
        <w:p w14:paraId="484B6D86" w14:textId="77777777" w:rsidR="000A4CD7" w:rsidRDefault="00464B2B" w:rsidP="008D2157">
          <w:pPr>
            <w:jc w:val="right"/>
          </w:pPr>
          <w:bookmarkStart w:id="3" w:name="agenda"/>
          <w:r>
            <w:t>CEP 8a</w:t>
          </w:r>
          <w:bookmarkEnd w:id="3"/>
        </w:p>
      </w:tc>
      <w:tc>
        <w:tcPr>
          <w:tcW w:w="609" w:type="dxa"/>
        </w:tcPr>
        <w:p w14:paraId="10B58B45" w14:textId="77777777" w:rsidR="000A4CD7" w:rsidRDefault="00EF66D2" w:rsidP="00387A65">
          <w:pPr>
            <w:jc w:val="right"/>
          </w:pPr>
        </w:p>
      </w:tc>
    </w:tr>
    <w:tr w:rsidR="0047191A" w14:paraId="2A4F2875" w14:textId="77777777" w:rsidTr="00AC010C">
      <w:trPr>
        <w:trHeight w:val="408"/>
        <w:jc w:val="center"/>
      </w:trPr>
      <w:tc>
        <w:tcPr>
          <w:tcW w:w="8500" w:type="dxa"/>
          <w:gridSpan w:val="2"/>
        </w:tcPr>
        <w:p w14:paraId="3864D3D5" w14:textId="77777777" w:rsidR="000A4CD7" w:rsidRDefault="00464B2B" w:rsidP="008D2157">
          <w:pPr>
            <w:jc w:val="right"/>
          </w:pPr>
          <w:r>
            <w:t>Submitted by:</w:t>
          </w:r>
        </w:p>
      </w:tc>
      <w:tc>
        <w:tcPr>
          <w:tcW w:w="2233" w:type="dxa"/>
          <w:gridSpan w:val="2"/>
        </w:tcPr>
        <w:p w14:paraId="0F1F7357" w14:textId="77777777" w:rsidR="000A4CD7" w:rsidRDefault="00464B2B" w:rsidP="008D2157">
          <w:pPr>
            <w:jc w:val="right"/>
          </w:pPr>
          <w:bookmarkStart w:id="4" w:name="party"/>
          <w:r>
            <w:t>Argentina</w:t>
          </w:r>
          <w:bookmarkEnd w:id="4"/>
        </w:p>
      </w:tc>
      <w:tc>
        <w:tcPr>
          <w:tcW w:w="609" w:type="dxa"/>
        </w:tcPr>
        <w:p w14:paraId="449885BB" w14:textId="77777777" w:rsidR="000A4CD7" w:rsidRDefault="00EF66D2" w:rsidP="00387A65">
          <w:pPr>
            <w:jc w:val="right"/>
          </w:pPr>
        </w:p>
      </w:tc>
    </w:tr>
    <w:tr w:rsidR="0047191A" w14:paraId="339D6877" w14:textId="77777777" w:rsidTr="00AC010C">
      <w:trPr>
        <w:trHeight w:val="420"/>
        <w:jc w:val="center"/>
      </w:trPr>
      <w:tc>
        <w:tcPr>
          <w:tcW w:w="8500" w:type="dxa"/>
          <w:gridSpan w:val="2"/>
        </w:tcPr>
        <w:p w14:paraId="39CFDBF5" w14:textId="77777777" w:rsidR="000A4CD7" w:rsidRDefault="00464B2B" w:rsidP="008D2157">
          <w:pPr>
            <w:jc w:val="right"/>
          </w:pPr>
          <w:r>
            <w:t>Original:</w:t>
          </w:r>
        </w:p>
      </w:tc>
      <w:tc>
        <w:tcPr>
          <w:tcW w:w="2233" w:type="dxa"/>
          <w:gridSpan w:val="2"/>
        </w:tcPr>
        <w:p w14:paraId="76361C78" w14:textId="77777777" w:rsidR="000A4CD7" w:rsidRDefault="00464B2B" w:rsidP="008D2157">
          <w:pPr>
            <w:jc w:val="right"/>
          </w:pPr>
          <w:bookmarkStart w:id="5" w:name="language"/>
          <w:r>
            <w:t>Spanish</w:t>
          </w:r>
          <w:bookmarkEnd w:id="5"/>
        </w:p>
      </w:tc>
      <w:tc>
        <w:tcPr>
          <w:tcW w:w="609" w:type="dxa"/>
        </w:tcPr>
        <w:p w14:paraId="14EF18F7" w14:textId="77777777" w:rsidR="000A4CD7" w:rsidRDefault="00EF66D2" w:rsidP="00387A65">
          <w:pPr>
            <w:jc w:val="right"/>
          </w:pPr>
        </w:p>
      </w:tc>
    </w:tr>
    <w:tr w:rsidR="0047191A" w14:paraId="402EB4C2" w14:textId="77777777" w:rsidTr="00AC010C">
      <w:trPr>
        <w:trHeight w:val="420"/>
        <w:jc w:val="center"/>
      </w:trPr>
      <w:tc>
        <w:tcPr>
          <w:tcW w:w="8500" w:type="dxa"/>
          <w:gridSpan w:val="2"/>
        </w:tcPr>
        <w:p w14:paraId="38BD6191" w14:textId="77777777" w:rsidR="00965EDE" w:rsidRDefault="00464B2B" w:rsidP="008D2157">
          <w:pPr>
            <w:jc w:val="right"/>
          </w:pPr>
          <w:r>
            <w:t>Submitted:</w:t>
          </w:r>
        </w:p>
      </w:tc>
      <w:tc>
        <w:tcPr>
          <w:tcW w:w="2233" w:type="dxa"/>
          <w:gridSpan w:val="2"/>
        </w:tcPr>
        <w:p w14:paraId="5454C454" w14:textId="77777777" w:rsidR="00965EDE" w:rsidRDefault="00464B2B" w:rsidP="008D2157">
          <w:pPr>
            <w:jc w:val="right"/>
          </w:pPr>
          <w:bookmarkStart w:id="6" w:name="date_submission"/>
          <w:r>
            <w:t>28 Apr 2023</w:t>
          </w:r>
          <w:bookmarkEnd w:id="6"/>
        </w:p>
      </w:tc>
      <w:tc>
        <w:tcPr>
          <w:tcW w:w="609" w:type="dxa"/>
        </w:tcPr>
        <w:p w14:paraId="52FC9D63" w14:textId="77777777" w:rsidR="00965EDE" w:rsidRDefault="00EF66D2" w:rsidP="00387A65">
          <w:pPr>
            <w:jc w:val="right"/>
          </w:pPr>
        </w:p>
      </w:tc>
    </w:tr>
  </w:tbl>
  <w:p w14:paraId="5AD94F7D" w14:textId="77777777" w:rsidR="00AE5DD0" w:rsidRDefault="00EF66D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47191A" w14:paraId="0D49822A" w14:textId="77777777">
      <w:trPr>
        <w:trHeight w:val="354"/>
        <w:jc w:val="center"/>
      </w:trPr>
      <w:tc>
        <w:tcPr>
          <w:tcW w:w="9694" w:type="dxa"/>
        </w:tcPr>
        <w:p w14:paraId="39DE58C7" w14:textId="68398E15" w:rsidR="00AE5DD0" w:rsidRPr="000A4CD7" w:rsidRDefault="00464B2B" w:rsidP="00C26F2D">
          <w:pPr>
            <w:jc w:val="right"/>
            <w:rPr>
              <w:b/>
              <w:sz w:val="32"/>
              <w:szCs w:val="32"/>
            </w:rPr>
          </w:pPr>
          <w:r>
            <w:rPr>
              <w:b/>
              <w:sz w:val="32"/>
            </w:rPr>
            <w:t>WP</w:t>
          </w:r>
        </w:p>
      </w:tc>
      <w:tc>
        <w:tcPr>
          <w:tcW w:w="1332" w:type="dxa"/>
        </w:tcPr>
        <w:p w14:paraId="2200A1BD" w14:textId="6C04C5B7" w:rsidR="00AE5DD0" w:rsidRPr="000A4CD7" w:rsidRDefault="00464B2B" w:rsidP="00080F4C">
          <w:pPr>
            <w:rPr>
              <w:b/>
              <w:sz w:val="32"/>
              <w:szCs w:val="32"/>
            </w:rPr>
          </w:pPr>
          <w:r>
            <w:rPr>
              <w:b/>
              <w:sz w:val="32"/>
            </w:rPr>
            <w:t>61 rev.1</w:t>
          </w:r>
        </w:p>
      </w:tc>
    </w:tr>
  </w:tbl>
  <w:p w14:paraId="58134911" w14:textId="77777777" w:rsidR="00AE5DD0" w:rsidRDefault="00EF66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6C300146">
      <w:start w:val="1"/>
      <w:numFmt w:val="bullet"/>
      <w:pStyle w:val="ATSBullet1"/>
      <w:lvlText w:val=""/>
      <w:lvlJc w:val="left"/>
      <w:pPr>
        <w:tabs>
          <w:tab w:val="num" w:pos="360"/>
        </w:tabs>
        <w:ind w:left="360" w:hanging="360"/>
      </w:pPr>
      <w:rPr>
        <w:rFonts w:ascii="Symbol" w:hAnsi="Symbol" w:hint="default"/>
        <w:color w:val="auto"/>
      </w:rPr>
    </w:lvl>
    <w:lvl w:ilvl="1" w:tplc="2EAE2AE0" w:tentative="1">
      <w:start w:val="1"/>
      <w:numFmt w:val="bullet"/>
      <w:lvlText w:val="o"/>
      <w:lvlJc w:val="left"/>
      <w:pPr>
        <w:tabs>
          <w:tab w:val="num" w:pos="1440"/>
        </w:tabs>
        <w:ind w:left="1440" w:hanging="360"/>
      </w:pPr>
      <w:rPr>
        <w:rFonts w:ascii="Courier New" w:hAnsi="Courier New" w:cs="Courier New" w:hint="default"/>
      </w:rPr>
    </w:lvl>
    <w:lvl w:ilvl="2" w:tplc="1DF4967C" w:tentative="1">
      <w:start w:val="1"/>
      <w:numFmt w:val="bullet"/>
      <w:lvlText w:val=""/>
      <w:lvlJc w:val="left"/>
      <w:pPr>
        <w:tabs>
          <w:tab w:val="num" w:pos="2160"/>
        </w:tabs>
        <w:ind w:left="2160" w:hanging="360"/>
      </w:pPr>
      <w:rPr>
        <w:rFonts w:ascii="Wingdings" w:hAnsi="Wingdings" w:hint="default"/>
      </w:rPr>
    </w:lvl>
    <w:lvl w:ilvl="3" w:tplc="BC3CBF18" w:tentative="1">
      <w:start w:val="1"/>
      <w:numFmt w:val="bullet"/>
      <w:lvlText w:val=""/>
      <w:lvlJc w:val="left"/>
      <w:pPr>
        <w:tabs>
          <w:tab w:val="num" w:pos="2880"/>
        </w:tabs>
        <w:ind w:left="2880" w:hanging="360"/>
      </w:pPr>
      <w:rPr>
        <w:rFonts w:ascii="Symbol" w:hAnsi="Symbol" w:hint="default"/>
      </w:rPr>
    </w:lvl>
    <w:lvl w:ilvl="4" w:tplc="877E94C0" w:tentative="1">
      <w:start w:val="1"/>
      <w:numFmt w:val="bullet"/>
      <w:lvlText w:val="o"/>
      <w:lvlJc w:val="left"/>
      <w:pPr>
        <w:tabs>
          <w:tab w:val="num" w:pos="3600"/>
        </w:tabs>
        <w:ind w:left="3600" w:hanging="360"/>
      </w:pPr>
      <w:rPr>
        <w:rFonts w:ascii="Courier New" w:hAnsi="Courier New" w:cs="Courier New" w:hint="default"/>
      </w:rPr>
    </w:lvl>
    <w:lvl w:ilvl="5" w:tplc="228CAA66" w:tentative="1">
      <w:start w:val="1"/>
      <w:numFmt w:val="bullet"/>
      <w:lvlText w:val=""/>
      <w:lvlJc w:val="left"/>
      <w:pPr>
        <w:tabs>
          <w:tab w:val="num" w:pos="4320"/>
        </w:tabs>
        <w:ind w:left="4320" w:hanging="360"/>
      </w:pPr>
      <w:rPr>
        <w:rFonts w:ascii="Wingdings" w:hAnsi="Wingdings" w:hint="default"/>
      </w:rPr>
    </w:lvl>
    <w:lvl w:ilvl="6" w:tplc="C040EB38" w:tentative="1">
      <w:start w:val="1"/>
      <w:numFmt w:val="bullet"/>
      <w:lvlText w:val=""/>
      <w:lvlJc w:val="left"/>
      <w:pPr>
        <w:tabs>
          <w:tab w:val="num" w:pos="5040"/>
        </w:tabs>
        <w:ind w:left="5040" w:hanging="360"/>
      </w:pPr>
      <w:rPr>
        <w:rFonts w:ascii="Symbol" w:hAnsi="Symbol" w:hint="default"/>
      </w:rPr>
    </w:lvl>
    <w:lvl w:ilvl="7" w:tplc="46E2B4FE" w:tentative="1">
      <w:start w:val="1"/>
      <w:numFmt w:val="bullet"/>
      <w:lvlText w:val="o"/>
      <w:lvlJc w:val="left"/>
      <w:pPr>
        <w:tabs>
          <w:tab w:val="num" w:pos="5760"/>
        </w:tabs>
        <w:ind w:left="5760" w:hanging="360"/>
      </w:pPr>
      <w:rPr>
        <w:rFonts w:ascii="Courier New" w:hAnsi="Courier New" w:cs="Courier New" w:hint="default"/>
      </w:rPr>
    </w:lvl>
    <w:lvl w:ilvl="8" w:tplc="02FCC0F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98C06BEA">
      <w:start w:val="1"/>
      <w:numFmt w:val="decimal"/>
      <w:lvlText w:val="%1)"/>
      <w:lvlJc w:val="left"/>
      <w:pPr>
        <w:tabs>
          <w:tab w:val="num" w:pos="340"/>
        </w:tabs>
        <w:ind w:left="340" w:hanging="340"/>
      </w:pPr>
      <w:rPr>
        <w:rFonts w:hint="default"/>
      </w:rPr>
    </w:lvl>
    <w:lvl w:ilvl="1" w:tplc="66BA4D3C" w:tentative="1">
      <w:start w:val="1"/>
      <w:numFmt w:val="lowerLetter"/>
      <w:lvlText w:val="%2."/>
      <w:lvlJc w:val="left"/>
      <w:pPr>
        <w:tabs>
          <w:tab w:val="num" w:pos="1440"/>
        </w:tabs>
        <w:ind w:left="1440" w:hanging="360"/>
      </w:pPr>
    </w:lvl>
    <w:lvl w:ilvl="2" w:tplc="8A880CDA" w:tentative="1">
      <w:start w:val="1"/>
      <w:numFmt w:val="lowerRoman"/>
      <w:lvlText w:val="%3."/>
      <w:lvlJc w:val="right"/>
      <w:pPr>
        <w:tabs>
          <w:tab w:val="num" w:pos="2160"/>
        </w:tabs>
        <w:ind w:left="2160" w:hanging="180"/>
      </w:pPr>
    </w:lvl>
    <w:lvl w:ilvl="3" w:tplc="71C6466E" w:tentative="1">
      <w:start w:val="1"/>
      <w:numFmt w:val="decimal"/>
      <w:lvlText w:val="%4."/>
      <w:lvlJc w:val="left"/>
      <w:pPr>
        <w:tabs>
          <w:tab w:val="num" w:pos="2880"/>
        </w:tabs>
        <w:ind w:left="2880" w:hanging="360"/>
      </w:pPr>
    </w:lvl>
    <w:lvl w:ilvl="4" w:tplc="640C8FE8" w:tentative="1">
      <w:start w:val="1"/>
      <w:numFmt w:val="lowerLetter"/>
      <w:lvlText w:val="%5."/>
      <w:lvlJc w:val="left"/>
      <w:pPr>
        <w:tabs>
          <w:tab w:val="num" w:pos="3600"/>
        </w:tabs>
        <w:ind w:left="3600" w:hanging="360"/>
      </w:pPr>
    </w:lvl>
    <w:lvl w:ilvl="5" w:tplc="4A2835E0" w:tentative="1">
      <w:start w:val="1"/>
      <w:numFmt w:val="lowerRoman"/>
      <w:lvlText w:val="%6."/>
      <w:lvlJc w:val="right"/>
      <w:pPr>
        <w:tabs>
          <w:tab w:val="num" w:pos="4320"/>
        </w:tabs>
        <w:ind w:left="4320" w:hanging="180"/>
      </w:pPr>
    </w:lvl>
    <w:lvl w:ilvl="6" w:tplc="528E731E" w:tentative="1">
      <w:start w:val="1"/>
      <w:numFmt w:val="decimal"/>
      <w:lvlText w:val="%7."/>
      <w:lvlJc w:val="left"/>
      <w:pPr>
        <w:tabs>
          <w:tab w:val="num" w:pos="5040"/>
        </w:tabs>
        <w:ind w:left="5040" w:hanging="360"/>
      </w:pPr>
    </w:lvl>
    <w:lvl w:ilvl="7" w:tplc="B5669780" w:tentative="1">
      <w:start w:val="1"/>
      <w:numFmt w:val="lowerLetter"/>
      <w:lvlText w:val="%8."/>
      <w:lvlJc w:val="left"/>
      <w:pPr>
        <w:tabs>
          <w:tab w:val="num" w:pos="5760"/>
        </w:tabs>
        <w:ind w:left="5760" w:hanging="360"/>
      </w:pPr>
    </w:lvl>
    <w:lvl w:ilvl="8" w:tplc="B3787284"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C1405A9C">
      <w:start w:val="1"/>
      <w:numFmt w:val="decimal"/>
      <w:lvlText w:val="%1."/>
      <w:lvlJc w:val="left"/>
      <w:pPr>
        <w:tabs>
          <w:tab w:val="num" w:pos="1057"/>
        </w:tabs>
        <w:ind w:left="1057" w:hanging="360"/>
      </w:pPr>
      <w:rPr>
        <w:rFonts w:hint="default"/>
      </w:rPr>
    </w:lvl>
    <w:lvl w:ilvl="1" w:tplc="A118A5E8" w:tentative="1">
      <w:start w:val="1"/>
      <w:numFmt w:val="lowerLetter"/>
      <w:lvlText w:val="%2."/>
      <w:lvlJc w:val="left"/>
      <w:pPr>
        <w:tabs>
          <w:tab w:val="num" w:pos="2137"/>
        </w:tabs>
        <w:ind w:left="2137" w:hanging="360"/>
      </w:pPr>
    </w:lvl>
    <w:lvl w:ilvl="2" w:tplc="21CAC9F2" w:tentative="1">
      <w:start w:val="1"/>
      <w:numFmt w:val="lowerRoman"/>
      <w:lvlText w:val="%3."/>
      <w:lvlJc w:val="right"/>
      <w:pPr>
        <w:tabs>
          <w:tab w:val="num" w:pos="2857"/>
        </w:tabs>
        <w:ind w:left="2857" w:hanging="180"/>
      </w:pPr>
    </w:lvl>
    <w:lvl w:ilvl="3" w:tplc="DAFC9C18" w:tentative="1">
      <w:start w:val="1"/>
      <w:numFmt w:val="decimal"/>
      <w:lvlText w:val="%4."/>
      <w:lvlJc w:val="left"/>
      <w:pPr>
        <w:tabs>
          <w:tab w:val="num" w:pos="3577"/>
        </w:tabs>
        <w:ind w:left="3577" w:hanging="360"/>
      </w:pPr>
    </w:lvl>
    <w:lvl w:ilvl="4" w:tplc="ADF29348" w:tentative="1">
      <w:start w:val="1"/>
      <w:numFmt w:val="lowerLetter"/>
      <w:lvlText w:val="%5."/>
      <w:lvlJc w:val="left"/>
      <w:pPr>
        <w:tabs>
          <w:tab w:val="num" w:pos="4297"/>
        </w:tabs>
        <w:ind w:left="4297" w:hanging="360"/>
      </w:pPr>
    </w:lvl>
    <w:lvl w:ilvl="5" w:tplc="A1141DBE" w:tentative="1">
      <w:start w:val="1"/>
      <w:numFmt w:val="lowerRoman"/>
      <w:lvlText w:val="%6."/>
      <w:lvlJc w:val="right"/>
      <w:pPr>
        <w:tabs>
          <w:tab w:val="num" w:pos="5017"/>
        </w:tabs>
        <w:ind w:left="5017" w:hanging="180"/>
      </w:pPr>
    </w:lvl>
    <w:lvl w:ilvl="6" w:tplc="537062AE" w:tentative="1">
      <w:start w:val="1"/>
      <w:numFmt w:val="decimal"/>
      <w:lvlText w:val="%7."/>
      <w:lvlJc w:val="left"/>
      <w:pPr>
        <w:tabs>
          <w:tab w:val="num" w:pos="5737"/>
        </w:tabs>
        <w:ind w:left="5737" w:hanging="360"/>
      </w:pPr>
    </w:lvl>
    <w:lvl w:ilvl="7" w:tplc="3C90D584" w:tentative="1">
      <w:start w:val="1"/>
      <w:numFmt w:val="lowerLetter"/>
      <w:lvlText w:val="%8."/>
      <w:lvlJc w:val="left"/>
      <w:pPr>
        <w:tabs>
          <w:tab w:val="num" w:pos="6457"/>
        </w:tabs>
        <w:ind w:left="6457" w:hanging="360"/>
      </w:pPr>
    </w:lvl>
    <w:lvl w:ilvl="8" w:tplc="B906A5A6"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6632E9A0">
      <w:start w:val="1"/>
      <w:numFmt w:val="decimal"/>
      <w:pStyle w:val="ATSNumber1"/>
      <w:lvlText w:val="%1)"/>
      <w:lvlJc w:val="left"/>
      <w:pPr>
        <w:tabs>
          <w:tab w:val="num" w:pos="720"/>
        </w:tabs>
        <w:ind w:left="720" w:hanging="360"/>
      </w:pPr>
    </w:lvl>
    <w:lvl w:ilvl="1" w:tplc="3D6CD78E" w:tentative="1">
      <w:start w:val="1"/>
      <w:numFmt w:val="lowerLetter"/>
      <w:lvlText w:val="%2."/>
      <w:lvlJc w:val="left"/>
      <w:pPr>
        <w:tabs>
          <w:tab w:val="num" w:pos="1440"/>
        </w:tabs>
        <w:ind w:left="1440" w:hanging="360"/>
      </w:pPr>
    </w:lvl>
    <w:lvl w:ilvl="2" w:tplc="F7E6D758" w:tentative="1">
      <w:start w:val="1"/>
      <w:numFmt w:val="lowerRoman"/>
      <w:lvlText w:val="%3."/>
      <w:lvlJc w:val="right"/>
      <w:pPr>
        <w:tabs>
          <w:tab w:val="num" w:pos="2160"/>
        </w:tabs>
        <w:ind w:left="2160" w:hanging="180"/>
      </w:pPr>
    </w:lvl>
    <w:lvl w:ilvl="3" w:tplc="D11E0E3A" w:tentative="1">
      <w:start w:val="1"/>
      <w:numFmt w:val="decimal"/>
      <w:lvlText w:val="%4."/>
      <w:lvlJc w:val="left"/>
      <w:pPr>
        <w:tabs>
          <w:tab w:val="num" w:pos="2880"/>
        </w:tabs>
        <w:ind w:left="2880" w:hanging="360"/>
      </w:pPr>
    </w:lvl>
    <w:lvl w:ilvl="4" w:tplc="2D8A7B80" w:tentative="1">
      <w:start w:val="1"/>
      <w:numFmt w:val="lowerLetter"/>
      <w:lvlText w:val="%5."/>
      <w:lvlJc w:val="left"/>
      <w:pPr>
        <w:tabs>
          <w:tab w:val="num" w:pos="3600"/>
        </w:tabs>
        <w:ind w:left="3600" w:hanging="360"/>
      </w:pPr>
    </w:lvl>
    <w:lvl w:ilvl="5" w:tplc="4950DC5C" w:tentative="1">
      <w:start w:val="1"/>
      <w:numFmt w:val="lowerRoman"/>
      <w:lvlText w:val="%6."/>
      <w:lvlJc w:val="right"/>
      <w:pPr>
        <w:tabs>
          <w:tab w:val="num" w:pos="4320"/>
        </w:tabs>
        <w:ind w:left="4320" w:hanging="180"/>
      </w:pPr>
    </w:lvl>
    <w:lvl w:ilvl="6" w:tplc="5B343B46" w:tentative="1">
      <w:start w:val="1"/>
      <w:numFmt w:val="decimal"/>
      <w:lvlText w:val="%7."/>
      <w:lvlJc w:val="left"/>
      <w:pPr>
        <w:tabs>
          <w:tab w:val="num" w:pos="5040"/>
        </w:tabs>
        <w:ind w:left="5040" w:hanging="360"/>
      </w:pPr>
    </w:lvl>
    <w:lvl w:ilvl="7" w:tplc="7BA61956" w:tentative="1">
      <w:start w:val="1"/>
      <w:numFmt w:val="lowerLetter"/>
      <w:lvlText w:val="%8."/>
      <w:lvlJc w:val="left"/>
      <w:pPr>
        <w:tabs>
          <w:tab w:val="num" w:pos="5760"/>
        </w:tabs>
        <w:ind w:left="5760" w:hanging="360"/>
      </w:pPr>
    </w:lvl>
    <w:lvl w:ilvl="8" w:tplc="4EA8F410"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DC9A92A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7474E298" w:tentative="1">
      <w:start w:val="1"/>
      <w:numFmt w:val="bullet"/>
      <w:lvlText w:val="o"/>
      <w:lvlJc w:val="left"/>
      <w:pPr>
        <w:tabs>
          <w:tab w:val="num" w:pos="2517"/>
        </w:tabs>
        <w:ind w:left="2517" w:hanging="360"/>
      </w:pPr>
      <w:rPr>
        <w:rFonts w:ascii="Courier New" w:hAnsi="Courier New" w:cs="Courier New" w:hint="default"/>
      </w:rPr>
    </w:lvl>
    <w:lvl w:ilvl="2" w:tplc="6374E4B6" w:tentative="1">
      <w:start w:val="1"/>
      <w:numFmt w:val="bullet"/>
      <w:lvlText w:val=""/>
      <w:lvlJc w:val="left"/>
      <w:pPr>
        <w:tabs>
          <w:tab w:val="num" w:pos="3237"/>
        </w:tabs>
        <w:ind w:left="3237" w:hanging="360"/>
      </w:pPr>
      <w:rPr>
        <w:rFonts w:ascii="Wingdings" w:hAnsi="Wingdings" w:hint="default"/>
      </w:rPr>
    </w:lvl>
    <w:lvl w:ilvl="3" w:tplc="A5D6893E" w:tentative="1">
      <w:start w:val="1"/>
      <w:numFmt w:val="bullet"/>
      <w:lvlText w:val=""/>
      <w:lvlJc w:val="left"/>
      <w:pPr>
        <w:tabs>
          <w:tab w:val="num" w:pos="3957"/>
        </w:tabs>
        <w:ind w:left="3957" w:hanging="360"/>
      </w:pPr>
      <w:rPr>
        <w:rFonts w:ascii="Symbol" w:hAnsi="Symbol" w:hint="default"/>
      </w:rPr>
    </w:lvl>
    <w:lvl w:ilvl="4" w:tplc="92124CCE" w:tentative="1">
      <w:start w:val="1"/>
      <w:numFmt w:val="bullet"/>
      <w:lvlText w:val="o"/>
      <w:lvlJc w:val="left"/>
      <w:pPr>
        <w:tabs>
          <w:tab w:val="num" w:pos="4677"/>
        </w:tabs>
        <w:ind w:left="4677" w:hanging="360"/>
      </w:pPr>
      <w:rPr>
        <w:rFonts w:ascii="Courier New" w:hAnsi="Courier New" w:cs="Courier New" w:hint="default"/>
      </w:rPr>
    </w:lvl>
    <w:lvl w:ilvl="5" w:tplc="F1C83D92" w:tentative="1">
      <w:start w:val="1"/>
      <w:numFmt w:val="bullet"/>
      <w:lvlText w:val=""/>
      <w:lvlJc w:val="left"/>
      <w:pPr>
        <w:tabs>
          <w:tab w:val="num" w:pos="5397"/>
        </w:tabs>
        <w:ind w:left="5397" w:hanging="360"/>
      </w:pPr>
      <w:rPr>
        <w:rFonts w:ascii="Wingdings" w:hAnsi="Wingdings" w:hint="default"/>
      </w:rPr>
    </w:lvl>
    <w:lvl w:ilvl="6" w:tplc="7E029BEC" w:tentative="1">
      <w:start w:val="1"/>
      <w:numFmt w:val="bullet"/>
      <w:lvlText w:val=""/>
      <w:lvlJc w:val="left"/>
      <w:pPr>
        <w:tabs>
          <w:tab w:val="num" w:pos="6117"/>
        </w:tabs>
        <w:ind w:left="6117" w:hanging="360"/>
      </w:pPr>
      <w:rPr>
        <w:rFonts w:ascii="Symbol" w:hAnsi="Symbol" w:hint="default"/>
      </w:rPr>
    </w:lvl>
    <w:lvl w:ilvl="7" w:tplc="3632AC82" w:tentative="1">
      <w:start w:val="1"/>
      <w:numFmt w:val="bullet"/>
      <w:lvlText w:val="o"/>
      <w:lvlJc w:val="left"/>
      <w:pPr>
        <w:tabs>
          <w:tab w:val="num" w:pos="6837"/>
        </w:tabs>
        <w:ind w:left="6837" w:hanging="360"/>
      </w:pPr>
      <w:rPr>
        <w:rFonts w:ascii="Courier New" w:hAnsi="Courier New" w:cs="Courier New" w:hint="default"/>
      </w:rPr>
    </w:lvl>
    <w:lvl w:ilvl="8" w:tplc="9D8A3950"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04D23330">
      <w:start w:val="1"/>
      <w:numFmt w:val="decimal"/>
      <w:pStyle w:val="ATSNumber2"/>
      <w:lvlText w:val="%1."/>
      <w:lvlJc w:val="left"/>
      <w:pPr>
        <w:tabs>
          <w:tab w:val="num" w:pos="720"/>
        </w:tabs>
        <w:ind w:left="720" w:hanging="360"/>
      </w:pPr>
      <w:rPr>
        <w:rFonts w:hint="default"/>
      </w:rPr>
    </w:lvl>
    <w:lvl w:ilvl="1" w:tplc="08CE409A" w:tentative="1">
      <w:start w:val="1"/>
      <w:numFmt w:val="lowerLetter"/>
      <w:lvlText w:val="%2."/>
      <w:lvlJc w:val="left"/>
      <w:pPr>
        <w:tabs>
          <w:tab w:val="num" w:pos="1440"/>
        </w:tabs>
        <w:ind w:left="1440" w:hanging="360"/>
      </w:pPr>
    </w:lvl>
    <w:lvl w:ilvl="2" w:tplc="C44AFA5A" w:tentative="1">
      <w:start w:val="1"/>
      <w:numFmt w:val="lowerRoman"/>
      <w:lvlText w:val="%3."/>
      <w:lvlJc w:val="right"/>
      <w:pPr>
        <w:tabs>
          <w:tab w:val="num" w:pos="2160"/>
        </w:tabs>
        <w:ind w:left="2160" w:hanging="180"/>
      </w:pPr>
    </w:lvl>
    <w:lvl w:ilvl="3" w:tplc="11C2C0BA" w:tentative="1">
      <w:start w:val="1"/>
      <w:numFmt w:val="decimal"/>
      <w:lvlText w:val="%4."/>
      <w:lvlJc w:val="left"/>
      <w:pPr>
        <w:tabs>
          <w:tab w:val="num" w:pos="2880"/>
        </w:tabs>
        <w:ind w:left="2880" w:hanging="360"/>
      </w:pPr>
    </w:lvl>
    <w:lvl w:ilvl="4" w:tplc="1236F68E" w:tentative="1">
      <w:start w:val="1"/>
      <w:numFmt w:val="lowerLetter"/>
      <w:lvlText w:val="%5."/>
      <w:lvlJc w:val="left"/>
      <w:pPr>
        <w:tabs>
          <w:tab w:val="num" w:pos="3600"/>
        </w:tabs>
        <w:ind w:left="3600" w:hanging="360"/>
      </w:pPr>
    </w:lvl>
    <w:lvl w:ilvl="5" w:tplc="3FE83224" w:tentative="1">
      <w:start w:val="1"/>
      <w:numFmt w:val="lowerRoman"/>
      <w:lvlText w:val="%6."/>
      <w:lvlJc w:val="right"/>
      <w:pPr>
        <w:tabs>
          <w:tab w:val="num" w:pos="4320"/>
        </w:tabs>
        <w:ind w:left="4320" w:hanging="180"/>
      </w:pPr>
    </w:lvl>
    <w:lvl w:ilvl="6" w:tplc="EC8C58AC" w:tentative="1">
      <w:start w:val="1"/>
      <w:numFmt w:val="decimal"/>
      <w:lvlText w:val="%7."/>
      <w:lvlJc w:val="left"/>
      <w:pPr>
        <w:tabs>
          <w:tab w:val="num" w:pos="5040"/>
        </w:tabs>
        <w:ind w:left="5040" w:hanging="360"/>
      </w:pPr>
    </w:lvl>
    <w:lvl w:ilvl="7" w:tplc="1CD2E6B4" w:tentative="1">
      <w:start w:val="1"/>
      <w:numFmt w:val="lowerLetter"/>
      <w:lvlText w:val="%8."/>
      <w:lvlJc w:val="left"/>
      <w:pPr>
        <w:tabs>
          <w:tab w:val="num" w:pos="5760"/>
        </w:tabs>
        <w:ind w:left="5760" w:hanging="360"/>
      </w:pPr>
    </w:lvl>
    <w:lvl w:ilvl="8" w:tplc="40AC58D6" w:tentative="1">
      <w:start w:val="1"/>
      <w:numFmt w:val="lowerRoman"/>
      <w:lvlText w:val="%9."/>
      <w:lvlJc w:val="right"/>
      <w:pPr>
        <w:tabs>
          <w:tab w:val="num" w:pos="6480"/>
        </w:tabs>
        <w:ind w:left="6480" w:hanging="180"/>
      </w:pPr>
    </w:lvl>
  </w:abstractNum>
  <w:num w:numId="1" w16cid:durableId="1752433789">
    <w:abstractNumId w:val="9"/>
  </w:num>
  <w:num w:numId="2" w16cid:durableId="1155222621">
    <w:abstractNumId w:val="7"/>
  </w:num>
  <w:num w:numId="3" w16cid:durableId="791679119">
    <w:abstractNumId w:val="6"/>
  </w:num>
  <w:num w:numId="4" w16cid:durableId="983044431">
    <w:abstractNumId w:val="5"/>
  </w:num>
  <w:num w:numId="5" w16cid:durableId="826751858">
    <w:abstractNumId w:val="4"/>
  </w:num>
  <w:num w:numId="6" w16cid:durableId="1326057875">
    <w:abstractNumId w:val="8"/>
  </w:num>
  <w:num w:numId="7" w16cid:durableId="741028755">
    <w:abstractNumId w:val="3"/>
  </w:num>
  <w:num w:numId="8" w16cid:durableId="1454058380">
    <w:abstractNumId w:val="2"/>
  </w:num>
  <w:num w:numId="9" w16cid:durableId="1738702603">
    <w:abstractNumId w:val="1"/>
  </w:num>
  <w:num w:numId="10" w16cid:durableId="1245454457">
    <w:abstractNumId w:val="0"/>
  </w:num>
  <w:num w:numId="11" w16cid:durableId="859128554">
    <w:abstractNumId w:val="11"/>
  </w:num>
  <w:num w:numId="12" w16cid:durableId="646933146">
    <w:abstractNumId w:val="15"/>
  </w:num>
  <w:num w:numId="13" w16cid:durableId="182746398">
    <w:abstractNumId w:val="14"/>
  </w:num>
  <w:num w:numId="14" w16cid:durableId="613556941">
    <w:abstractNumId w:val="12"/>
  </w:num>
  <w:num w:numId="15" w16cid:durableId="1594631470">
    <w:abstractNumId w:val="13"/>
  </w:num>
  <w:num w:numId="16" w16cid:durableId="445008809">
    <w:abstractNumId w:val="10"/>
  </w:num>
  <w:num w:numId="17" w16cid:durableId="676074345">
    <w:abstractNumId w:val="11"/>
  </w:num>
  <w:num w:numId="18" w16cid:durableId="2000376560">
    <w:abstractNumId w:val="15"/>
  </w:num>
  <w:num w:numId="19" w16cid:durableId="2105611977">
    <w:abstractNumId w:val="14"/>
  </w:num>
  <w:num w:numId="20" w16cid:durableId="19972997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91A"/>
    <w:rsid w:val="00442B86"/>
    <w:rsid w:val="00464B2B"/>
    <w:rsid w:val="0047191A"/>
    <w:rsid w:val="00D712D0"/>
    <w:rsid w:val="00EF66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1392AD"/>
  <w15:chartTrackingRefBased/>
  <w15:docId w15:val="{4B1C85BD-924E-4CA1-B2F3-5AD4633D8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eastAsia="en-US"/>
    </w:rPr>
  </w:style>
  <w:style w:type="paragraph" w:styleId="Ttulo1">
    <w:name w:val="heading 1"/>
    <w:basedOn w:val="Normal"/>
    <w:next w:val="Normal"/>
    <w:qFormat/>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qFormat/>
    <w:rsid w:val="001B789F"/>
    <w:pPr>
      <w:keepNext/>
      <w:spacing w:before="120" w:after="240"/>
      <w:outlineLvl w:val="1"/>
    </w:pPr>
    <w:rPr>
      <w:b/>
      <w:i/>
      <w:sz w:val="28"/>
      <w:szCs w:val="20"/>
    </w:rPr>
  </w:style>
  <w:style w:type="paragraph" w:styleId="Ttulo3">
    <w:name w:val="heading 3"/>
    <w:basedOn w:val="Normal"/>
    <w:next w:val="Normal"/>
    <w:qFormat/>
    <w:rsid w:val="001B789F"/>
    <w:pPr>
      <w:keepNext/>
      <w:spacing w:before="120" w:after="180"/>
      <w:outlineLvl w:val="2"/>
    </w:pPr>
    <w:rPr>
      <w:rFonts w:eastAsia="SimSun"/>
      <w:b/>
      <w:sz w:val="24"/>
      <w:szCs w:val="20"/>
      <w:lang w:eastAsia="zh-CN"/>
    </w:rPr>
  </w:style>
  <w:style w:type="paragraph" w:styleId="Ttulo4">
    <w:name w:val="heading 4"/>
    <w:basedOn w:val="Normal"/>
    <w:next w:val="Normal"/>
    <w:qFormat/>
    <w:rsid w:val="001B789F"/>
    <w:pPr>
      <w:keepNext/>
      <w:spacing w:before="60" w:after="120"/>
      <w:outlineLvl w:val="3"/>
    </w:pPr>
    <w:rPr>
      <w:b/>
      <w:bCs/>
      <w:i/>
      <w:szCs w:val="28"/>
    </w:rPr>
  </w:style>
  <w:style w:type="paragraph" w:styleId="Ttulo5">
    <w:name w:val="heading 5"/>
    <w:basedOn w:val="Normal"/>
    <w:next w:val="Normal"/>
    <w:qFormat/>
    <w:rsid w:val="001B789F"/>
    <w:pPr>
      <w:spacing w:before="240" w:after="60"/>
      <w:outlineLvl w:val="4"/>
    </w:pPr>
    <w:rPr>
      <w:b/>
      <w:bCs/>
      <w:i/>
      <w:iCs/>
      <w:sz w:val="26"/>
      <w:szCs w:val="26"/>
    </w:rPr>
  </w:style>
  <w:style w:type="paragraph" w:styleId="Ttulo6">
    <w:name w:val="heading 6"/>
    <w:basedOn w:val="Normal"/>
    <w:next w:val="Normal"/>
    <w:qFormat/>
    <w:rsid w:val="001B789F"/>
    <w:pPr>
      <w:spacing w:before="240" w:after="60"/>
      <w:outlineLvl w:val="5"/>
    </w:pPr>
    <w:rPr>
      <w:b/>
      <w:bCs/>
      <w:szCs w:val="22"/>
    </w:rPr>
  </w:style>
  <w:style w:type="paragraph" w:styleId="Ttulo7">
    <w:name w:val="heading 7"/>
    <w:basedOn w:val="Normal"/>
    <w:next w:val="Normal"/>
    <w:qFormat/>
    <w:rsid w:val="001B789F"/>
    <w:pPr>
      <w:spacing w:before="240" w:after="60"/>
      <w:outlineLvl w:val="6"/>
    </w:pPr>
    <w:rPr>
      <w:sz w:val="24"/>
    </w:rPr>
  </w:style>
  <w:style w:type="paragraph" w:styleId="Ttulo8">
    <w:name w:val="heading 8"/>
    <w:basedOn w:val="Normal"/>
    <w:next w:val="Normal"/>
    <w:qFormat/>
    <w:rsid w:val="001B789F"/>
    <w:pPr>
      <w:spacing w:before="240" w:after="60"/>
      <w:outlineLvl w:val="7"/>
    </w:pPr>
    <w:rPr>
      <w:i/>
      <w:iCs/>
      <w:sz w:val="24"/>
    </w:rPr>
  </w:style>
  <w:style w:type="paragraph" w:styleId="Ttulo9">
    <w:name w:val="heading 9"/>
    <w:basedOn w:val="Normal"/>
    <w:next w:val="Normal"/>
    <w:qFormat/>
    <w:rsid w:val="001B789F"/>
    <w:pPr>
      <w:spacing w:before="240" w:after="60"/>
      <w:outlineLvl w:val="8"/>
    </w:pPr>
    <w:rPr>
      <w:rFonts w:ascii="Arial" w:hAnsi="Arial" w:cs="Arial"/>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rsid w:val="001B789F"/>
    <w:pPr>
      <w:spacing w:before="120" w:after="120"/>
    </w:pPr>
    <w:rPr>
      <w:lang w:eastAsia="en-GB"/>
    </w:rPr>
  </w:style>
  <w:style w:type="paragraph" w:customStyle="1" w:styleId="ATSBullet1">
    <w:name w:val="ATS Bullet 1"/>
    <w:basedOn w:val="ATSNormal"/>
    <w:rsid w:val="001B789F"/>
    <w:pPr>
      <w:numPr>
        <w:numId w:val="17"/>
      </w:numPr>
      <w:spacing w:before="60" w:after="0"/>
    </w:pPr>
  </w:style>
  <w:style w:type="paragraph" w:customStyle="1" w:styleId="ATSBullet2">
    <w:name w:val="ATS Bullet 2"/>
    <w:basedOn w:val="ATSNormal"/>
    <w:rsid w:val="001B789F"/>
    <w:pPr>
      <w:numPr>
        <w:numId w:val="18"/>
      </w:numPr>
      <w:tabs>
        <w:tab w:val="left" w:pos="720"/>
      </w:tabs>
      <w:spacing w:before="60" w:after="0"/>
    </w:pPr>
  </w:style>
  <w:style w:type="paragraph" w:customStyle="1" w:styleId="ATSCompact">
    <w:name w:val="ATS Compact"/>
    <w:basedOn w:val="ATSNormal"/>
    <w:rsid w:val="001B789F"/>
    <w:pPr>
      <w:spacing w:before="0" w:after="0"/>
    </w:pPr>
  </w:style>
  <w:style w:type="paragraph" w:customStyle="1" w:styleId="ATSHeading1">
    <w:name w:val="ATS Heading 1"/>
    <w:basedOn w:val="ATSNormal"/>
    <w:next w:val="ATSNormal"/>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rsid w:val="001B789F"/>
    <w:pPr>
      <w:spacing w:before="240" w:after="60"/>
    </w:pPr>
    <w:rPr>
      <w:b/>
    </w:rPr>
  </w:style>
  <w:style w:type="paragraph" w:customStyle="1" w:styleId="ATSHeading4">
    <w:name w:val="ATS Heading 4"/>
    <w:basedOn w:val="ATSNormal"/>
    <w:next w:val="ATSNormal"/>
    <w:rsid w:val="001B789F"/>
    <w:pPr>
      <w:spacing w:before="240" w:after="60"/>
    </w:pPr>
    <w:rPr>
      <w:i/>
    </w:rPr>
  </w:style>
  <w:style w:type="paragraph" w:customStyle="1" w:styleId="AtsNumber">
    <w:name w:val="Ats Number"/>
    <w:basedOn w:val="ATSNormal"/>
    <w:rsid w:val="001B789F"/>
    <w:pPr>
      <w:spacing w:before="60" w:after="0"/>
    </w:pPr>
  </w:style>
  <w:style w:type="paragraph" w:customStyle="1" w:styleId="ATSNumber1">
    <w:name w:val="ATS Number 1"/>
    <w:basedOn w:val="ATSNormal"/>
    <w:rsid w:val="001B789F"/>
    <w:pPr>
      <w:numPr>
        <w:numId w:val="19"/>
      </w:numPr>
      <w:spacing w:before="60" w:after="0"/>
    </w:pPr>
  </w:style>
  <w:style w:type="paragraph" w:customStyle="1" w:styleId="ATSNumber2">
    <w:name w:val="ATS Number 2"/>
    <w:basedOn w:val="ATSNormal"/>
    <w:autoRedefine/>
    <w:rsid w:val="001B789F"/>
    <w:pPr>
      <w:numPr>
        <w:numId w:val="20"/>
      </w:numPr>
      <w:spacing w:after="0"/>
      <w:jc w:val="both"/>
    </w:pPr>
  </w:style>
  <w:style w:type="paragraph" w:customStyle="1" w:styleId="ATSQuote">
    <w:name w:val="ATS Quote"/>
    <w:basedOn w:val="Normal"/>
    <w:rsid w:val="001B789F"/>
    <w:pPr>
      <w:ind w:left="357"/>
    </w:pPr>
    <w:rPr>
      <w:i/>
      <w:szCs w:val="18"/>
    </w:rPr>
  </w:style>
  <w:style w:type="paragraph" w:customStyle="1" w:styleId="ATSTitle">
    <w:name w:val="ATS Title"/>
    <w:basedOn w:val="Normal"/>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GB"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eastAsia="en-AU"/>
    </w:rPr>
  </w:style>
  <w:style w:type="character" w:styleId="Nmerodepgina">
    <w:name w:val="page number"/>
    <w:basedOn w:val="Fuentedeprrafopredeter"/>
    <w:semiHidden/>
    <w:rsid w:val="001B789F"/>
  </w:style>
  <w:style w:type="character" w:styleId="Textoennegrita">
    <w:name w:val="Strong"/>
    <w:qFormat/>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character" w:customStyle="1" w:styleId="ATSHeading2Char">
    <w:name w:val="ATS Heading 2 Char"/>
    <w:link w:val="ATSHeading2"/>
    <w:locked/>
    <w:rsid w:val="00464B2B"/>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854</Words>
  <Characters>4823</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template español</vt:lpstr>
      <vt:lpstr>paper template español</vt:lpstr>
    </vt:vector>
  </TitlesOfParts>
  <Company>ATS</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español</dc:title>
  <dc:creator>Pepe Agraz</dc:creator>
  <cp:lastModifiedBy>Jose Luis Agraz</cp:lastModifiedBy>
  <cp:revision>5</cp:revision>
  <cp:lastPrinted>1900-01-01T03:00:00Z</cp:lastPrinted>
  <dcterms:created xsi:type="dcterms:W3CDTF">2022-10-28T13:17:00Z</dcterms:created>
  <dcterms:modified xsi:type="dcterms:W3CDTF">2023-05-27T17:19:00Z</dcterms:modified>
</cp:coreProperties>
</file>