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7F4CF" w14:textId="77777777" w:rsidR="00C26F2D" w:rsidRPr="00BF077B" w:rsidRDefault="00C13094" w:rsidP="00BF077B">
      <w:pPr>
        <w:pStyle w:val="ATSNormal"/>
        <w:rPr>
          <w:rStyle w:val="Ttulodellibro"/>
        </w:rPr>
      </w:pPr>
    </w:p>
    <w:p w14:paraId="7237B563" w14:textId="77777777" w:rsidR="002F0A13" w:rsidRDefault="00C13094" w:rsidP="004B4A60">
      <w:pPr>
        <w:rPr>
          <w:b/>
          <w:u w:val="single"/>
          <w:lang w:val="es-ES_tradnl"/>
        </w:rPr>
      </w:pPr>
    </w:p>
    <w:p w14:paraId="5E369179" w14:textId="77777777" w:rsidR="002F0A13" w:rsidRDefault="00C13094" w:rsidP="004B4A60">
      <w:pPr>
        <w:rPr>
          <w:b/>
          <w:u w:val="single"/>
          <w:lang w:val="es-ES_tradnl"/>
        </w:rPr>
      </w:pPr>
    </w:p>
    <w:p w14:paraId="6E77A832" w14:textId="77777777" w:rsidR="002F0A13" w:rsidRDefault="00C13094" w:rsidP="004B4A60">
      <w:pPr>
        <w:rPr>
          <w:b/>
          <w:u w:val="single"/>
          <w:lang w:val="es-ES_tradnl"/>
        </w:rPr>
      </w:pPr>
    </w:p>
    <w:p w14:paraId="7F7C6CD0" w14:textId="77777777" w:rsidR="002F0A13" w:rsidRDefault="00C13094" w:rsidP="004B4A60">
      <w:pPr>
        <w:rPr>
          <w:b/>
          <w:u w:val="single"/>
          <w:lang w:val="es-ES_tradnl"/>
        </w:rPr>
      </w:pPr>
    </w:p>
    <w:p w14:paraId="63676212" w14:textId="77777777" w:rsidR="00C26F2D" w:rsidRDefault="00C13094" w:rsidP="004B4A60">
      <w:pPr>
        <w:rPr>
          <w:b/>
          <w:u w:val="single"/>
          <w:lang w:val="es-ES_tradnl"/>
        </w:rPr>
      </w:pPr>
    </w:p>
    <w:p w14:paraId="102A25C8" w14:textId="77777777" w:rsidR="004B4A60" w:rsidRPr="0057246E" w:rsidRDefault="00C13094" w:rsidP="001B789F">
      <w:pPr>
        <w:pStyle w:val="ATSTitle"/>
      </w:pPr>
      <w:bookmarkStart w:id="0" w:name="name"/>
      <w:r>
        <w:t>Report by the CCAMLR Observer to the Forty Third Antarctic Treaty Consultative Meeting</w:t>
      </w:r>
      <w:bookmarkEnd w:id="0"/>
    </w:p>
    <w:p w14:paraId="3BF829F2" w14:textId="77777777" w:rsidR="004B4A60" w:rsidRPr="0057246E" w:rsidRDefault="00C13094" w:rsidP="00F75424">
      <w:pPr>
        <w:jc w:val="center"/>
      </w:pPr>
    </w:p>
    <w:p w14:paraId="3A6DFCE9" w14:textId="77777777" w:rsidR="004B4A60" w:rsidRPr="002F0A13" w:rsidRDefault="00C13094" w:rsidP="002F0A13"/>
    <w:p w14:paraId="288C41E0" w14:textId="77777777" w:rsidR="004B4A60" w:rsidRDefault="00C13094" w:rsidP="00F75424">
      <w:pPr>
        <w:jc w:val="center"/>
      </w:pPr>
      <w:bookmarkStart w:id="1" w:name="memo"/>
      <w:bookmarkEnd w:id="1"/>
    </w:p>
    <w:p w14:paraId="27C7EFF0" w14:textId="77777777" w:rsidR="0097629D" w:rsidRDefault="00C13094" w:rsidP="00F75424">
      <w:pPr>
        <w:jc w:val="center"/>
      </w:pPr>
    </w:p>
    <w:p w14:paraId="3C4CA18E" w14:textId="77777777" w:rsidR="0097629D" w:rsidRDefault="00C13094" w:rsidP="00F75424">
      <w:pPr>
        <w:jc w:val="center"/>
      </w:pPr>
    </w:p>
    <w:p w14:paraId="62DE967B" w14:textId="77777777" w:rsidR="0097629D" w:rsidRDefault="00C13094" w:rsidP="00F75424">
      <w:pPr>
        <w:jc w:val="center"/>
      </w:pPr>
    </w:p>
    <w:p w14:paraId="103FDAFB" w14:textId="77777777" w:rsidR="0097629D" w:rsidRPr="00C26F2D" w:rsidRDefault="00C13094" w:rsidP="00F75424">
      <w:pPr>
        <w:jc w:val="center"/>
      </w:pPr>
    </w:p>
    <w:p w14:paraId="7CC0910B" w14:textId="77777777" w:rsidR="004B4A60" w:rsidRPr="0057246E" w:rsidRDefault="00C13094" w:rsidP="004B4A60"/>
    <w:p w14:paraId="0289463D" w14:textId="77777777" w:rsidR="00C26F2D" w:rsidRDefault="00C13094"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624E83E3" w14:textId="77777777" w:rsidR="00C13094" w:rsidRDefault="00C13094" w:rsidP="00C13094">
      <w:pPr>
        <w:pStyle w:val="ATSHeading1"/>
      </w:pPr>
      <w:r>
        <w:lastRenderedPageBreak/>
        <w:t xml:space="preserve">Report by the CCAMLR Observer to the Forty Third </w:t>
      </w:r>
    </w:p>
    <w:p w14:paraId="79269692" w14:textId="77777777" w:rsidR="00C13094" w:rsidRDefault="00C13094" w:rsidP="00C13094">
      <w:pPr>
        <w:pStyle w:val="ATSHeading1"/>
      </w:pPr>
      <w:r>
        <w:t>Antarctic Treaty Consultative Meeting</w:t>
      </w:r>
    </w:p>
    <w:p w14:paraId="586B4996" w14:textId="77777777" w:rsidR="00C13094" w:rsidRPr="004D0345" w:rsidRDefault="00C13094" w:rsidP="00C13094">
      <w:pPr>
        <w:pStyle w:val="ATSNormal"/>
      </w:pPr>
    </w:p>
    <w:p w14:paraId="26F2E4B9" w14:textId="77777777" w:rsidR="00C13094" w:rsidRDefault="00C13094" w:rsidP="00C13094">
      <w:pPr>
        <w:pStyle w:val="documenttitle"/>
        <w:spacing w:after="240"/>
        <w:rPr>
          <w:rFonts w:ascii="Arial" w:hAnsi="Arial" w:cs="Arial"/>
          <w:sz w:val="32"/>
          <w:szCs w:val="32"/>
        </w:rPr>
      </w:pPr>
      <w:r>
        <w:rPr>
          <w:rFonts w:ascii="Arial" w:hAnsi="Arial" w:cs="Arial"/>
          <w:sz w:val="32"/>
          <w:szCs w:val="32"/>
        </w:rPr>
        <w:t>CCAMLR-38 (October 2019)</w:t>
      </w:r>
    </w:p>
    <w:p w14:paraId="4F3D4FE5" w14:textId="77777777" w:rsidR="00C13094" w:rsidRPr="00ED1A6F" w:rsidRDefault="00C13094" w:rsidP="00C13094">
      <w:pPr>
        <w:pStyle w:val="documenttitle"/>
        <w:spacing w:after="240"/>
        <w:rPr>
          <w:rFonts w:cs="Times New Roman"/>
          <w:sz w:val="22"/>
          <w:szCs w:val="22"/>
        </w:rPr>
      </w:pPr>
    </w:p>
    <w:p w14:paraId="7E2ED0FD" w14:textId="77777777" w:rsidR="00C13094" w:rsidRPr="00ED1A6F" w:rsidRDefault="00C13094" w:rsidP="00C13094">
      <w:pPr>
        <w:pStyle w:val="ATSNormal"/>
      </w:pPr>
      <w:r w:rsidRPr="00ED1A6F">
        <w:t>1.</w:t>
      </w:r>
      <w:r w:rsidRPr="00ED1A6F">
        <w:tab/>
        <w:t xml:space="preserve">The </w:t>
      </w:r>
      <w:r>
        <w:t>38th</w:t>
      </w:r>
      <w:r w:rsidRPr="00ED1A6F">
        <w:t xml:space="preserve"> Annual Meeting of CCAMLR</w:t>
      </w:r>
      <w:r>
        <w:t xml:space="preserve"> (CCAMLR-38) </w:t>
      </w:r>
      <w:r w:rsidRPr="00ED1A6F">
        <w:t xml:space="preserve">was held in Hobart, Australia, </w:t>
      </w:r>
      <w:r>
        <w:t xml:space="preserve">from 21 </w:t>
      </w:r>
      <w:r w:rsidRPr="00ED1A6F">
        <w:t xml:space="preserve">October </w:t>
      </w:r>
      <w:r>
        <w:t xml:space="preserve">to 1 November </w:t>
      </w:r>
      <w:r w:rsidRPr="00ED1A6F">
        <w:t>201</w:t>
      </w:r>
      <w:r>
        <w:t xml:space="preserve">9 and was chaired by </w:t>
      </w:r>
      <w:r>
        <w:rPr>
          <w:sz w:val="23"/>
          <w:szCs w:val="23"/>
        </w:rPr>
        <w:t xml:space="preserve">Mr Fernando Curcio </w:t>
      </w:r>
      <w:proofErr w:type="spellStart"/>
      <w:r>
        <w:rPr>
          <w:sz w:val="23"/>
          <w:szCs w:val="23"/>
        </w:rPr>
        <w:t>Ruigómez</w:t>
      </w:r>
      <w:proofErr w:type="spellEnd"/>
      <w:r>
        <w:rPr>
          <w:sz w:val="23"/>
          <w:szCs w:val="23"/>
        </w:rPr>
        <w:t xml:space="preserve"> </w:t>
      </w:r>
      <w:r w:rsidRPr="00ED1A6F">
        <w:t>(</w:t>
      </w:r>
      <w:r>
        <w:t>Spain</w:t>
      </w:r>
      <w:r w:rsidRPr="00ED1A6F">
        <w:t>).</w:t>
      </w:r>
    </w:p>
    <w:p w14:paraId="65148114" w14:textId="77777777" w:rsidR="00C13094" w:rsidRPr="00ED1A6F" w:rsidRDefault="00C13094" w:rsidP="00C13094">
      <w:pPr>
        <w:pStyle w:val="ATSNormal"/>
      </w:pPr>
      <w:r>
        <w:t>2.</w:t>
      </w:r>
      <w:r>
        <w:tab/>
        <w:t>The Report of the Meeting is in the public domain (</w:t>
      </w:r>
      <w:hyperlink r:id="rId11" w:history="1">
        <w:r>
          <w:rPr>
            <w:rStyle w:val="Hipervnculo"/>
          </w:rPr>
          <w:t>https://www.ccamlr.org/en/ccamlr-38</w:t>
        </w:r>
      </w:hyperlink>
      <w:r>
        <w:t xml:space="preserve">). </w:t>
      </w:r>
    </w:p>
    <w:p w14:paraId="5EA8D02E" w14:textId="77777777" w:rsidR="00C13094" w:rsidRDefault="00C13094" w:rsidP="00C13094">
      <w:pPr>
        <w:pStyle w:val="ATSNormal"/>
      </w:pPr>
      <w:r>
        <w:t>3</w:t>
      </w:r>
      <w:r w:rsidRPr="00ED1A6F">
        <w:t>.</w:t>
      </w:r>
      <w:r w:rsidRPr="00ED1A6F">
        <w:tab/>
      </w:r>
      <w:r w:rsidRPr="00910A55">
        <w:t>Australia, as the Depositary State, reported that the Netherlands became a Member of the Commission on 8 October 2019.</w:t>
      </w:r>
      <w:r>
        <w:t xml:space="preserve"> The Commission welcomed the Netherlands to its first meeting as a Member. </w:t>
      </w:r>
    </w:p>
    <w:p w14:paraId="0D474E7A" w14:textId="77777777" w:rsidR="00C13094" w:rsidRPr="00F176D0" w:rsidRDefault="00C13094" w:rsidP="00C13094">
      <w:pPr>
        <w:pStyle w:val="ATSHeading2"/>
      </w:pPr>
      <w:bookmarkStart w:id="8" w:name="_Toc403041615"/>
      <w:r w:rsidRPr="00F176D0">
        <w:t>Implementation and compliance</w:t>
      </w:r>
      <w:bookmarkEnd w:id="8"/>
    </w:p>
    <w:p w14:paraId="039A6907" w14:textId="77777777" w:rsidR="00C13094" w:rsidRDefault="00C13094" w:rsidP="00C13094">
      <w:pPr>
        <w:pStyle w:val="ATSNormal"/>
      </w:pPr>
      <w:r>
        <w:t xml:space="preserve">4. </w:t>
      </w:r>
      <w:r>
        <w:tab/>
        <w:t xml:space="preserve">The Commission </w:t>
      </w:r>
      <w:r w:rsidRPr="00910A55">
        <w:t xml:space="preserve">endorsed </w:t>
      </w:r>
      <w:r>
        <w:t>a new non-Contracting Party (NCP)</w:t>
      </w:r>
      <w:r w:rsidRPr="00910A55">
        <w:t xml:space="preserve"> Engagement Strategy and Action Plan for 2020–2022</w:t>
      </w:r>
      <w:r>
        <w:t xml:space="preserve"> and agreed to extend the compliance evaluation process to Acceding States as a trial for 2020. </w:t>
      </w:r>
    </w:p>
    <w:p w14:paraId="55BBE8B0" w14:textId="77777777" w:rsidR="00C13094" w:rsidRDefault="00C13094" w:rsidP="00C13094">
      <w:pPr>
        <w:pStyle w:val="ATSNormal"/>
      </w:pPr>
      <w:r>
        <w:t xml:space="preserve">5. </w:t>
      </w:r>
      <w:r>
        <w:tab/>
      </w:r>
      <w:r>
        <w:rPr>
          <w:sz w:val="23"/>
          <w:szCs w:val="23"/>
        </w:rPr>
        <w:t xml:space="preserve">The Commission noted that the number of </w:t>
      </w:r>
      <w:r w:rsidRPr="00347716">
        <w:rPr>
          <w:sz w:val="23"/>
          <w:szCs w:val="23"/>
        </w:rPr>
        <w:t xml:space="preserve">illegal, </w:t>
      </w:r>
      <w:proofErr w:type="gramStart"/>
      <w:r w:rsidRPr="00347716">
        <w:rPr>
          <w:sz w:val="23"/>
          <w:szCs w:val="23"/>
        </w:rPr>
        <w:t>unreported</w:t>
      </w:r>
      <w:proofErr w:type="gramEnd"/>
      <w:r w:rsidRPr="00347716">
        <w:rPr>
          <w:sz w:val="23"/>
          <w:szCs w:val="23"/>
        </w:rPr>
        <w:t xml:space="preserve"> and unregulated</w:t>
      </w:r>
      <w:r>
        <w:rPr>
          <w:sz w:val="23"/>
          <w:szCs w:val="23"/>
        </w:rPr>
        <w:t xml:space="preserve"> (IUU) vessel sightings in the Convention Area had shown a steady decline over time with the last reported sighting in 2016. No additional vessels were added to the CCAMLR IUU lists. </w:t>
      </w:r>
    </w:p>
    <w:p w14:paraId="24DA9C27" w14:textId="77777777" w:rsidR="00C13094" w:rsidRPr="00F176D0" w:rsidRDefault="00C13094" w:rsidP="00C13094">
      <w:pPr>
        <w:pStyle w:val="ATSHeading2"/>
      </w:pPr>
      <w:bookmarkStart w:id="9" w:name="_Toc403041624"/>
      <w:r w:rsidRPr="00F176D0">
        <w:t>Administration and Finance</w:t>
      </w:r>
      <w:bookmarkEnd w:id="9"/>
    </w:p>
    <w:p w14:paraId="71A55370" w14:textId="77777777" w:rsidR="00C13094" w:rsidRDefault="00C13094" w:rsidP="00C13094">
      <w:pPr>
        <w:pStyle w:val="ATSNormal"/>
      </w:pPr>
      <w:bookmarkStart w:id="10" w:name="_Toc403041625"/>
      <w:r>
        <w:rPr>
          <w:szCs w:val="22"/>
        </w:rPr>
        <w:t>6</w:t>
      </w:r>
      <w:r w:rsidRPr="00ED1A6F">
        <w:rPr>
          <w:szCs w:val="22"/>
        </w:rPr>
        <w:t xml:space="preserve">. </w:t>
      </w:r>
      <w:r w:rsidRPr="00ED1A6F">
        <w:rPr>
          <w:szCs w:val="22"/>
        </w:rPr>
        <w:tab/>
      </w:r>
      <w:r>
        <w:rPr>
          <w:szCs w:val="22"/>
        </w:rPr>
        <w:t>The</w:t>
      </w:r>
      <w:r>
        <w:t xml:space="preserve"> Commission agreed to changes in the formula used to calculate the fees that accompany notifications to fish for krill, toothfish and other species in the Convention Area, including notifications to undertake research fishing.</w:t>
      </w:r>
    </w:p>
    <w:bookmarkEnd w:id="10"/>
    <w:p w14:paraId="6E7EF6A1" w14:textId="77777777" w:rsidR="00C13094" w:rsidRDefault="00C13094" w:rsidP="00C13094">
      <w:pPr>
        <w:pStyle w:val="ATSHeading2"/>
      </w:pPr>
      <w:r>
        <w:t>Management of marine resources</w:t>
      </w:r>
    </w:p>
    <w:p w14:paraId="17C883F0" w14:textId="77777777" w:rsidR="00C13094" w:rsidRDefault="00C13094" w:rsidP="00C13094">
      <w:pPr>
        <w:pStyle w:val="ATSNormal"/>
        <w:rPr>
          <w:szCs w:val="22"/>
        </w:rPr>
      </w:pPr>
      <w:r>
        <w:rPr>
          <w:szCs w:val="22"/>
        </w:rPr>
        <w:t>7</w:t>
      </w:r>
      <w:r w:rsidRPr="00854F60">
        <w:rPr>
          <w:szCs w:val="22"/>
        </w:rPr>
        <w:t>.</w:t>
      </w:r>
      <w:r w:rsidRPr="00854F60">
        <w:rPr>
          <w:szCs w:val="22"/>
        </w:rPr>
        <w:tab/>
        <w:t xml:space="preserve">The Commission noted that up to </w:t>
      </w:r>
      <w:r>
        <w:rPr>
          <w:szCs w:val="22"/>
        </w:rPr>
        <w:t>13</w:t>
      </w:r>
      <w:r w:rsidRPr="00854F60">
        <w:rPr>
          <w:szCs w:val="22"/>
        </w:rPr>
        <w:t xml:space="preserve"> September 201</w:t>
      </w:r>
      <w:r>
        <w:rPr>
          <w:szCs w:val="22"/>
        </w:rPr>
        <w:t>9</w:t>
      </w:r>
      <w:r w:rsidRPr="00854F60">
        <w:rPr>
          <w:szCs w:val="22"/>
        </w:rPr>
        <w:t xml:space="preserve"> the total catch of krill reported for the 201</w:t>
      </w:r>
      <w:r>
        <w:rPr>
          <w:szCs w:val="22"/>
        </w:rPr>
        <w:t xml:space="preserve">8/19 fishing </w:t>
      </w:r>
      <w:r w:rsidRPr="00854F60">
        <w:rPr>
          <w:szCs w:val="22"/>
        </w:rPr>
        <w:t>season was</w:t>
      </w:r>
      <w:r>
        <w:rPr>
          <w:szCs w:val="22"/>
        </w:rPr>
        <w:t xml:space="preserve"> </w:t>
      </w:r>
      <w:bookmarkStart w:id="11" w:name="_Hlk504396061"/>
      <w:r w:rsidRPr="00854F60">
        <w:rPr>
          <w:b/>
          <w:szCs w:val="22"/>
        </w:rPr>
        <w:t>3</w:t>
      </w:r>
      <w:r>
        <w:rPr>
          <w:b/>
          <w:szCs w:val="22"/>
        </w:rPr>
        <w:t>81 922</w:t>
      </w:r>
      <w:r w:rsidRPr="00854F60">
        <w:rPr>
          <w:b/>
          <w:szCs w:val="22"/>
        </w:rPr>
        <w:t xml:space="preserve"> tonnes</w:t>
      </w:r>
      <w:bookmarkEnd w:id="11"/>
      <w:r w:rsidRPr="00854F60">
        <w:rPr>
          <w:szCs w:val="22"/>
        </w:rPr>
        <w:t xml:space="preserve">. Five Members </w:t>
      </w:r>
      <w:r>
        <w:rPr>
          <w:szCs w:val="22"/>
        </w:rPr>
        <w:t xml:space="preserve">and 11 vessels fished. </w:t>
      </w:r>
    </w:p>
    <w:p w14:paraId="027A5500" w14:textId="77777777" w:rsidR="00C13094" w:rsidRPr="00854F60" w:rsidRDefault="00C13094" w:rsidP="00C13094">
      <w:pPr>
        <w:pStyle w:val="ATSNormal"/>
        <w:rPr>
          <w:szCs w:val="22"/>
        </w:rPr>
      </w:pPr>
      <w:r>
        <w:rPr>
          <w:szCs w:val="22"/>
        </w:rPr>
        <w:t>8</w:t>
      </w:r>
      <w:r w:rsidRPr="00854F60">
        <w:rPr>
          <w:szCs w:val="22"/>
        </w:rPr>
        <w:t xml:space="preserve">. </w:t>
      </w:r>
      <w:r w:rsidRPr="00854F60">
        <w:rPr>
          <w:szCs w:val="22"/>
        </w:rPr>
        <w:tab/>
        <w:t xml:space="preserve">The Commission noted that a multi-Member synoptic krill survey </w:t>
      </w:r>
      <w:r>
        <w:rPr>
          <w:szCs w:val="22"/>
        </w:rPr>
        <w:t xml:space="preserve">undertaken in the austral summer of 2018/19 assessed the biomass of krill in Area 48 to be 62.6 million tonnes. (Note for ATCM: This is </w:t>
      </w:r>
      <w:proofErr w:type="gramStart"/>
      <w:r>
        <w:rPr>
          <w:szCs w:val="22"/>
        </w:rPr>
        <w:t>similar to</w:t>
      </w:r>
      <w:proofErr w:type="gramEnd"/>
      <w:r>
        <w:rPr>
          <w:szCs w:val="22"/>
        </w:rPr>
        <w:t xml:space="preserve"> the biomass estimated by the last synoptic survey undertaken in 2000.) </w:t>
      </w:r>
    </w:p>
    <w:p w14:paraId="2A1B8711" w14:textId="77777777" w:rsidR="00C13094" w:rsidRDefault="00C13094" w:rsidP="00C13094">
      <w:pPr>
        <w:pStyle w:val="ATSNormal"/>
        <w:rPr>
          <w:szCs w:val="22"/>
        </w:rPr>
      </w:pPr>
      <w:r>
        <w:rPr>
          <w:szCs w:val="22"/>
        </w:rPr>
        <w:t>9</w:t>
      </w:r>
      <w:r w:rsidRPr="00854F60">
        <w:rPr>
          <w:szCs w:val="22"/>
        </w:rPr>
        <w:t xml:space="preserve">. </w:t>
      </w:r>
      <w:r w:rsidRPr="00854F60">
        <w:rPr>
          <w:szCs w:val="22"/>
        </w:rPr>
        <w:tab/>
        <w:t xml:space="preserve">The Commission </w:t>
      </w:r>
      <w:r>
        <w:rPr>
          <w:szCs w:val="22"/>
        </w:rPr>
        <w:t xml:space="preserve">noted the progress of the </w:t>
      </w:r>
      <w:r w:rsidRPr="00854F60">
        <w:rPr>
          <w:szCs w:val="22"/>
        </w:rPr>
        <w:t xml:space="preserve">Scientific Committee </w:t>
      </w:r>
      <w:r>
        <w:rPr>
          <w:szCs w:val="22"/>
        </w:rPr>
        <w:t xml:space="preserve">to develop a new management strategy for </w:t>
      </w:r>
      <w:proofErr w:type="gramStart"/>
      <w:r>
        <w:rPr>
          <w:szCs w:val="22"/>
        </w:rPr>
        <w:t>krill, and</w:t>
      </w:r>
      <w:proofErr w:type="gramEnd"/>
      <w:r>
        <w:rPr>
          <w:szCs w:val="22"/>
        </w:rPr>
        <w:t xml:space="preserve"> emphasised the importance of providing advice on the new strategy by 2021. The strategy will be based on the following key priority elements: </w:t>
      </w:r>
    </w:p>
    <w:p w14:paraId="7D195524" w14:textId="77777777" w:rsidR="00C13094" w:rsidRDefault="00C13094" w:rsidP="00C13094">
      <w:pPr>
        <w:pStyle w:val="Default"/>
        <w:ind w:left="1276" w:hanging="568"/>
        <w:rPr>
          <w:sz w:val="23"/>
          <w:szCs w:val="23"/>
        </w:rPr>
      </w:pPr>
      <w:r>
        <w:rPr>
          <w:sz w:val="23"/>
          <w:szCs w:val="23"/>
        </w:rPr>
        <w:t>(</w:t>
      </w:r>
      <w:proofErr w:type="spellStart"/>
      <w:r>
        <w:rPr>
          <w:sz w:val="23"/>
          <w:szCs w:val="23"/>
        </w:rPr>
        <w:t>i</w:t>
      </w:r>
      <w:proofErr w:type="spellEnd"/>
      <w:r>
        <w:rPr>
          <w:sz w:val="23"/>
          <w:szCs w:val="23"/>
        </w:rPr>
        <w:t xml:space="preserve">) </w:t>
      </w:r>
      <w:r>
        <w:rPr>
          <w:sz w:val="23"/>
          <w:szCs w:val="23"/>
        </w:rPr>
        <w:tab/>
        <w:t xml:space="preserve">a stock assessment to estimate precautionary harvest rates </w:t>
      </w:r>
    </w:p>
    <w:p w14:paraId="4FE43F3D" w14:textId="77777777" w:rsidR="00C13094" w:rsidRDefault="00C13094" w:rsidP="00C13094">
      <w:pPr>
        <w:pStyle w:val="Default"/>
        <w:ind w:left="1276" w:hanging="568"/>
        <w:rPr>
          <w:sz w:val="23"/>
          <w:szCs w:val="23"/>
        </w:rPr>
      </w:pPr>
      <w:r>
        <w:rPr>
          <w:sz w:val="23"/>
          <w:szCs w:val="23"/>
        </w:rPr>
        <w:t xml:space="preserve">(ii) </w:t>
      </w:r>
      <w:r>
        <w:rPr>
          <w:sz w:val="23"/>
          <w:szCs w:val="23"/>
        </w:rPr>
        <w:tab/>
        <w:t xml:space="preserve">regular updates of biomass estimates, initially at the subarea scale, but potentially at multiple scales </w:t>
      </w:r>
    </w:p>
    <w:p w14:paraId="025AD610" w14:textId="77777777" w:rsidR="00C13094" w:rsidRDefault="00C13094" w:rsidP="00C13094">
      <w:pPr>
        <w:pStyle w:val="ATSNormal"/>
        <w:spacing w:before="0"/>
        <w:ind w:left="1276" w:hanging="567"/>
        <w:rPr>
          <w:sz w:val="23"/>
          <w:szCs w:val="23"/>
        </w:rPr>
      </w:pPr>
      <w:r>
        <w:rPr>
          <w:sz w:val="23"/>
          <w:szCs w:val="23"/>
        </w:rPr>
        <w:t xml:space="preserve">(iii) </w:t>
      </w:r>
      <w:r>
        <w:rPr>
          <w:sz w:val="23"/>
          <w:szCs w:val="23"/>
        </w:rPr>
        <w:tab/>
        <w:t xml:space="preserve">a risk assessment framework to inform the spatial allocation of catch. </w:t>
      </w:r>
    </w:p>
    <w:p w14:paraId="71D2E18D" w14:textId="77777777" w:rsidR="00C13094" w:rsidRDefault="00C13094" w:rsidP="00C13094">
      <w:pPr>
        <w:pStyle w:val="ATSNormal"/>
      </w:pPr>
      <w:r>
        <w:rPr>
          <w:szCs w:val="22"/>
        </w:rPr>
        <w:t>10</w:t>
      </w:r>
      <w:r w:rsidRPr="00ED1A6F">
        <w:rPr>
          <w:szCs w:val="22"/>
        </w:rPr>
        <w:t>.</w:t>
      </w:r>
      <w:r w:rsidRPr="00ED1A6F">
        <w:rPr>
          <w:szCs w:val="22"/>
        </w:rPr>
        <w:tab/>
      </w:r>
      <w:r>
        <w:t>In 2018/19, 13 Members fished for Patagonian toothfish (</w:t>
      </w:r>
      <w:proofErr w:type="spellStart"/>
      <w:r w:rsidRPr="00E6499E">
        <w:rPr>
          <w:i/>
        </w:rPr>
        <w:t>Dissostichus</w:t>
      </w:r>
      <w:proofErr w:type="spellEnd"/>
      <w:r w:rsidRPr="00D962E4">
        <w:rPr>
          <w:i/>
        </w:rPr>
        <w:t xml:space="preserve"> </w:t>
      </w:r>
      <w:proofErr w:type="spellStart"/>
      <w:r w:rsidRPr="00D962E4">
        <w:rPr>
          <w:i/>
        </w:rPr>
        <w:t>eleginoides</w:t>
      </w:r>
      <w:proofErr w:type="spellEnd"/>
      <w:r>
        <w:t>) and/or Antarctic toothfish (</w:t>
      </w:r>
      <w:r w:rsidRPr="00D962E4">
        <w:rPr>
          <w:i/>
        </w:rPr>
        <w:t xml:space="preserve">D. </w:t>
      </w:r>
      <w:proofErr w:type="spellStart"/>
      <w:r w:rsidRPr="00D962E4">
        <w:rPr>
          <w:i/>
        </w:rPr>
        <w:t>mawsoni</w:t>
      </w:r>
      <w:proofErr w:type="spellEnd"/>
      <w:r>
        <w:rPr>
          <w:iCs/>
        </w:rPr>
        <w:t>)</w:t>
      </w:r>
      <w:r>
        <w:rPr>
          <w:i/>
        </w:rPr>
        <w:t xml:space="preserve">. </w:t>
      </w:r>
      <w:r>
        <w:t xml:space="preserve">Members also conducted research fishing for </w:t>
      </w:r>
      <w:r w:rsidRPr="00B65026">
        <w:t>toothfish</w:t>
      </w:r>
      <w:r>
        <w:t xml:space="preserve"> in closed areas. </w:t>
      </w:r>
      <w:r w:rsidRPr="002319CA">
        <w:t xml:space="preserve">The reported </w:t>
      </w:r>
      <w:r w:rsidRPr="002319CA">
        <w:lastRenderedPageBreak/>
        <w:t xml:space="preserve">total catch in the Convention Area of </w:t>
      </w:r>
      <w:r w:rsidRPr="002319CA">
        <w:rPr>
          <w:i/>
        </w:rPr>
        <w:t xml:space="preserve">D. </w:t>
      </w:r>
      <w:proofErr w:type="spellStart"/>
      <w:r w:rsidRPr="002319CA">
        <w:rPr>
          <w:i/>
        </w:rPr>
        <w:t>eleginoides</w:t>
      </w:r>
      <w:proofErr w:type="spellEnd"/>
      <w:r w:rsidRPr="002319CA">
        <w:t xml:space="preserve"> to </w:t>
      </w:r>
      <w:r>
        <w:t>1</w:t>
      </w:r>
      <w:r w:rsidRPr="002319CA">
        <w:t>3 September 201</w:t>
      </w:r>
      <w:r>
        <w:t>9</w:t>
      </w:r>
      <w:r w:rsidRPr="002319CA">
        <w:t xml:space="preserve"> was </w:t>
      </w:r>
      <w:r>
        <w:rPr>
          <w:b/>
        </w:rPr>
        <w:t>8 340</w:t>
      </w:r>
      <w:r>
        <w:t> </w:t>
      </w:r>
      <w:r w:rsidRPr="002319CA">
        <w:t xml:space="preserve">tonnes and that of </w:t>
      </w:r>
      <w:r w:rsidRPr="002319CA">
        <w:rPr>
          <w:i/>
        </w:rPr>
        <w:t>D.</w:t>
      </w:r>
      <w:r>
        <w:rPr>
          <w:i/>
        </w:rPr>
        <w:t> </w:t>
      </w:r>
      <w:proofErr w:type="spellStart"/>
      <w:r w:rsidRPr="002319CA">
        <w:rPr>
          <w:i/>
        </w:rPr>
        <w:t>mawsoni</w:t>
      </w:r>
      <w:proofErr w:type="spellEnd"/>
      <w:r w:rsidRPr="002319CA">
        <w:t xml:space="preserve"> was </w:t>
      </w:r>
      <w:r w:rsidRPr="002319CA">
        <w:rPr>
          <w:b/>
        </w:rPr>
        <w:t>4</w:t>
      </w:r>
      <w:r>
        <w:rPr>
          <w:b/>
        </w:rPr>
        <w:t> 097</w:t>
      </w:r>
      <w:r w:rsidRPr="002319CA">
        <w:t xml:space="preserve"> tonnes</w:t>
      </w:r>
      <w:r>
        <w:t>.</w:t>
      </w:r>
    </w:p>
    <w:p w14:paraId="4223D1D7" w14:textId="77777777" w:rsidR="00C13094" w:rsidRDefault="00C13094" w:rsidP="00C13094">
      <w:pPr>
        <w:pStyle w:val="ATSNormal"/>
      </w:pPr>
      <w:r>
        <w:t xml:space="preserve">11.  </w:t>
      </w:r>
      <w:r>
        <w:tab/>
        <w:t xml:space="preserve">The Commission agreed catch limits for toothfish and icefish. However, it was unable to reach consensus on research proposals in Division 58.4.1, which therefore remains closed. </w:t>
      </w:r>
    </w:p>
    <w:p w14:paraId="7335F9FF" w14:textId="77777777" w:rsidR="00C13094" w:rsidRPr="00854F60" w:rsidRDefault="00C13094" w:rsidP="00C13094">
      <w:pPr>
        <w:pStyle w:val="ATSNormal"/>
        <w:rPr>
          <w:szCs w:val="22"/>
        </w:rPr>
      </w:pPr>
      <w:r w:rsidRPr="00854F60">
        <w:rPr>
          <w:szCs w:val="22"/>
        </w:rPr>
        <w:t>1</w:t>
      </w:r>
      <w:r>
        <w:rPr>
          <w:szCs w:val="22"/>
        </w:rPr>
        <w:t>2</w:t>
      </w:r>
      <w:r w:rsidRPr="00854F60">
        <w:rPr>
          <w:szCs w:val="22"/>
        </w:rPr>
        <w:t xml:space="preserve">. </w:t>
      </w:r>
      <w:r w:rsidRPr="00854F60">
        <w:rPr>
          <w:szCs w:val="22"/>
        </w:rPr>
        <w:tab/>
        <w:t xml:space="preserve">The Commission noted that </w:t>
      </w:r>
      <w:r>
        <w:t>the 103 seabirds estimated killed in the 2018/19 season was the third-lowest mortality figure on record</w:t>
      </w:r>
      <w:r w:rsidRPr="00854F60">
        <w:rPr>
          <w:szCs w:val="22"/>
        </w:rPr>
        <w:t>.</w:t>
      </w:r>
      <w:r>
        <w:rPr>
          <w:szCs w:val="22"/>
        </w:rPr>
        <w:t xml:space="preserve"> </w:t>
      </w:r>
    </w:p>
    <w:p w14:paraId="78C4A41E" w14:textId="77777777" w:rsidR="00C13094" w:rsidRDefault="00C13094" w:rsidP="00C13094">
      <w:pPr>
        <w:pStyle w:val="ATSHeading2"/>
      </w:pPr>
      <w:r>
        <w:t>Spatial management</w:t>
      </w:r>
    </w:p>
    <w:p w14:paraId="2AD91619" w14:textId="77777777" w:rsidR="00C13094" w:rsidRDefault="00C13094" w:rsidP="00C13094">
      <w:pPr>
        <w:pStyle w:val="ATSNormal"/>
      </w:pPr>
      <w:r w:rsidRPr="00854F60">
        <w:rPr>
          <w:szCs w:val="22"/>
        </w:rPr>
        <w:t>1</w:t>
      </w:r>
      <w:r>
        <w:rPr>
          <w:szCs w:val="22"/>
        </w:rPr>
        <w:t>3</w:t>
      </w:r>
      <w:r w:rsidRPr="00854F60">
        <w:rPr>
          <w:szCs w:val="22"/>
        </w:rPr>
        <w:t xml:space="preserve">. </w:t>
      </w:r>
      <w:r w:rsidRPr="00854F60">
        <w:rPr>
          <w:szCs w:val="22"/>
        </w:rPr>
        <w:tab/>
      </w:r>
      <w:r>
        <w:t xml:space="preserve">The Commission agreed to give its prior approval to the draft management plans for new Antarctic Specially Protected Areas (ASPA) at the Rosenthal Islands and at Inexpressible Island. </w:t>
      </w:r>
      <w:r>
        <w:rPr>
          <w:b/>
          <w:bCs/>
        </w:rPr>
        <w:t>ATCM should note this</w:t>
      </w:r>
      <w:r w:rsidRPr="00BB6A7D">
        <w:rPr>
          <w:b/>
          <w:bCs/>
        </w:rPr>
        <w:t xml:space="preserve"> approval </w:t>
      </w:r>
      <w:r>
        <w:rPr>
          <w:b/>
          <w:bCs/>
        </w:rPr>
        <w:t xml:space="preserve">which </w:t>
      </w:r>
      <w:r w:rsidRPr="00BB6A7D">
        <w:rPr>
          <w:b/>
          <w:bCs/>
        </w:rPr>
        <w:t xml:space="preserve">has </w:t>
      </w:r>
      <w:r>
        <w:rPr>
          <w:b/>
          <w:bCs/>
        </w:rPr>
        <w:t>also been</w:t>
      </w:r>
      <w:r w:rsidRPr="00BB6A7D">
        <w:rPr>
          <w:b/>
          <w:bCs/>
        </w:rPr>
        <w:t xml:space="preserve"> transmitted to the CEP</w:t>
      </w:r>
      <w:r>
        <w:t xml:space="preserve">. </w:t>
      </w:r>
    </w:p>
    <w:p w14:paraId="65319904" w14:textId="77777777" w:rsidR="00C13094" w:rsidRDefault="00C13094" w:rsidP="00C13094">
      <w:pPr>
        <w:pStyle w:val="ATSNormal"/>
      </w:pPr>
      <w:r w:rsidRPr="0030002B">
        <w:rPr>
          <w:szCs w:val="22"/>
        </w:rPr>
        <w:t>1</w:t>
      </w:r>
      <w:r>
        <w:rPr>
          <w:szCs w:val="22"/>
        </w:rPr>
        <w:t>4</w:t>
      </w:r>
      <w:r w:rsidRPr="0030002B">
        <w:rPr>
          <w:szCs w:val="22"/>
        </w:rPr>
        <w:t xml:space="preserve">. </w:t>
      </w:r>
      <w:r w:rsidRPr="0030002B">
        <w:rPr>
          <w:szCs w:val="22"/>
        </w:rPr>
        <w:tab/>
      </w:r>
      <w:r w:rsidRPr="0030002B">
        <w:t xml:space="preserve">The Commission noted that in May 2019, the UK notified all Members that the area of the Pine Island Glacier had reduced by 15.1% since 2017, thus meeting the criteria for designation of a Special Area for Scientific Study. The Pine Island Glacier area became a Stage 1 designation on 1 June 2019. Under Conservation Measure (CM) 24-04, paragraph 24, </w:t>
      </w:r>
      <w:r w:rsidRPr="0030002B">
        <w:rPr>
          <w:b/>
          <w:bCs/>
        </w:rPr>
        <w:t>the attention of ATCM is drawn to the details of the Stage 1 designation,</w:t>
      </w:r>
      <w:r w:rsidRPr="0030002B">
        <w:t xml:space="preserve"> and ATCM is encouraged to</w:t>
      </w:r>
      <w:r w:rsidRPr="0030002B">
        <w:rPr>
          <w:b/>
          <w:bCs/>
        </w:rPr>
        <w:t xml:space="preserve"> </w:t>
      </w:r>
      <w:r w:rsidRPr="0030002B">
        <w:t>consider whether to take any appropriate steps to complement and facilitate scientific study within the area.</w:t>
      </w:r>
      <w:r>
        <w:t xml:space="preserve"> </w:t>
      </w:r>
    </w:p>
    <w:p w14:paraId="3AC829C9" w14:textId="77777777" w:rsidR="00C13094" w:rsidRPr="009A0B24" w:rsidRDefault="00C13094" w:rsidP="00C13094">
      <w:pPr>
        <w:pStyle w:val="ATSNormal"/>
        <w:rPr>
          <w:szCs w:val="22"/>
        </w:rPr>
      </w:pPr>
      <w:r>
        <w:t>15.</w:t>
      </w:r>
      <w:r>
        <w:tab/>
        <w:t xml:space="preserve">The South Orkney Islands southern shelf marine protected area (MPA) was adopted by CCAMLR in 2009 (CM 91-03). In line with the requirement of CM 91-03, the EU and its member States presented the second 5-yearly review of the MPA. </w:t>
      </w:r>
      <w:r w:rsidRPr="009A0B24">
        <w:t>There was no consensus in the Commission to endorse the review. CM</w:t>
      </w:r>
      <w:r>
        <w:t> </w:t>
      </w:r>
      <w:r w:rsidRPr="009A0B24">
        <w:t>91-03 will remain in its current form until the next review due in 2024.</w:t>
      </w:r>
    </w:p>
    <w:p w14:paraId="2BF7DD1C" w14:textId="77777777" w:rsidR="00C13094" w:rsidRPr="00854F60" w:rsidRDefault="00C13094" w:rsidP="00C13094">
      <w:pPr>
        <w:pStyle w:val="ATSNormal"/>
        <w:rPr>
          <w:szCs w:val="22"/>
        </w:rPr>
      </w:pPr>
      <w:r>
        <w:rPr>
          <w:szCs w:val="22"/>
        </w:rPr>
        <w:t>16.</w:t>
      </w:r>
      <w:r>
        <w:rPr>
          <w:szCs w:val="22"/>
        </w:rPr>
        <w:tab/>
        <w:t>The Commission also discussed the Ross Sea region MPA research and monitoring plan, and proposals for an East Antarctica MPA, a Weddell Sea MPA and an Antarctic Peninsula Region MPA. There was no consensus on these items.</w:t>
      </w:r>
    </w:p>
    <w:p w14:paraId="5EEA53E3" w14:textId="77777777" w:rsidR="00C13094" w:rsidRPr="00F84DB9" w:rsidRDefault="00C13094" w:rsidP="00C13094">
      <w:pPr>
        <w:pStyle w:val="ATSHeading2"/>
        <w:keepNext/>
      </w:pPr>
      <w:r>
        <w:t>C</w:t>
      </w:r>
      <w:r w:rsidRPr="00F84DB9">
        <w:t>limate</w:t>
      </w:r>
      <w:r>
        <w:t xml:space="preserve"> change </w:t>
      </w:r>
    </w:p>
    <w:p w14:paraId="5EA107B3" w14:textId="77777777" w:rsidR="00C13094" w:rsidRPr="00854F60" w:rsidRDefault="00C13094" w:rsidP="00C13094">
      <w:pPr>
        <w:pStyle w:val="ATSNormal"/>
        <w:rPr>
          <w:szCs w:val="22"/>
        </w:rPr>
      </w:pPr>
      <w:r>
        <w:rPr>
          <w:szCs w:val="22"/>
        </w:rPr>
        <w:t>17</w:t>
      </w:r>
      <w:r w:rsidRPr="00854F60">
        <w:rPr>
          <w:szCs w:val="22"/>
        </w:rPr>
        <w:t>.</w:t>
      </w:r>
      <w:r w:rsidRPr="00854F60">
        <w:rPr>
          <w:szCs w:val="22"/>
        </w:rPr>
        <w:tab/>
      </w:r>
      <w:r>
        <w:t>The Commission noted the importance of climate change considerations in its procedures and discussed a range of suggestions for an increased inclusion of its implications in its management approaches.</w:t>
      </w:r>
    </w:p>
    <w:p w14:paraId="62B14EDE" w14:textId="77777777" w:rsidR="00C13094" w:rsidRPr="00D52E0A" w:rsidRDefault="00C13094" w:rsidP="00C13094">
      <w:pPr>
        <w:pStyle w:val="ATSHeading2"/>
      </w:pPr>
      <w:r w:rsidRPr="00D52E0A">
        <w:t>Implementation of Convention objectives</w:t>
      </w:r>
    </w:p>
    <w:p w14:paraId="472B899E" w14:textId="77777777" w:rsidR="00C13094" w:rsidRDefault="00C13094" w:rsidP="00C13094">
      <w:pPr>
        <w:pStyle w:val="ATSNormal"/>
      </w:pPr>
      <w:r>
        <w:rPr>
          <w:szCs w:val="22"/>
        </w:rPr>
        <w:t>18</w:t>
      </w:r>
      <w:r w:rsidRPr="00854F60">
        <w:rPr>
          <w:szCs w:val="22"/>
        </w:rPr>
        <w:t>.</w:t>
      </w:r>
      <w:r w:rsidRPr="00854F60">
        <w:rPr>
          <w:szCs w:val="22"/>
        </w:rPr>
        <w:tab/>
      </w:r>
      <w:r>
        <w:t xml:space="preserve">The Commission welcomed the Prague Declaration made by the Antarctic Treaty Consultative Parties on 8 July 2019. </w:t>
      </w:r>
    </w:p>
    <w:p w14:paraId="6C4B4C9C" w14:textId="77777777" w:rsidR="00C13094" w:rsidRPr="007404B2" w:rsidRDefault="00C13094" w:rsidP="00C13094">
      <w:pPr>
        <w:pStyle w:val="ATSNormal"/>
      </w:pPr>
      <w:r>
        <w:t>19</w:t>
      </w:r>
      <w:r w:rsidRPr="007404B2">
        <w:t xml:space="preserve">. </w:t>
      </w:r>
      <w:r w:rsidRPr="007404B2">
        <w:tab/>
        <w:t xml:space="preserve">The Commission agreed to establish a General Capacity Building Fund (GCBF) to support specific projects, </w:t>
      </w:r>
      <w:proofErr w:type="gramStart"/>
      <w:r w:rsidRPr="007404B2">
        <w:t>activities</w:t>
      </w:r>
      <w:proofErr w:type="gramEnd"/>
      <w:r w:rsidRPr="007404B2">
        <w:t xml:space="preserve"> or travel support, or to address special needs of Members if the Commission so decides, aimed at enhancing Members’ capacity to better achieve the objective of the CAMLR Convention. Applications to the fund are open to all Members, and to Acceding States or NCPs cooperating with the CDS where an application has the support of a Member. </w:t>
      </w:r>
    </w:p>
    <w:p w14:paraId="1FC6F130" w14:textId="77777777" w:rsidR="00C13094" w:rsidRDefault="00C13094" w:rsidP="00C13094">
      <w:pPr>
        <w:pStyle w:val="ATSNormal"/>
        <w:rPr>
          <w:szCs w:val="22"/>
        </w:rPr>
      </w:pPr>
    </w:p>
    <w:p w14:paraId="2E1F834C" w14:textId="77777777" w:rsidR="00C13094" w:rsidRPr="00854F60" w:rsidRDefault="00C13094" w:rsidP="00C13094">
      <w:pPr>
        <w:pStyle w:val="documenttitle"/>
        <w:spacing w:after="240"/>
        <w:rPr>
          <w:szCs w:val="22"/>
        </w:rPr>
      </w:pPr>
      <w:r>
        <w:rPr>
          <w:rFonts w:ascii="Arial" w:hAnsi="Arial" w:cs="Arial"/>
          <w:sz w:val="32"/>
          <w:szCs w:val="32"/>
        </w:rPr>
        <w:br w:type="page"/>
      </w:r>
      <w:r>
        <w:rPr>
          <w:rFonts w:ascii="Arial" w:hAnsi="Arial" w:cs="Arial"/>
          <w:sz w:val="32"/>
          <w:szCs w:val="32"/>
        </w:rPr>
        <w:lastRenderedPageBreak/>
        <w:t>CCAMLR-39 (October 2020)</w:t>
      </w:r>
      <w:r w:rsidRPr="00ED1A6F">
        <w:rPr>
          <w:rFonts w:cs="Times New Roman"/>
          <w:sz w:val="22"/>
          <w:szCs w:val="22"/>
        </w:rPr>
        <w:br/>
      </w:r>
    </w:p>
    <w:p w14:paraId="09FCD1AE" w14:textId="77777777" w:rsidR="00C13094" w:rsidRPr="0053419D" w:rsidRDefault="00C13094" w:rsidP="00C13094">
      <w:pPr>
        <w:pStyle w:val="ATSNormal"/>
        <w:rPr>
          <w:szCs w:val="22"/>
        </w:rPr>
      </w:pPr>
      <w:r w:rsidRPr="0053419D">
        <w:rPr>
          <w:szCs w:val="22"/>
        </w:rPr>
        <w:t>1.</w:t>
      </w:r>
      <w:r w:rsidRPr="0053419D">
        <w:rPr>
          <w:szCs w:val="22"/>
        </w:rPr>
        <w:tab/>
        <w:t xml:space="preserve">The 39th Annual Meeting of CCAMLR (CCAMLR-39) was held online from 27 </w:t>
      </w:r>
      <w:r>
        <w:rPr>
          <w:szCs w:val="22"/>
        </w:rPr>
        <w:t>to</w:t>
      </w:r>
      <w:r w:rsidRPr="0053419D">
        <w:rPr>
          <w:szCs w:val="22"/>
        </w:rPr>
        <w:t xml:space="preserve"> 30 October 2020</w:t>
      </w:r>
      <w:r>
        <w:rPr>
          <w:szCs w:val="22"/>
        </w:rPr>
        <w:t xml:space="preserve"> and</w:t>
      </w:r>
      <w:r w:rsidRPr="0053419D">
        <w:rPr>
          <w:szCs w:val="22"/>
        </w:rPr>
        <w:t xml:space="preserve"> was chaired by Mr Fernando Curcio </w:t>
      </w:r>
      <w:proofErr w:type="spellStart"/>
      <w:r w:rsidRPr="0053419D">
        <w:rPr>
          <w:szCs w:val="22"/>
        </w:rPr>
        <w:t>Ruigómez</w:t>
      </w:r>
      <w:proofErr w:type="spellEnd"/>
      <w:r w:rsidRPr="0053419D">
        <w:rPr>
          <w:szCs w:val="22"/>
        </w:rPr>
        <w:t xml:space="preserve"> (Spain).</w:t>
      </w:r>
    </w:p>
    <w:p w14:paraId="4304B63C" w14:textId="77777777" w:rsidR="00C13094" w:rsidRPr="0053419D" w:rsidRDefault="00C13094" w:rsidP="00C13094">
      <w:pPr>
        <w:pStyle w:val="ATSNormal"/>
        <w:rPr>
          <w:szCs w:val="22"/>
        </w:rPr>
      </w:pPr>
      <w:r w:rsidRPr="0053419D">
        <w:rPr>
          <w:szCs w:val="22"/>
        </w:rPr>
        <w:t xml:space="preserve">2. </w:t>
      </w:r>
      <w:r w:rsidRPr="0053419D">
        <w:rPr>
          <w:szCs w:val="22"/>
        </w:rPr>
        <w:tab/>
        <w:t>The Report of the Meeting is in the public domain (</w:t>
      </w:r>
      <w:hyperlink r:id="rId12" w:history="1">
        <w:r w:rsidRPr="00205C6D">
          <w:rPr>
            <w:rStyle w:val="Hipervnculo"/>
            <w:szCs w:val="22"/>
          </w:rPr>
          <w:t>www.ccamlr.org/node/</w:t>
        </w:r>
        <w:r w:rsidRPr="00205C6D">
          <w:rPr>
            <w:rStyle w:val="Hipervnculo"/>
          </w:rPr>
          <w:t>107598</w:t>
        </w:r>
      </w:hyperlink>
      <w:r w:rsidRPr="0053419D">
        <w:rPr>
          <w:szCs w:val="22"/>
        </w:rPr>
        <w:t xml:space="preserve">). </w:t>
      </w:r>
    </w:p>
    <w:p w14:paraId="26CFF437" w14:textId="77777777" w:rsidR="00C13094" w:rsidRPr="0053419D" w:rsidRDefault="00C13094" w:rsidP="00C13094">
      <w:pPr>
        <w:pStyle w:val="ATSNormal"/>
        <w:rPr>
          <w:szCs w:val="22"/>
        </w:rPr>
      </w:pPr>
      <w:r w:rsidRPr="0053419D">
        <w:rPr>
          <w:szCs w:val="22"/>
        </w:rPr>
        <w:t xml:space="preserve">3. </w:t>
      </w:r>
      <w:r w:rsidRPr="0053419D">
        <w:rPr>
          <w:szCs w:val="22"/>
        </w:rPr>
        <w:tab/>
        <w:t>The Standing Committee on Implementation and Compliance (SCIC) and the Standing Committee on Administration and Finance (SCAF) had informal virtual meetings and did not adopt a report, however, the Chair (SCIC) and Acting Chair (SCAF) presented summar</w:t>
      </w:r>
      <w:r>
        <w:rPr>
          <w:szCs w:val="22"/>
        </w:rPr>
        <w:t>ies</w:t>
      </w:r>
      <w:r w:rsidRPr="0053419D">
        <w:rPr>
          <w:szCs w:val="22"/>
        </w:rPr>
        <w:t xml:space="preserve"> of the e-group discussions to the Commission for consideration.</w:t>
      </w:r>
    </w:p>
    <w:p w14:paraId="12D8A259" w14:textId="77777777" w:rsidR="00C13094" w:rsidRPr="0053419D" w:rsidRDefault="00C13094" w:rsidP="00C13094">
      <w:pPr>
        <w:pStyle w:val="ATSNormal"/>
        <w:rPr>
          <w:szCs w:val="22"/>
        </w:rPr>
      </w:pPr>
      <w:r w:rsidRPr="0053419D">
        <w:rPr>
          <w:szCs w:val="22"/>
        </w:rPr>
        <w:t xml:space="preserve">4. </w:t>
      </w:r>
      <w:r w:rsidRPr="0053419D">
        <w:rPr>
          <w:szCs w:val="22"/>
        </w:rPr>
        <w:tab/>
        <w:t>Australia, as the Depositary State, reported that on 7 May 2020, the People’s Republic of China (PRC) made a declaration that in accordance with the Basic Law of the Hong Kong Special Administrative Region of the PRC, the Government of the PRC decides that the Convention will apply to the Hong Kong Special Administrative Region of the PRC from 1 July 2020.</w:t>
      </w:r>
    </w:p>
    <w:p w14:paraId="1BD8E4EF" w14:textId="77777777" w:rsidR="00C13094" w:rsidRPr="0053419D" w:rsidRDefault="00C13094" w:rsidP="00C13094">
      <w:pPr>
        <w:pStyle w:val="ATSNormal"/>
        <w:rPr>
          <w:szCs w:val="22"/>
        </w:rPr>
      </w:pPr>
      <w:r w:rsidRPr="0053419D">
        <w:rPr>
          <w:szCs w:val="22"/>
        </w:rPr>
        <w:t xml:space="preserve">5. </w:t>
      </w:r>
      <w:r w:rsidRPr="0053419D">
        <w:rPr>
          <w:szCs w:val="22"/>
        </w:rPr>
        <w:tab/>
        <w:t xml:space="preserve">The Commission remembered Professor </w:t>
      </w:r>
      <w:proofErr w:type="spellStart"/>
      <w:r w:rsidRPr="0053419D">
        <w:rPr>
          <w:szCs w:val="22"/>
        </w:rPr>
        <w:t>Denzil</w:t>
      </w:r>
      <w:proofErr w:type="spellEnd"/>
      <w:r w:rsidRPr="0053419D">
        <w:rPr>
          <w:szCs w:val="22"/>
        </w:rPr>
        <w:t xml:space="preserve"> Miller who died on 30 November 2019, and who played a central role in CCAMLR and Antarctic affairs for over forty years. </w:t>
      </w:r>
    </w:p>
    <w:p w14:paraId="6AD36BEE" w14:textId="77777777" w:rsidR="00C13094" w:rsidRDefault="00C13094" w:rsidP="00C13094">
      <w:pPr>
        <w:pStyle w:val="ATSNormal"/>
      </w:pPr>
    </w:p>
    <w:p w14:paraId="4BE071C3" w14:textId="77777777" w:rsidR="00C13094" w:rsidRPr="00B83BD3" w:rsidRDefault="00C13094" w:rsidP="00C13094">
      <w:pPr>
        <w:pStyle w:val="ATSNormal"/>
        <w:rPr>
          <w:rFonts w:ascii="Arial" w:hAnsi="Arial" w:cs="Arial"/>
          <w:b/>
          <w:bCs/>
          <w:i/>
          <w:iCs/>
          <w:sz w:val="24"/>
        </w:rPr>
      </w:pPr>
      <w:r w:rsidRPr="00B83BD3">
        <w:rPr>
          <w:rFonts w:ascii="Arial" w:hAnsi="Arial" w:cs="Arial"/>
          <w:b/>
          <w:bCs/>
          <w:i/>
          <w:iCs/>
          <w:sz w:val="24"/>
        </w:rPr>
        <w:t>Implementation and compliance</w:t>
      </w:r>
    </w:p>
    <w:p w14:paraId="7C7919AE" w14:textId="77777777" w:rsidR="00C13094" w:rsidRDefault="00C13094" w:rsidP="00C13094">
      <w:pPr>
        <w:pStyle w:val="ATSNormal"/>
      </w:pPr>
      <w:r>
        <w:t xml:space="preserve">6. </w:t>
      </w:r>
      <w:r>
        <w:tab/>
        <w:t xml:space="preserve">The Commission added the vessel </w:t>
      </w:r>
      <w:r w:rsidRPr="001E612F">
        <w:rPr>
          <w:i/>
          <w:iCs/>
        </w:rPr>
        <w:t>Nika</w:t>
      </w:r>
      <w:r>
        <w:t xml:space="preserve"> to the Contracting Party IUU list. Panama subsequently informed the Commission that the </w:t>
      </w:r>
      <w:r w:rsidRPr="00D70FD4">
        <w:rPr>
          <w:i/>
          <w:iCs/>
        </w:rPr>
        <w:t>Nika</w:t>
      </w:r>
      <w:r w:rsidRPr="00D70FD4">
        <w:t xml:space="preserve"> ha</w:t>
      </w:r>
      <w:r>
        <w:t>d</w:t>
      </w:r>
      <w:r w:rsidRPr="00D70FD4">
        <w:t xml:space="preserve"> been removed from the Panamanian shipping vessel register.</w:t>
      </w:r>
    </w:p>
    <w:p w14:paraId="4CDB323A" w14:textId="77777777" w:rsidR="00C13094" w:rsidRDefault="00C13094" w:rsidP="00C13094">
      <w:pPr>
        <w:pStyle w:val="ATSNormal"/>
      </w:pPr>
      <w:r>
        <w:t xml:space="preserve">7. </w:t>
      </w:r>
      <w:r>
        <w:tab/>
      </w:r>
      <w:r w:rsidRPr="00D70FD4">
        <w:t xml:space="preserve">The Commission </w:t>
      </w:r>
      <w:r>
        <w:t>considered</w:t>
      </w:r>
      <w:r w:rsidRPr="00D70FD4">
        <w:t xml:space="preserve"> the recommendation from New Zealand to include the Russian</w:t>
      </w:r>
      <w:r>
        <w:t>-</w:t>
      </w:r>
      <w:r w:rsidRPr="00D70FD4">
        <w:t xml:space="preserve">flagged vessel </w:t>
      </w:r>
      <w:r w:rsidRPr="00D70FD4">
        <w:rPr>
          <w:i/>
          <w:iCs/>
        </w:rPr>
        <w:t>Palmer</w:t>
      </w:r>
      <w:r w:rsidRPr="00D70FD4">
        <w:t xml:space="preserve"> o</w:t>
      </w:r>
      <w:r>
        <w:t xml:space="preserve">n the Contracting Party IUU </w:t>
      </w:r>
      <w:proofErr w:type="gramStart"/>
      <w:r>
        <w:t>list, but</w:t>
      </w:r>
      <w:proofErr w:type="gramEnd"/>
      <w:r>
        <w:t xml:space="preserve"> could not reach consensus on including it on the List in 2020. </w:t>
      </w:r>
    </w:p>
    <w:p w14:paraId="1022CB64" w14:textId="77777777" w:rsidR="00C13094" w:rsidRDefault="00C13094" w:rsidP="00C13094">
      <w:pPr>
        <w:pStyle w:val="ATSNormal"/>
      </w:pPr>
      <w:r>
        <w:t xml:space="preserve">8. </w:t>
      </w:r>
      <w:r>
        <w:tab/>
        <w:t>Due to the fact that SCIC had only informal virtual meetings in 2020, the Commission concluded that it was not possible to adopt the 2020 Compliance Report.</w:t>
      </w:r>
    </w:p>
    <w:p w14:paraId="21E17985" w14:textId="77777777" w:rsidR="00C13094" w:rsidRPr="00F176D0" w:rsidRDefault="00C13094" w:rsidP="00C13094">
      <w:pPr>
        <w:pStyle w:val="ATSHeading2"/>
      </w:pPr>
      <w:r w:rsidRPr="00F176D0">
        <w:t>Administration and Finance</w:t>
      </w:r>
    </w:p>
    <w:p w14:paraId="61FFB403" w14:textId="77777777" w:rsidR="00C13094" w:rsidRDefault="00C13094" w:rsidP="00C13094">
      <w:pPr>
        <w:pStyle w:val="ATSNormal"/>
      </w:pPr>
      <w:r>
        <w:rPr>
          <w:szCs w:val="22"/>
        </w:rPr>
        <w:t>9</w:t>
      </w:r>
      <w:r w:rsidRPr="00ED1A6F">
        <w:rPr>
          <w:szCs w:val="22"/>
        </w:rPr>
        <w:t xml:space="preserve">. </w:t>
      </w:r>
      <w:r w:rsidRPr="00ED1A6F">
        <w:rPr>
          <w:szCs w:val="22"/>
        </w:rPr>
        <w:tab/>
      </w:r>
      <w:r>
        <w:rPr>
          <w:szCs w:val="22"/>
        </w:rPr>
        <w:t>The</w:t>
      </w:r>
      <w:r>
        <w:t xml:space="preserve"> Commission approved the recommendations of the General Capacity Building Fund Panel and agreed to fund two capacity building projects, from Ukraine and Uruguay. The Commission noted that the terms of reference for the General Science Capacity Fund (GSCF) will be finalised for presentation in 2021.</w:t>
      </w:r>
    </w:p>
    <w:p w14:paraId="29A9C8FC" w14:textId="77777777" w:rsidR="00C13094" w:rsidRDefault="00C13094" w:rsidP="00C13094">
      <w:pPr>
        <w:pStyle w:val="ATSNormal"/>
      </w:pPr>
      <w:r>
        <w:t xml:space="preserve">10. </w:t>
      </w:r>
      <w:r>
        <w:tab/>
        <w:t xml:space="preserve">The Commission reappointed Dr Agnew as Executive Secretary for 2022–2026. </w:t>
      </w:r>
    </w:p>
    <w:p w14:paraId="7190229E" w14:textId="77777777" w:rsidR="00C13094" w:rsidRDefault="00C13094" w:rsidP="00C13094">
      <w:pPr>
        <w:pStyle w:val="ATSHeading2"/>
      </w:pPr>
      <w:r>
        <w:t>Management of marine resources</w:t>
      </w:r>
    </w:p>
    <w:p w14:paraId="418CF4A5" w14:textId="77777777" w:rsidR="00C13094" w:rsidRDefault="00C13094" w:rsidP="00C13094">
      <w:pPr>
        <w:pStyle w:val="ATSNormal"/>
        <w:rPr>
          <w:szCs w:val="22"/>
        </w:rPr>
      </w:pPr>
      <w:r>
        <w:rPr>
          <w:szCs w:val="22"/>
        </w:rPr>
        <w:t>11</w:t>
      </w:r>
      <w:r w:rsidRPr="00854F60">
        <w:rPr>
          <w:szCs w:val="22"/>
        </w:rPr>
        <w:t>.</w:t>
      </w:r>
      <w:r w:rsidRPr="00854F60">
        <w:rPr>
          <w:szCs w:val="22"/>
        </w:rPr>
        <w:tab/>
        <w:t xml:space="preserve">The Commission noted that up to </w:t>
      </w:r>
      <w:r>
        <w:rPr>
          <w:szCs w:val="22"/>
        </w:rPr>
        <w:t>1 October 2020</w:t>
      </w:r>
      <w:r w:rsidRPr="00854F60">
        <w:rPr>
          <w:szCs w:val="22"/>
        </w:rPr>
        <w:t xml:space="preserve"> the total catch of krill reported for the 201</w:t>
      </w:r>
      <w:r>
        <w:rPr>
          <w:szCs w:val="22"/>
        </w:rPr>
        <w:t xml:space="preserve">9/20 fishing </w:t>
      </w:r>
      <w:r w:rsidRPr="00854F60">
        <w:rPr>
          <w:szCs w:val="22"/>
        </w:rPr>
        <w:t>season was</w:t>
      </w:r>
      <w:r>
        <w:rPr>
          <w:szCs w:val="22"/>
        </w:rPr>
        <w:t xml:space="preserve"> </w:t>
      </w:r>
      <w:r w:rsidRPr="0040377C">
        <w:rPr>
          <w:b/>
          <w:szCs w:val="22"/>
        </w:rPr>
        <w:t>446</w:t>
      </w:r>
      <w:r>
        <w:rPr>
          <w:b/>
          <w:szCs w:val="22"/>
        </w:rPr>
        <w:t> </w:t>
      </w:r>
      <w:r w:rsidRPr="0040377C">
        <w:rPr>
          <w:b/>
          <w:szCs w:val="22"/>
        </w:rPr>
        <w:t>783 t</w:t>
      </w:r>
      <w:r>
        <w:rPr>
          <w:b/>
          <w:szCs w:val="22"/>
        </w:rPr>
        <w:t>onnes</w:t>
      </w:r>
      <w:r>
        <w:rPr>
          <w:szCs w:val="22"/>
        </w:rPr>
        <w:t xml:space="preserve">, and that this was the </w:t>
      </w:r>
      <w:r w:rsidRPr="0040377C">
        <w:rPr>
          <w:szCs w:val="22"/>
        </w:rPr>
        <w:t>largest catch ever reported in Area 48</w:t>
      </w:r>
      <w:r>
        <w:rPr>
          <w:szCs w:val="22"/>
        </w:rPr>
        <w:t xml:space="preserve">. The total catch of </w:t>
      </w:r>
      <w:proofErr w:type="spellStart"/>
      <w:r w:rsidRPr="00E6499E">
        <w:rPr>
          <w:i/>
        </w:rPr>
        <w:t>Dissostichus</w:t>
      </w:r>
      <w:proofErr w:type="spellEnd"/>
      <w:r w:rsidRPr="00D962E4">
        <w:rPr>
          <w:i/>
        </w:rPr>
        <w:t xml:space="preserve"> </w:t>
      </w:r>
      <w:proofErr w:type="spellStart"/>
      <w:r w:rsidRPr="00D962E4">
        <w:rPr>
          <w:i/>
        </w:rPr>
        <w:t>eleginoides</w:t>
      </w:r>
      <w:proofErr w:type="spellEnd"/>
      <w:r>
        <w:rPr>
          <w:i/>
        </w:rPr>
        <w:t xml:space="preserve"> </w:t>
      </w:r>
      <w:r w:rsidRPr="0040377C">
        <w:rPr>
          <w:iCs/>
        </w:rPr>
        <w:t xml:space="preserve">was </w:t>
      </w:r>
      <w:r w:rsidRPr="0040377C">
        <w:rPr>
          <w:b/>
          <w:bCs/>
          <w:iCs/>
        </w:rPr>
        <w:t>11</w:t>
      </w:r>
      <w:r>
        <w:rPr>
          <w:b/>
          <w:bCs/>
          <w:iCs/>
        </w:rPr>
        <w:t> </w:t>
      </w:r>
      <w:r w:rsidRPr="0040377C">
        <w:rPr>
          <w:b/>
          <w:bCs/>
          <w:iCs/>
        </w:rPr>
        <w:t>924 t</w:t>
      </w:r>
      <w:r>
        <w:rPr>
          <w:b/>
          <w:bCs/>
          <w:iCs/>
        </w:rPr>
        <w:t>onnes</w:t>
      </w:r>
      <w:r w:rsidRPr="0040377C">
        <w:rPr>
          <w:iCs/>
        </w:rPr>
        <w:t xml:space="preserve"> and of</w:t>
      </w:r>
      <w:r>
        <w:rPr>
          <w:i/>
        </w:rPr>
        <w:t xml:space="preserve"> </w:t>
      </w:r>
      <w:proofErr w:type="spellStart"/>
      <w:r w:rsidRPr="00E6499E">
        <w:rPr>
          <w:i/>
        </w:rPr>
        <w:t>Dissostichus</w:t>
      </w:r>
      <w:proofErr w:type="spellEnd"/>
      <w:r w:rsidRPr="00D962E4">
        <w:rPr>
          <w:i/>
        </w:rPr>
        <w:t xml:space="preserve"> </w:t>
      </w:r>
      <w:proofErr w:type="spellStart"/>
      <w:r>
        <w:rPr>
          <w:i/>
        </w:rPr>
        <w:t>mawsoni</w:t>
      </w:r>
      <w:proofErr w:type="spellEnd"/>
      <w:r>
        <w:rPr>
          <w:i/>
        </w:rPr>
        <w:t xml:space="preserve"> </w:t>
      </w:r>
      <w:r w:rsidRPr="0040377C">
        <w:rPr>
          <w:iCs/>
        </w:rPr>
        <w:t xml:space="preserve">was </w:t>
      </w:r>
      <w:r w:rsidRPr="0040377C">
        <w:rPr>
          <w:b/>
          <w:bCs/>
          <w:iCs/>
        </w:rPr>
        <w:t>4</w:t>
      </w:r>
      <w:r>
        <w:rPr>
          <w:b/>
          <w:bCs/>
          <w:iCs/>
        </w:rPr>
        <w:t> </w:t>
      </w:r>
      <w:r w:rsidRPr="0040377C">
        <w:rPr>
          <w:b/>
          <w:bCs/>
          <w:iCs/>
        </w:rPr>
        <w:t>399 t</w:t>
      </w:r>
      <w:r>
        <w:rPr>
          <w:b/>
          <w:bCs/>
          <w:iCs/>
        </w:rPr>
        <w:t>onnes</w:t>
      </w:r>
      <w:r w:rsidRPr="0040377C">
        <w:rPr>
          <w:iCs/>
        </w:rPr>
        <w:t>.</w:t>
      </w:r>
    </w:p>
    <w:p w14:paraId="5792317C" w14:textId="77777777" w:rsidR="00C13094" w:rsidRDefault="00C13094" w:rsidP="00C13094">
      <w:pPr>
        <w:pStyle w:val="ATSNormal"/>
        <w:rPr>
          <w:szCs w:val="22"/>
        </w:rPr>
      </w:pPr>
      <w:r>
        <w:rPr>
          <w:szCs w:val="22"/>
        </w:rPr>
        <w:t xml:space="preserve">12. </w:t>
      </w:r>
      <w:r>
        <w:rPr>
          <w:szCs w:val="22"/>
        </w:rPr>
        <w:tab/>
      </w:r>
      <w:r w:rsidRPr="004E43EB">
        <w:rPr>
          <w:szCs w:val="22"/>
        </w:rPr>
        <w:t>The Commission welcomed the significant amount of focussed work that has been</w:t>
      </w:r>
      <w:r>
        <w:rPr>
          <w:szCs w:val="22"/>
        </w:rPr>
        <w:t xml:space="preserve"> </w:t>
      </w:r>
      <w:r w:rsidRPr="004E43EB">
        <w:rPr>
          <w:szCs w:val="22"/>
        </w:rPr>
        <w:t>undertaken by the Scientific Committee and its working groups in 2020 on developing the</w:t>
      </w:r>
      <w:r>
        <w:rPr>
          <w:szCs w:val="22"/>
        </w:rPr>
        <w:t xml:space="preserve"> </w:t>
      </w:r>
      <w:r w:rsidRPr="004E43EB">
        <w:rPr>
          <w:szCs w:val="22"/>
        </w:rPr>
        <w:t>revised krill management strategy</w:t>
      </w:r>
      <w:r>
        <w:rPr>
          <w:szCs w:val="22"/>
        </w:rPr>
        <w:t>.</w:t>
      </w:r>
    </w:p>
    <w:p w14:paraId="1E815032" w14:textId="77777777" w:rsidR="00C13094" w:rsidRDefault="00C13094" w:rsidP="00C13094">
      <w:pPr>
        <w:pStyle w:val="ATSNormal"/>
        <w:rPr>
          <w:szCs w:val="22"/>
        </w:rPr>
      </w:pPr>
      <w:r>
        <w:t xml:space="preserve">13. </w:t>
      </w:r>
      <w:r>
        <w:tab/>
        <w:t>Norway presented the preliminary results of a trial of measures to mitigate seabird interactions with net monitoring cables on krill fishing vessels.</w:t>
      </w:r>
      <w:r>
        <w:rPr>
          <w:szCs w:val="22"/>
        </w:rPr>
        <w:t xml:space="preserve"> A dedicated correspondence group has been</w:t>
      </w:r>
      <w:r w:rsidRPr="00B47730">
        <w:rPr>
          <w:szCs w:val="22"/>
        </w:rPr>
        <w:t xml:space="preserve"> organised in the 2020/21 intersessional period to</w:t>
      </w:r>
      <w:r>
        <w:rPr>
          <w:szCs w:val="22"/>
        </w:rPr>
        <w:t xml:space="preserve"> </w:t>
      </w:r>
      <w:r w:rsidRPr="00B47730">
        <w:rPr>
          <w:szCs w:val="22"/>
        </w:rPr>
        <w:t xml:space="preserve">address issues regarding </w:t>
      </w:r>
      <w:r>
        <w:rPr>
          <w:szCs w:val="22"/>
        </w:rPr>
        <w:t xml:space="preserve">seabird </w:t>
      </w:r>
      <w:r w:rsidRPr="00B47730">
        <w:rPr>
          <w:szCs w:val="22"/>
        </w:rPr>
        <w:t>strikes on net monitoring cables and warps</w:t>
      </w:r>
      <w:r>
        <w:rPr>
          <w:szCs w:val="22"/>
        </w:rPr>
        <w:t>.</w:t>
      </w:r>
    </w:p>
    <w:p w14:paraId="61EE4216" w14:textId="77777777" w:rsidR="00C13094" w:rsidRDefault="00C13094" w:rsidP="00C13094">
      <w:pPr>
        <w:pStyle w:val="ATSNormal"/>
      </w:pPr>
      <w:r>
        <w:rPr>
          <w:szCs w:val="22"/>
        </w:rPr>
        <w:t xml:space="preserve">14. </w:t>
      </w:r>
      <w:r>
        <w:rPr>
          <w:szCs w:val="22"/>
        </w:rPr>
        <w:tab/>
        <w:t xml:space="preserve">The Commission renewed all the conservation measures that were due to lapse in 2020. The revised schedule is available at: </w:t>
      </w:r>
      <w:hyperlink r:id="rId13" w:history="1">
        <w:r w:rsidRPr="00205C6D">
          <w:rPr>
            <w:rStyle w:val="Hipervnculo"/>
            <w:szCs w:val="22"/>
          </w:rPr>
          <w:t>www.ccamlr.org/node/</w:t>
        </w:r>
        <w:r w:rsidRPr="00205C6D">
          <w:rPr>
            <w:rStyle w:val="Hipervnculo"/>
          </w:rPr>
          <w:t>112002</w:t>
        </w:r>
      </w:hyperlink>
      <w:r>
        <w:rPr>
          <w:szCs w:val="22"/>
        </w:rPr>
        <w:t>.</w:t>
      </w:r>
    </w:p>
    <w:p w14:paraId="0C6A417A" w14:textId="77777777" w:rsidR="00C13094" w:rsidRDefault="00C13094" w:rsidP="00C13094">
      <w:pPr>
        <w:pStyle w:val="ATSNormal"/>
        <w:rPr>
          <w:szCs w:val="22"/>
        </w:rPr>
      </w:pPr>
    </w:p>
    <w:p w14:paraId="635EA5FB" w14:textId="77777777" w:rsidR="00C13094" w:rsidRDefault="00C13094" w:rsidP="00C13094">
      <w:pPr>
        <w:pStyle w:val="ATSNormal"/>
        <w:rPr>
          <w:szCs w:val="22"/>
        </w:rPr>
      </w:pPr>
    </w:p>
    <w:p w14:paraId="41128505" w14:textId="77777777" w:rsidR="00C13094" w:rsidRDefault="00C13094" w:rsidP="00C13094">
      <w:pPr>
        <w:pStyle w:val="ATSNormal"/>
        <w:rPr>
          <w:szCs w:val="22"/>
        </w:rPr>
      </w:pPr>
    </w:p>
    <w:p w14:paraId="7E85EDCD" w14:textId="77777777" w:rsidR="00C13094" w:rsidRPr="00F54D68" w:rsidRDefault="00C13094" w:rsidP="00C13094">
      <w:pPr>
        <w:pStyle w:val="ATSHeading2"/>
      </w:pPr>
      <w:r>
        <w:t>O</w:t>
      </w:r>
      <w:r w:rsidRPr="00F54D68">
        <w:t>ther business</w:t>
      </w:r>
    </w:p>
    <w:p w14:paraId="7300BB45" w14:textId="77777777" w:rsidR="00C13094" w:rsidRPr="0053419D" w:rsidRDefault="00C13094" w:rsidP="00C13094">
      <w:pPr>
        <w:pStyle w:val="ATSNormal"/>
        <w:rPr>
          <w:szCs w:val="22"/>
        </w:rPr>
      </w:pPr>
      <w:r w:rsidRPr="0053419D">
        <w:rPr>
          <w:szCs w:val="22"/>
        </w:rPr>
        <w:t xml:space="preserve">15. </w:t>
      </w:r>
      <w:r w:rsidRPr="0053419D">
        <w:rPr>
          <w:szCs w:val="22"/>
        </w:rPr>
        <w:tab/>
        <w:t xml:space="preserve">Due to the constraints of the online meeting, several items that would normally be considered in the main agenda of the Commission were discussed instead under other business. </w:t>
      </w:r>
    </w:p>
    <w:p w14:paraId="7E1D322F" w14:textId="77777777" w:rsidR="00C13094" w:rsidRPr="0053419D" w:rsidRDefault="00C13094" w:rsidP="00C13094">
      <w:pPr>
        <w:pStyle w:val="ATSNormal"/>
        <w:rPr>
          <w:szCs w:val="22"/>
        </w:rPr>
      </w:pPr>
      <w:r>
        <w:rPr>
          <w:szCs w:val="22"/>
        </w:rPr>
        <w:t xml:space="preserve">16. </w:t>
      </w:r>
      <w:r>
        <w:rPr>
          <w:szCs w:val="22"/>
        </w:rPr>
        <w:tab/>
      </w:r>
      <w:r w:rsidRPr="0053419D">
        <w:rPr>
          <w:szCs w:val="22"/>
        </w:rPr>
        <w:t>The Commission agreed to establish an e-group aimed at facilitating discussions on reinforcing the objective of the Convention, to pave the way for the Commission’s 40th meeting.</w:t>
      </w:r>
    </w:p>
    <w:p w14:paraId="411B3979" w14:textId="77777777" w:rsidR="00C13094" w:rsidRPr="0053419D" w:rsidRDefault="00C13094" w:rsidP="00C13094">
      <w:pPr>
        <w:pStyle w:val="ATSNormal"/>
        <w:rPr>
          <w:szCs w:val="22"/>
        </w:rPr>
      </w:pPr>
      <w:r w:rsidRPr="0053419D">
        <w:rPr>
          <w:szCs w:val="22"/>
        </w:rPr>
        <w:t>1</w:t>
      </w:r>
      <w:r>
        <w:rPr>
          <w:szCs w:val="22"/>
        </w:rPr>
        <w:t>7</w:t>
      </w:r>
      <w:r w:rsidRPr="0053419D">
        <w:rPr>
          <w:szCs w:val="22"/>
        </w:rPr>
        <w:t xml:space="preserve">. </w:t>
      </w:r>
      <w:r w:rsidRPr="0053419D">
        <w:rPr>
          <w:szCs w:val="22"/>
        </w:rPr>
        <w:tab/>
        <w:t xml:space="preserve">The Commission noted that the designation of the newly exposed marine area adjacent to Pine Island Glacier as a Stage 1 Special Area for Scientific Study (see paragraph 14 </w:t>
      </w:r>
      <w:r>
        <w:rPr>
          <w:szCs w:val="22"/>
        </w:rPr>
        <w:t>in the report of CCAMLR-38 above</w:t>
      </w:r>
      <w:r w:rsidRPr="0053419D">
        <w:rPr>
          <w:szCs w:val="22"/>
        </w:rPr>
        <w:t xml:space="preserve">) will expire on 31 May 2021. The Commission could not reach agreement on a proposal to extend this deadline by one further year or to designate the area as a Stage 2 Special Area for Scientific Study. </w:t>
      </w:r>
    </w:p>
    <w:p w14:paraId="4C78AF4C" w14:textId="77777777" w:rsidR="00C13094" w:rsidRPr="0053419D" w:rsidRDefault="00C13094" w:rsidP="00C13094">
      <w:pPr>
        <w:pStyle w:val="ATSNormal"/>
        <w:rPr>
          <w:szCs w:val="22"/>
        </w:rPr>
      </w:pPr>
      <w:r w:rsidRPr="0053419D">
        <w:rPr>
          <w:szCs w:val="22"/>
        </w:rPr>
        <w:t>1</w:t>
      </w:r>
      <w:r>
        <w:rPr>
          <w:szCs w:val="22"/>
        </w:rPr>
        <w:t>8</w:t>
      </w:r>
      <w:r w:rsidRPr="0053419D">
        <w:rPr>
          <w:szCs w:val="22"/>
        </w:rPr>
        <w:t xml:space="preserve">. </w:t>
      </w:r>
      <w:r w:rsidRPr="0053419D">
        <w:rPr>
          <w:szCs w:val="22"/>
        </w:rPr>
        <w:tab/>
        <w:t xml:space="preserve">The Commission noted revised proposals to establish MPAs in Domain 1 (Antarctic Peninsula), the East Antarctic and in the Weddell Sea region. </w:t>
      </w:r>
    </w:p>
    <w:p w14:paraId="4CE9D65E" w14:textId="77777777" w:rsidR="00C13094" w:rsidRPr="0053419D" w:rsidRDefault="00C13094" w:rsidP="00C13094">
      <w:pPr>
        <w:pStyle w:val="ATSNormal"/>
        <w:rPr>
          <w:szCs w:val="22"/>
        </w:rPr>
      </w:pPr>
      <w:r w:rsidRPr="0053419D">
        <w:rPr>
          <w:szCs w:val="22"/>
        </w:rPr>
        <w:t>1</w:t>
      </w:r>
      <w:r>
        <w:rPr>
          <w:szCs w:val="22"/>
        </w:rPr>
        <w:t>9</w:t>
      </w:r>
      <w:r w:rsidRPr="0053419D">
        <w:rPr>
          <w:szCs w:val="22"/>
        </w:rPr>
        <w:t xml:space="preserve">. </w:t>
      </w:r>
      <w:r w:rsidRPr="0053419D">
        <w:rPr>
          <w:szCs w:val="22"/>
        </w:rPr>
        <w:tab/>
        <w:t>The Commission also noted the development of new terms of reference for the climate change e</w:t>
      </w:r>
      <w:r>
        <w:rPr>
          <w:szCs w:val="22"/>
        </w:rPr>
        <w:noBreakHyphen/>
      </w:r>
      <w:r w:rsidRPr="0053419D">
        <w:rPr>
          <w:szCs w:val="22"/>
        </w:rPr>
        <w:t xml:space="preserve">group </w:t>
      </w:r>
      <w:proofErr w:type="gramStart"/>
      <w:r w:rsidRPr="0053419D">
        <w:rPr>
          <w:szCs w:val="22"/>
        </w:rPr>
        <w:t>in order to</w:t>
      </w:r>
      <w:proofErr w:type="gramEnd"/>
      <w:r w:rsidRPr="0053419D">
        <w:rPr>
          <w:szCs w:val="22"/>
        </w:rPr>
        <w:t xml:space="preserve"> further</w:t>
      </w:r>
      <w:r>
        <w:rPr>
          <w:szCs w:val="22"/>
        </w:rPr>
        <w:t xml:space="preserve"> the</w:t>
      </w:r>
      <w:r w:rsidRPr="0053419D">
        <w:rPr>
          <w:szCs w:val="22"/>
        </w:rPr>
        <w:t xml:space="preserve"> development of mechanisms to ensure the latest climate change research is integrated into the work of the Scientific Committee and considered in the development of management advice for the Commission.</w:t>
      </w:r>
    </w:p>
    <w:p w14:paraId="41D1B33C" w14:textId="77777777" w:rsidR="00C13094" w:rsidRPr="00F54D68" w:rsidRDefault="00C13094" w:rsidP="00C13094">
      <w:pPr>
        <w:pStyle w:val="ATSHeading2"/>
      </w:pPr>
      <w:r w:rsidRPr="00F54D68">
        <w:t>Next meeting</w:t>
      </w:r>
    </w:p>
    <w:p w14:paraId="24D5CB88" w14:textId="77777777" w:rsidR="00C13094" w:rsidRPr="00F54D68" w:rsidRDefault="00C13094" w:rsidP="00C13094">
      <w:pPr>
        <w:pStyle w:val="ATSNormal"/>
      </w:pPr>
      <w:r>
        <w:t>20</w:t>
      </w:r>
      <w:r w:rsidRPr="00F54D68">
        <w:t xml:space="preserve">. </w:t>
      </w:r>
      <w:r w:rsidRPr="00F54D68">
        <w:tab/>
        <w:t>Sweden (Dr J</w:t>
      </w:r>
      <w:r>
        <w:t>.</w:t>
      </w:r>
      <w:r w:rsidRPr="00F54D68">
        <w:t xml:space="preserve"> Granit) will Chair the Commission for the 2021</w:t>
      </w:r>
      <w:r>
        <w:t xml:space="preserve"> and 2022</w:t>
      </w:r>
      <w:r w:rsidRPr="00F54D68">
        <w:t xml:space="preserve"> meeting</w:t>
      </w:r>
      <w:r>
        <w:t>s</w:t>
      </w:r>
      <w:r w:rsidRPr="00F54D68">
        <w:t xml:space="preserve">. Argentina </w:t>
      </w:r>
      <w:r>
        <w:t xml:space="preserve">(Mr M. </w:t>
      </w:r>
      <w:proofErr w:type="spellStart"/>
      <w:r>
        <w:t>Gowland</w:t>
      </w:r>
      <w:proofErr w:type="spellEnd"/>
      <w:r>
        <w:t xml:space="preserve">) </w:t>
      </w:r>
      <w:r w:rsidRPr="00F54D68">
        <w:t xml:space="preserve">will continue to serve as Vice-Chair. Ms </w:t>
      </w:r>
      <w:r>
        <w:t>M.</w:t>
      </w:r>
      <w:r w:rsidRPr="00F54D68">
        <w:t xml:space="preserve"> </w:t>
      </w:r>
      <w:proofErr w:type="spellStart"/>
      <w:r w:rsidRPr="00F54D68">
        <w:t>Engelke</w:t>
      </w:r>
      <w:proofErr w:type="spellEnd"/>
      <w:r w:rsidRPr="00F54D68">
        <w:t xml:space="preserve">-Ros </w:t>
      </w:r>
      <w:r>
        <w:t xml:space="preserve">(USA) </w:t>
      </w:r>
      <w:r w:rsidRPr="00F54D68">
        <w:t>was elected to the Chair of SCIC and Ms</w:t>
      </w:r>
      <w:r>
        <w:t> </w:t>
      </w:r>
      <w:r w:rsidRPr="00F54D68">
        <w:t>S</w:t>
      </w:r>
      <w:r>
        <w:t>. </w:t>
      </w:r>
      <w:proofErr w:type="spellStart"/>
      <w:r w:rsidRPr="00F54D68">
        <w:t>Langerock</w:t>
      </w:r>
      <w:proofErr w:type="spellEnd"/>
      <w:r>
        <w:t xml:space="preserve"> (Belgium)</w:t>
      </w:r>
      <w:r w:rsidRPr="00F54D68">
        <w:t xml:space="preserve"> to the Chair of SCAF for the years 2021</w:t>
      </w:r>
      <w:r>
        <w:t>–</w:t>
      </w:r>
      <w:r w:rsidRPr="00F54D68">
        <w:t xml:space="preserve">2022. </w:t>
      </w:r>
    </w:p>
    <w:p w14:paraId="38EDE5DE" w14:textId="77777777" w:rsidR="00C13094" w:rsidRDefault="00C13094" w:rsidP="00C13094">
      <w:pPr>
        <w:pStyle w:val="ATSNormal"/>
      </w:pPr>
      <w:r>
        <w:t>21</w:t>
      </w:r>
      <w:r w:rsidRPr="00F54D68">
        <w:t xml:space="preserve">. </w:t>
      </w:r>
      <w:r w:rsidRPr="00F54D68">
        <w:tab/>
        <w:t xml:space="preserve">The 40th Meeting of the Commission will be held in Hobart, Australia, from 18 to 29 October 2021, unless the Commission decides otherwise. The Commission asked that planning for the meetings begin </w:t>
      </w:r>
      <w:proofErr w:type="gramStart"/>
      <w:r w:rsidRPr="00F54D68">
        <w:t>early, and</w:t>
      </w:r>
      <w:proofErr w:type="gramEnd"/>
      <w:r w:rsidRPr="00F54D68">
        <w:t xml:space="preserve"> include planning for formal meetings of SCIC and SCAF.</w:t>
      </w:r>
    </w:p>
    <w:p w14:paraId="675853B8" w14:textId="77777777" w:rsidR="004B4A60" w:rsidRDefault="00C13094" w:rsidP="00952E9F"/>
    <w:sectPr w:rsidR="004B4A60"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F7191" w14:textId="77777777" w:rsidR="00000000" w:rsidRDefault="00C13094">
      <w:r>
        <w:separator/>
      </w:r>
    </w:p>
  </w:endnote>
  <w:endnote w:type="continuationSeparator" w:id="0">
    <w:p w14:paraId="70534A77" w14:textId="77777777" w:rsidR="00000000" w:rsidRDefault="00C13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F16C9" w14:textId="77777777" w:rsidR="00FA0B9F" w:rsidRDefault="00C13094" w:rsidP="00CF5C82">
    <w:pPr>
      <w:framePr w:wrap="around" w:vAnchor="text" w:hAnchor="margin" w:xAlign="right" w:y="1"/>
    </w:pPr>
    <w:r>
      <w:fldChar w:fldCharType="begin"/>
    </w:r>
    <w:r>
      <w:instrText xml:space="preserve">PAGE  </w:instrText>
    </w:r>
    <w:r>
      <w:fldChar w:fldCharType="end"/>
    </w:r>
  </w:p>
  <w:p w14:paraId="5E99CACD" w14:textId="77777777" w:rsidR="00FA0B9F" w:rsidRDefault="00C1309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093E5" w14:textId="77777777" w:rsidR="00FA0B9F" w:rsidRDefault="00C1309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C16B6AC" w14:textId="3353047C" w:rsidR="00FA0B9F" w:rsidRDefault="00C13094" w:rsidP="00C13094">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8663F" w14:textId="77777777" w:rsidR="00E311C9" w:rsidRDefault="00C13094"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7775FD9" w14:textId="77777777" w:rsidR="00E311C9" w:rsidRDefault="00C1309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0B793" w14:textId="77777777" w:rsidR="00000000" w:rsidRDefault="00C13094">
      <w:r>
        <w:separator/>
      </w:r>
    </w:p>
  </w:footnote>
  <w:footnote w:type="continuationSeparator" w:id="0">
    <w:p w14:paraId="4A244E33" w14:textId="77777777" w:rsidR="00000000" w:rsidRDefault="00C13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72" w:type="dxa"/>
      <w:jc w:val="center"/>
      <w:tblLook w:val="01E0" w:firstRow="1" w:lastRow="1" w:firstColumn="1" w:lastColumn="1" w:noHBand="0" w:noVBand="0"/>
    </w:tblPr>
    <w:tblGrid>
      <w:gridCol w:w="5495"/>
      <w:gridCol w:w="3544"/>
      <w:gridCol w:w="709"/>
      <w:gridCol w:w="1134"/>
      <w:gridCol w:w="390"/>
    </w:tblGrid>
    <w:tr w:rsidR="00E10EF0" w14:paraId="715166C9" w14:textId="77777777" w:rsidTr="00490760">
      <w:trPr>
        <w:trHeight w:val="344"/>
        <w:jc w:val="center"/>
      </w:trPr>
      <w:tc>
        <w:tcPr>
          <w:tcW w:w="5495" w:type="dxa"/>
        </w:tcPr>
        <w:p w14:paraId="3F5D6774" w14:textId="77777777" w:rsidR="00DB7C09" w:rsidRDefault="00C13094" w:rsidP="00F968D4"/>
      </w:tc>
      <w:tc>
        <w:tcPr>
          <w:tcW w:w="4253" w:type="dxa"/>
          <w:gridSpan w:val="2"/>
        </w:tcPr>
        <w:p w14:paraId="7D56ACAC" w14:textId="77777777" w:rsidR="00DB7C09" w:rsidRPr="00BD47E4" w:rsidRDefault="00C13094" w:rsidP="002A07BC">
          <w:pPr>
            <w:jc w:val="right"/>
            <w:rPr>
              <w:b/>
              <w:sz w:val="32"/>
              <w:szCs w:val="32"/>
            </w:rPr>
          </w:pPr>
          <w:bookmarkStart w:id="2" w:name="type"/>
          <w:r w:rsidRPr="00BD47E4">
            <w:rPr>
              <w:b/>
              <w:sz w:val="32"/>
              <w:szCs w:val="32"/>
            </w:rPr>
            <w:t>IP</w:t>
          </w:r>
          <w:bookmarkEnd w:id="2"/>
        </w:p>
      </w:tc>
      <w:tc>
        <w:tcPr>
          <w:tcW w:w="1524" w:type="dxa"/>
          <w:gridSpan w:val="2"/>
        </w:tcPr>
        <w:p w14:paraId="012B3308" w14:textId="77777777" w:rsidR="00DB7C09" w:rsidRPr="00BD47E4" w:rsidRDefault="00C13094" w:rsidP="00DB7C09">
          <w:pPr>
            <w:rPr>
              <w:b/>
              <w:sz w:val="32"/>
              <w:szCs w:val="32"/>
            </w:rPr>
          </w:pPr>
          <w:bookmarkStart w:id="3" w:name="number"/>
          <w:r w:rsidRPr="00BD47E4">
            <w:rPr>
              <w:b/>
              <w:sz w:val="32"/>
              <w:szCs w:val="32"/>
            </w:rPr>
            <w:t>3</w:t>
          </w:r>
          <w:bookmarkEnd w:id="3"/>
        </w:p>
      </w:tc>
    </w:tr>
    <w:tr w:rsidR="00E10EF0" w14:paraId="497E08C1" w14:textId="77777777" w:rsidTr="00490760">
      <w:trPr>
        <w:trHeight w:val="2165"/>
        <w:jc w:val="center"/>
      </w:trPr>
      <w:tc>
        <w:tcPr>
          <w:tcW w:w="5495" w:type="dxa"/>
        </w:tcPr>
        <w:p w14:paraId="5AE125A7" w14:textId="77777777" w:rsidR="00490760" w:rsidRPr="00EE4D48" w:rsidRDefault="00C13094" w:rsidP="002A07BC">
          <w:pPr>
            <w:rPr>
              <w:b/>
              <w:sz w:val="28"/>
              <w:szCs w:val="28"/>
            </w:rPr>
          </w:pPr>
          <w:r>
            <w:rPr>
              <w:b/>
              <w:noProof/>
              <w:sz w:val="28"/>
              <w:szCs w:val="28"/>
            </w:rPr>
            <w:drawing>
              <wp:inline distT="0" distB="0" distL="0" distR="0" wp14:anchorId="47FFDE47" wp14:editId="3DFF2103">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37573"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0A6E6DFC" w14:textId="77777777" w:rsidR="00490760" w:rsidRPr="00FE5146" w:rsidRDefault="00C13094" w:rsidP="00490760">
          <w:pPr>
            <w:jc w:val="right"/>
            <w:rPr>
              <w:sz w:val="144"/>
              <w:szCs w:val="144"/>
            </w:rPr>
          </w:pPr>
          <w:r w:rsidRPr="00FE5146">
            <w:rPr>
              <w:sz w:val="144"/>
              <w:szCs w:val="144"/>
            </w:rPr>
            <w:t>ENG</w:t>
          </w:r>
        </w:p>
      </w:tc>
    </w:tr>
    <w:tr w:rsidR="00E10EF0" w14:paraId="698049CE" w14:textId="77777777" w:rsidTr="00BD47E4">
      <w:trPr>
        <w:trHeight w:val="409"/>
        <w:jc w:val="center"/>
      </w:trPr>
      <w:tc>
        <w:tcPr>
          <w:tcW w:w="9039" w:type="dxa"/>
          <w:gridSpan w:val="2"/>
        </w:tcPr>
        <w:p w14:paraId="0322B466" w14:textId="77777777" w:rsidR="00BD47E4" w:rsidRDefault="00C13094" w:rsidP="002C30DA">
          <w:pPr>
            <w:jc w:val="right"/>
          </w:pPr>
          <w:r>
            <w:t>Agenda Item:</w:t>
          </w:r>
        </w:p>
      </w:tc>
      <w:tc>
        <w:tcPr>
          <w:tcW w:w="1843" w:type="dxa"/>
          <w:gridSpan w:val="2"/>
        </w:tcPr>
        <w:p w14:paraId="656F7030" w14:textId="77777777" w:rsidR="00BD47E4" w:rsidRDefault="00C13094" w:rsidP="002C30DA">
          <w:pPr>
            <w:jc w:val="right"/>
          </w:pPr>
          <w:bookmarkStart w:id="4" w:name="agenda"/>
          <w:r>
            <w:t>ATCM 4</w:t>
          </w:r>
          <w:bookmarkEnd w:id="4"/>
        </w:p>
      </w:tc>
      <w:tc>
        <w:tcPr>
          <w:tcW w:w="390" w:type="dxa"/>
        </w:tcPr>
        <w:p w14:paraId="7F2FD80C" w14:textId="77777777" w:rsidR="00BD47E4" w:rsidRDefault="00C13094" w:rsidP="00387A65">
          <w:pPr>
            <w:jc w:val="right"/>
          </w:pPr>
        </w:p>
      </w:tc>
    </w:tr>
    <w:tr w:rsidR="00E10EF0" w14:paraId="0AE96C5F" w14:textId="77777777" w:rsidTr="00BD47E4">
      <w:trPr>
        <w:trHeight w:val="397"/>
        <w:jc w:val="center"/>
      </w:trPr>
      <w:tc>
        <w:tcPr>
          <w:tcW w:w="9039" w:type="dxa"/>
          <w:gridSpan w:val="2"/>
        </w:tcPr>
        <w:p w14:paraId="799C5101" w14:textId="77777777" w:rsidR="00BD47E4" w:rsidRDefault="00C13094" w:rsidP="002C30DA">
          <w:pPr>
            <w:jc w:val="right"/>
          </w:pPr>
          <w:r>
            <w:t>Presented by:</w:t>
          </w:r>
        </w:p>
      </w:tc>
      <w:tc>
        <w:tcPr>
          <w:tcW w:w="1843" w:type="dxa"/>
          <w:gridSpan w:val="2"/>
        </w:tcPr>
        <w:p w14:paraId="7CDC8626" w14:textId="77777777" w:rsidR="00BD47E4" w:rsidRDefault="00C13094" w:rsidP="002C30DA">
          <w:pPr>
            <w:jc w:val="right"/>
          </w:pPr>
          <w:bookmarkStart w:id="5" w:name="party"/>
          <w:r>
            <w:t>CCAMLR</w:t>
          </w:r>
          <w:bookmarkEnd w:id="5"/>
        </w:p>
      </w:tc>
      <w:tc>
        <w:tcPr>
          <w:tcW w:w="390" w:type="dxa"/>
        </w:tcPr>
        <w:p w14:paraId="33136A80" w14:textId="77777777" w:rsidR="00BD47E4" w:rsidRDefault="00C13094" w:rsidP="00387A65">
          <w:pPr>
            <w:jc w:val="right"/>
          </w:pPr>
        </w:p>
      </w:tc>
    </w:tr>
    <w:tr w:rsidR="00E10EF0" w14:paraId="42B6BD21" w14:textId="77777777" w:rsidTr="00BD47E4">
      <w:trPr>
        <w:trHeight w:val="409"/>
        <w:jc w:val="center"/>
      </w:trPr>
      <w:tc>
        <w:tcPr>
          <w:tcW w:w="9039" w:type="dxa"/>
          <w:gridSpan w:val="2"/>
        </w:tcPr>
        <w:p w14:paraId="37EF3102" w14:textId="77777777" w:rsidR="00BD47E4" w:rsidRDefault="00C13094" w:rsidP="002C30DA">
          <w:pPr>
            <w:jc w:val="right"/>
          </w:pPr>
          <w:r>
            <w:t>Original:</w:t>
          </w:r>
        </w:p>
      </w:tc>
      <w:tc>
        <w:tcPr>
          <w:tcW w:w="1843" w:type="dxa"/>
          <w:gridSpan w:val="2"/>
        </w:tcPr>
        <w:p w14:paraId="6E37F1EA" w14:textId="77777777" w:rsidR="00BD47E4" w:rsidRDefault="00C13094" w:rsidP="002C30DA">
          <w:pPr>
            <w:jc w:val="right"/>
          </w:pPr>
          <w:bookmarkStart w:id="6" w:name="language"/>
          <w:r>
            <w:t>English</w:t>
          </w:r>
          <w:bookmarkEnd w:id="6"/>
        </w:p>
      </w:tc>
      <w:tc>
        <w:tcPr>
          <w:tcW w:w="390" w:type="dxa"/>
        </w:tcPr>
        <w:p w14:paraId="73489631" w14:textId="77777777" w:rsidR="00BD47E4" w:rsidRDefault="00C13094" w:rsidP="00387A65">
          <w:pPr>
            <w:jc w:val="right"/>
          </w:pPr>
        </w:p>
      </w:tc>
    </w:tr>
    <w:tr w:rsidR="00E10EF0" w14:paraId="6B0E2DF3" w14:textId="77777777" w:rsidTr="00BD47E4">
      <w:trPr>
        <w:trHeight w:val="409"/>
        <w:jc w:val="center"/>
      </w:trPr>
      <w:tc>
        <w:tcPr>
          <w:tcW w:w="9039" w:type="dxa"/>
          <w:gridSpan w:val="2"/>
        </w:tcPr>
        <w:p w14:paraId="7782610B" w14:textId="77777777" w:rsidR="0097629D" w:rsidRDefault="00C13094" w:rsidP="002C30DA">
          <w:pPr>
            <w:jc w:val="right"/>
          </w:pPr>
          <w:r>
            <w:t>Submitted:</w:t>
          </w:r>
        </w:p>
      </w:tc>
      <w:tc>
        <w:tcPr>
          <w:tcW w:w="1843" w:type="dxa"/>
          <w:gridSpan w:val="2"/>
        </w:tcPr>
        <w:p w14:paraId="5FD1DCD4" w14:textId="77777777" w:rsidR="0097629D" w:rsidRDefault="00C13094" w:rsidP="0097629D">
          <w:pPr>
            <w:jc w:val="right"/>
          </w:pPr>
          <w:bookmarkStart w:id="7" w:name="date_submission"/>
          <w:r>
            <w:t>25/3/2021</w:t>
          </w:r>
          <w:bookmarkEnd w:id="7"/>
        </w:p>
      </w:tc>
      <w:tc>
        <w:tcPr>
          <w:tcW w:w="390" w:type="dxa"/>
        </w:tcPr>
        <w:p w14:paraId="11119858" w14:textId="77777777" w:rsidR="0097629D" w:rsidRDefault="00C13094" w:rsidP="00387A65">
          <w:pPr>
            <w:jc w:val="right"/>
          </w:pPr>
        </w:p>
      </w:tc>
    </w:tr>
  </w:tbl>
  <w:p w14:paraId="1A05B625" w14:textId="77777777" w:rsidR="00AE5DD0" w:rsidRDefault="00C1309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26" w:type="dxa"/>
      <w:jc w:val="center"/>
      <w:tblLook w:val="01E0" w:firstRow="1" w:lastRow="1" w:firstColumn="1" w:lastColumn="1" w:noHBand="0" w:noVBand="0"/>
    </w:tblPr>
    <w:tblGrid>
      <w:gridCol w:w="9694"/>
      <w:gridCol w:w="1332"/>
    </w:tblGrid>
    <w:tr w:rsidR="00E10EF0" w14:paraId="0A7AD469" w14:textId="77777777">
      <w:trPr>
        <w:trHeight w:val="354"/>
        <w:jc w:val="center"/>
      </w:trPr>
      <w:tc>
        <w:tcPr>
          <w:tcW w:w="9694" w:type="dxa"/>
        </w:tcPr>
        <w:p w14:paraId="301176F7" w14:textId="38FD0212" w:rsidR="00AE5DD0" w:rsidRPr="00BD47E4" w:rsidRDefault="00C13094" w:rsidP="00C26F2D">
          <w:pPr>
            <w:jc w:val="right"/>
            <w:rPr>
              <w:b/>
              <w:sz w:val="32"/>
              <w:szCs w:val="32"/>
            </w:rPr>
          </w:pPr>
          <w:r>
            <w:rPr>
              <w:b/>
              <w:sz w:val="32"/>
              <w:szCs w:val="32"/>
            </w:rPr>
            <w:t>IP</w:t>
          </w:r>
        </w:p>
      </w:tc>
      <w:tc>
        <w:tcPr>
          <w:tcW w:w="1332" w:type="dxa"/>
        </w:tcPr>
        <w:p w14:paraId="290D9E33" w14:textId="4500308A" w:rsidR="00AE5DD0" w:rsidRPr="00BD47E4" w:rsidRDefault="00C13094" w:rsidP="00080F4C">
          <w:pPr>
            <w:rPr>
              <w:b/>
              <w:sz w:val="32"/>
              <w:szCs w:val="32"/>
            </w:rPr>
          </w:pPr>
          <w:r>
            <w:rPr>
              <w:b/>
              <w:sz w:val="32"/>
              <w:szCs w:val="32"/>
            </w:rPr>
            <w:t>3</w:t>
          </w:r>
        </w:p>
      </w:tc>
    </w:tr>
  </w:tbl>
  <w:p w14:paraId="2533775E" w14:textId="77777777" w:rsidR="00AE5DD0" w:rsidRDefault="00C130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34EEA7A">
      <w:start w:val="1"/>
      <w:numFmt w:val="bullet"/>
      <w:pStyle w:val="ATSBullet1"/>
      <w:lvlText w:val=""/>
      <w:lvlJc w:val="left"/>
      <w:pPr>
        <w:tabs>
          <w:tab w:val="num" w:pos="360"/>
        </w:tabs>
        <w:ind w:left="360" w:hanging="360"/>
      </w:pPr>
      <w:rPr>
        <w:rFonts w:ascii="Symbol" w:hAnsi="Symbol" w:hint="default"/>
        <w:color w:val="auto"/>
      </w:rPr>
    </w:lvl>
    <w:lvl w:ilvl="1" w:tplc="D7A0B944" w:tentative="1">
      <w:start w:val="1"/>
      <w:numFmt w:val="bullet"/>
      <w:lvlText w:val="o"/>
      <w:lvlJc w:val="left"/>
      <w:pPr>
        <w:tabs>
          <w:tab w:val="num" w:pos="1440"/>
        </w:tabs>
        <w:ind w:left="1440" w:hanging="360"/>
      </w:pPr>
      <w:rPr>
        <w:rFonts w:ascii="Courier New" w:hAnsi="Courier New" w:cs="Courier New" w:hint="default"/>
      </w:rPr>
    </w:lvl>
    <w:lvl w:ilvl="2" w:tplc="1E7866B0" w:tentative="1">
      <w:start w:val="1"/>
      <w:numFmt w:val="bullet"/>
      <w:lvlText w:val=""/>
      <w:lvlJc w:val="left"/>
      <w:pPr>
        <w:tabs>
          <w:tab w:val="num" w:pos="2160"/>
        </w:tabs>
        <w:ind w:left="2160" w:hanging="360"/>
      </w:pPr>
      <w:rPr>
        <w:rFonts w:ascii="Wingdings" w:hAnsi="Wingdings" w:hint="default"/>
      </w:rPr>
    </w:lvl>
    <w:lvl w:ilvl="3" w:tplc="F5AC6622" w:tentative="1">
      <w:start w:val="1"/>
      <w:numFmt w:val="bullet"/>
      <w:lvlText w:val=""/>
      <w:lvlJc w:val="left"/>
      <w:pPr>
        <w:tabs>
          <w:tab w:val="num" w:pos="2880"/>
        </w:tabs>
        <w:ind w:left="2880" w:hanging="360"/>
      </w:pPr>
      <w:rPr>
        <w:rFonts w:ascii="Symbol" w:hAnsi="Symbol" w:hint="default"/>
      </w:rPr>
    </w:lvl>
    <w:lvl w:ilvl="4" w:tplc="8966A0C8" w:tentative="1">
      <w:start w:val="1"/>
      <w:numFmt w:val="bullet"/>
      <w:lvlText w:val="o"/>
      <w:lvlJc w:val="left"/>
      <w:pPr>
        <w:tabs>
          <w:tab w:val="num" w:pos="3600"/>
        </w:tabs>
        <w:ind w:left="3600" w:hanging="360"/>
      </w:pPr>
      <w:rPr>
        <w:rFonts w:ascii="Courier New" w:hAnsi="Courier New" w:cs="Courier New" w:hint="default"/>
      </w:rPr>
    </w:lvl>
    <w:lvl w:ilvl="5" w:tplc="921E246C" w:tentative="1">
      <w:start w:val="1"/>
      <w:numFmt w:val="bullet"/>
      <w:lvlText w:val=""/>
      <w:lvlJc w:val="left"/>
      <w:pPr>
        <w:tabs>
          <w:tab w:val="num" w:pos="4320"/>
        </w:tabs>
        <w:ind w:left="4320" w:hanging="360"/>
      </w:pPr>
      <w:rPr>
        <w:rFonts w:ascii="Wingdings" w:hAnsi="Wingdings" w:hint="default"/>
      </w:rPr>
    </w:lvl>
    <w:lvl w:ilvl="6" w:tplc="A380F534" w:tentative="1">
      <w:start w:val="1"/>
      <w:numFmt w:val="bullet"/>
      <w:lvlText w:val=""/>
      <w:lvlJc w:val="left"/>
      <w:pPr>
        <w:tabs>
          <w:tab w:val="num" w:pos="5040"/>
        </w:tabs>
        <w:ind w:left="5040" w:hanging="360"/>
      </w:pPr>
      <w:rPr>
        <w:rFonts w:ascii="Symbol" w:hAnsi="Symbol" w:hint="default"/>
      </w:rPr>
    </w:lvl>
    <w:lvl w:ilvl="7" w:tplc="93C8E3D8" w:tentative="1">
      <w:start w:val="1"/>
      <w:numFmt w:val="bullet"/>
      <w:lvlText w:val="o"/>
      <w:lvlJc w:val="left"/>
      <w:pPr>
        <w:tabs>
          <w:tab w:val="num" w:pos="5760"/>
        </w:tabs>
        <w:ind w:left="5760" w:hanging="360"/>
      </w:pPr>
      <w:rPr>
        <w:rFonts w:ascii="Courier New" w:hAnsi="Courier New" w:cs="Courier New" w:hint="default"/>
      </w:rPr>
    </w:lvl>
    <w:lvl w:ilvl="8" w:tplc="6FE8896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F8EAF2FE">
      <w:start w:val="1"/>
      <w:numFmt w:val="decimal"/>
      <w:lvlText w:val="%1)"/>
      <w:lvlJc w:val="left"/>
      <w:pPr>
        <w:tabs>
          <w:tab w:val="num" w:pos="340"/>
        </w:tabs>
        <w:ind w:left="340" w:hanging="340"/>
      </w:pPr>
      <w:rPr>
        <w:rFonts w:hint="default"/>
      </w:rPr>
    </w:lvl>
    <w:lvl w:ilvl="1" w:tplc="8AE29328" w:tentative="1">
      <w:start w:val="1"/>
      <w:numFmt w:val="lowerLetter"/>
      <w:lvlText w:val="%2."/>
      <w:lvlJc w:val="left"/>
      <w:pPr>
        <w:tabs>
          <w:tab w:val="num" w:pos="1440"/>
        </w:tabs>
        <w:ind w:left="1440" w:hanging="360"/>
      </w:pPr>
    </w:lvl>
    <w:lvl w:ilvl="2" w:tplc="0474280E" w:tentative="1">
      <w:start w:val="1"/>
      <w:numFmt w:val="lowerRoman"/>
      <w:lvlText w:val="%3."/>
      <w:lvlJc w:val="right"/>
      <w:pPr>
        <w:tabs>
          <w:tab w:val="num" w:pos="2160"/>
        </w:tabs>
        <w:ind w:left="2160" w:hanging="180"/>
      </w:pPr>
    </w:lvl>
    <w:lvl w:ilvl="3" w:tplc="1EC48B5C" w:tentative="1">
      <w:start w:val="1"/>
      <w:numFmt w:val="decimal"/>
      <w:lvlText w:val="%4."/>
      <w:lvlJc w:val="left"/>
      <w:pPr>
        <w:tabs>
          <w:tab w:val="num" w:pos="2880"/>
        </w:tabs>
        <w:ind w:left="2880" w:hanging="360"/>
      </w:pPr>
    </w:lvl>
    <w:lvl w:ilvl="4" w:tplc="D68A2F32" w:tentative="1">
      <w:start w:val="1"/>
      <w:numFmt w:val="lowerLetter"/>
      <w:lvlText w:val="%5."/>
      <w:lvlJc w:val="left"/>
      <w:pPr>
        <w:tabs>
          <w:tab w:val="num" w:pos="3600"/>
        </w:tabs>
        <w:ind w:left="3600" w:hanging="360"/>
      </w:pPr>
    </w:lvl>
    <w:lvl w:ilvl="5" w:tplc="F77CE78A" w:tentative="1">
      <w:start w:val="1"/>
      <w:numFmt w:val="lowerRoman"/>
      <w:lvlText w:val="%6."/>
      <w:lvlJc w:val="right"/>
      <w:pPr>
        <w:tabs>
          <w:tab w:val="num" w:pos="4320"/>
        </w:tabs>
        <w:ind w:left="4320" w:hanging="180"/>
      </w:pPr>
    </w:lvl>
    <w:lvl w:ilvl="6" w:tplc="485A3B2A" w:tentative="1">
      <w:start w:val="1"/>
      <w:numFmt w:val="decimal"/>
      <w:lvlText w:val="%7."/>
      <w:lvlJc w:val="left"/>
      <w:pPr>
        <w:tabs>
          <w:tab w:val="num" w:pos="5040"/>
        </w:tabs>
        <w:ind w:left="5040" w:hanging="360"/>
      </w:pPr>
    </w:lvl>
    <w:lvl w:ilvl="7" w:tplc="30CA390E" w:tentative="1">
      <w:start w:val="1"/>
      <w:numFmt w:val="lowerLetter"/>
      <w:lvlText w:val="%8."/>
      <w:lvlJc w:val="left"/>
      <w:pPr>
        <w:tabs>
          <w:tab w:val="num" w:pos="5760"/>
        </w:tabs>
        <w:ind w:left="5760" w:hanging="360"/>
      </w:pPr>
    </w:lvl>
    <w:lvl w:ilvl="8" w:tplc="60F882C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A922FF9A">
      <w:start w:val="1"/>
      <w:numFmt w:val="decimal"/>
      <w:lvlText w:val="%1."/>
      <w:lvlJc w:val="left"/>
      <w:pPr>
        <w:tabs>
          <w:tab w:val="num" w:pos="1057"/>
        </w:tabs>
        <w:ind w:left="1057" w:hanging="360"/>
      </w:pPr>
      <w:rPr>
        <w:rFonts w:hint="default"/>
      </w:rPr>
    </w:lvl>
    <w:lvl w:ilvl="1" w:tplc="80B2B0A2" w:tentative="1">
      <w:start w:val="1"/>
      <w:numFmt w:val="lowerLetter"/>
      <w:lvlText w:val="%2."/>
      <w:lvlJc w:val="left"/>
      <w:pPr>
        <w:tabs>
          <w:tab w:val="num" w:pos="2137"/>
        </w:tabs>
        <w:ind w:left="2137" w:hanging="360"/>
      </w:pPr>
    </w:lvl>
    <w:lvl w:ilvl="2" w:tplc="B216A3F2" w:tentative="1">
      <w:start w:val="1"/>
      <w:numFmt w:val="lowerRoman"/>
      <w:lvlText w:val="%3."/>
      <w:lvlJc w:val="right"/>
      <w:pPr>
        <w:tabs>
          <w:tab w:val="num" w:pos="2857"/>
        </w:tabs>
        <w:ind w:left="2857" w:hanging="180"/>
      </w:pPr>
    </w:lvl>
    <w:lvl w:ilvl="3" w:tplc="E76A5B72" w:tentative="1">
      <w:start w:val="1"/>
      <w:numFmt w:val="decimal"/>
      <w:lvlText w:val="%4."/>
      <w:lvlJc w:val="left"/>
      <w:pPr>
        <w:tabs>
          <w:tab w:val="num" w:pos="3577"/>
        </w:tabs>
        <w:ind w:left="3577" w:hanging="360"/>
      </w:pPr>
    </w:lvl>
    <w:lvl w:ilvl="4" w:tplc="79B44E64" w:tentative="1">
      <w:start w:val="1"/>
      <w:numFmt w:val="lowerLetter"/>
      <w:lvlText w:val="%5."/>
      <w:lvlJc w:val="left"/>
      <w:pPr>
        <w:tabs>
          <w:tab w:val="num" w:pos="4297"/>
        </w:tabs>
        <w:ind w:left="4297" w:hanging="360"/>
      </w:pPr>
    </w:lvl>
    <w:lvl w:ilvl="5" w:tplc="D4E871CE" w:tentative="1">
      <w:start w:val="1"/>
      <w:numFmt w:val="lowerRoman"/>
      <w:lvlText w:val="%6."/>
      <w:lvlJc w:val="right"/>
      <w:pPr>
        <w:tabs>
          <w:tab w:val="num" w:pos="5017"/>
        </w:tabs>
        <w:ind w:left="5017" w:hanging="180"/>
      </w:pPr>
    </w:lvl>
    <w:lvl w:ilvl="6" w:tplc="482897F4" w:tentative="1">
      <w:start w:val="1"/>
      <w:numFmt w:val="decimal"/>
      <w:lvlText w:val="%7."/>
      <w:lvlJc w:val="left"/>
      <w:pPr>
        <w:tabs>
          <w:tab w:val="num" w:pos="5737"/>
        </w:tabs>
        <w:ind w:left="5737" w:hanging="360"/>
      </w:pPr>
    </w:lvl>
    <w:lvl w:ilvl="7" w:tplc="D826D564" w:tentative="1">
      <w:start w:val="1"/>
      <w:numFmt w:val="lowerLetter"/>
      <w:lvlText w:val="%8."/>
      <w:lvlJc w:val="left"/>
      <w:pPr>
        <w:tabs>
          <w:tab w:val="num" w:pos="6457"/>
        </w:tabs>
        <w:ind w:left="6457" w:hanging="360"/>
      </w:pPr>
    </w:lvl>
    <w:lvl w:ilvl="8" w:tplc="D798603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8C1813B8">
      <w:start w:val="1"/>
      <w:numFmt w:val="decimal"/>
      <w:pStyle w:val="ATSNumber1"/>
      <w:lvlText w:val="%1)"/>
      <w:lvlJc w:val="left"/>
      <w:pPr>
        <w:tabs>
          <w:tab w:val="num" w:pos="720"/>
        </w:tabs>
        <w:ind w:left="720" w:hanging="360"/>
      </w:pPr>
    </w:lvl>
    <w:lvl w:ilvl="1" w:tplc="EF6A67F4" w:tentative="1">
      <w:start w:val="1"/>
      <w:numFmt w:val="lowerLetter"/>
      <w:lvlText w:val="%2."/>
      <w:lvlJc w:val="left"/>
      <w:pPr>
        <w:tabs>
          <w:tab w:val="num" w:pos="1440"/>
        </w:tabs>
        <w:ind w:left="1440" w:hanging="360"/>
      </w:pPr>
    </w:lvl>
    <w:lvl w:ilvl="2" w:tplc="97BEFD60" w:tentative="1">
      <w:start w:val="1"/>
      <w:numFmt w:val="lowerRoman"/>
      <w:lvlText w:val="%3."/>
      <w:lvlJc w:val="right"/>
      <w:pPr>
        <w:tabs>
          <w:tab w:val="num" w:pos="2160"/>
        </w:tabs>
        <w:ind w:left="2160" w:hanging="180"/>
      </w:pPr>
    </w:lvl>
    <w:lvl w:ilvl="3" w:tplc="EF509790" w:tentative="1">
      <w:start w:val="1"/>
      <w:numFmt w:val="decimal"/>
      <w:lvlText w:val="%4."/>
      <w:lvlJc w:val="left"/>
      <w:pPr>
        <w:tabs>
          <w:tab w:val="num" w:pos="2880"/>
        </w:tabs>
        <w:ind w:left="2880" w:hanging="360"/>
      </w:pPr>
    </w:lvl>
    <w:lvl w:ilvl="4" w:tplc="E1DAEB5E" w:tentative="1">
      <w:start w:val="1"/>
      <w:numFmt w:val="lowerLetter"/>
      <w:lvlText w:val="%5."/>
      <w:lvlJc w:val="left"/>
      <w:pPr>
        <w:tabs>
          <w:tab w:val="num" w:pos="3600"/>
        </w:tabs>
        <w:ind w:left="3600" w:hanging="360"/>
      </w:pPr>
    </w:lvl>
    <w:lvl w:ilvl="5" w:tplc="113A4DB6" w:tentative="1">
      <w:start w:val="1"/>
      <w:numFmt w:val="lowerRoman"/>
      <w:lvlText w:val="%6."/>
      <w:lvlJc w:val="right"/>
      <w:pPr>
        <w:tabs>
          <w:tab w:val="num" w:pos="4320"/>
        </w:tabs>
        <w:ind w:left="4320" w:hanging="180"/>
      </w:pPr>
    </w:lvl>
    <w:lvl w:ilvl="6" w:tplc="940C1066" w:tentative="1">
      <w:start w:val="1"/>
      <w:numFmt w:val="decimal"/>
      <w:lvlText w:val="%7."/>
      <w:lvlJc w:val="left"/>
      <w:pPr>
        <w:tabs>
          <w:tab w:val="num" w:pos="5040"/>
        </w:tabs>
        <w:ind w:left="5040" w:hanging="360"/>
      </w:pPr>
    </w:lvl>
    <w:lvl w:ilvl="7" w:tplc="8C4CCF4A" w:tentative="1">
      <w:start w:val="1"/>
      <w:numFmt w:val="lowerLetter"/>
      <w:lvlText w:val="%8."/>
      <w:lvlJc w:val="left"/>
      <w:pPr>
        <w:tabs>
          <w:tab w:val="num" w:pos="5760"/>
        </w:tabs>
        <w:ind w:left="5760" w:hanging="360"/>
      </w:pPr>
    </w:lvl>
    <w:lvl w:ilvl="8" w:tplc="E6446BA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2B38569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73898EA" w:tentative="1">
      <w:start w:val="1"/>
      <w:numFmt w:val="bullet"/>
      <w:lvlText w:val="o"/>
      <w:lvlJc w:val="left"/>
      <w:pPr>
        <w:tabs>
          <w:tab w:val="num" w:pos="2517"/>
        </w:tabs>
        <w:ind w:left="2517" w:hanging="360"/>
      </w:pPr>
      <w:rPr>
        <w:rFonts w:ascii="Courier New" w:hAnsi="Courier New" w:cs="Courier New" w:hint="default"/>
      </w:rPr>
    </w:lvl>
    <w:lvl w:ilvl="2" w:tplc="EFF2BC6A" w:tentative="1">
      <w:start w:val="1"/>
      <w:numFmt w:val="bullet"/>
      <w:lvlText w:val=""/>
      <w:lvlJc w:val="left"/>
      <w:pPr>
        <w:tabs>
          <w:tab w:val="num" w:pos="3237"/>
        </w:tabs>
        <w:ind w:left="3237" w:hanging="360"/>
      </w:pPr>
      <w:rPr>
        <w:rFonts w:ascii="Wingdings" w:hAnsi="Wingdings" w:hint="default"/>
      </w:rPr>
    </w:lvl>
    <w:lvl w:ilvl="3" w:tplc="AC108DF0" w:tentative="1">
      <w:start w:val="1"/>
      <w:numFmt w:val="bullet"/>
      <w:lvlText w:val=""/>
      <w:lvlJc w:val="left"/>
      <w:pPr>
        <w:tabs>
          <w:tab w:val="num" w:pos="3957"/>
        </w:tabs>
        <w:ind w:left="3957" w:hanging="360"/>
      </w:pPr>
      <w:rPr>
        <w:rFonts w:ascii="Symbol" w:hAnsi="Symbol" w:hint="default"/>
      </w:rPr>
    </w:lvl>
    <w:lvl w:ilvl="4" w:tplc="B35C4B04" w:tentative="1">
      <w:start w:val="1"/>
      <w:numFmt w:val="bullet"/>
      <w:lvlText w:val="o"/>
      <w:lvlJc w:val="left"/>
      <w:pPr>
        <w:tabs>
          <w:tab w:val="num" w:pos="4677"/>
        </w:tabs>
        <w:ind w:left="4677" w:hanging="360"/>
      </w:pPr>
      <w:rPr>
        <w:rFonts w:ascii="Courier New" w:hAnsi="Courier New" w:cs="Courier New" w:hint="default"/>
      </w:rPr>
    </w:lvl>
    <w:lvl w:ilvl="5" w:tplc="51EE810E" w:tentative="1">
      <w:start w:val="1"/>
      <w:numFmt w:val="bullet"/>
      <w:lvlText w:val=""/>
      <w:lvlJc w:val="left"/>
      <w:pPr>
        <w:tabs>
          <w:tab w:val="num" w:pos="5397"/>
        </w:tabs>
        <w:ind w:left="5397" w:hanging="360"/>
      </w:pPr>
      <w:rPr>
        <w:rFonts w:ascii="Wingdings" w:hAnsi="Wingdings" w:hint="default"/>
      </w:rPr>
    </w:lvl>
    <w:lvl w:ilvl="6" w:tplc="76AADCAA" w:tentative="1">
      <w:start w:val="1"/>
      <w:numFmt w:val="bullet"/>
      <w:lvlText w:val=""/>
      <w:lvlJc w:val="left"/>
      <w:pPr>
        <w:tabs>
          <w:tab w:val="num" w:pos="6117"/>
        </w:tabs>
        <w:ind w:left="6117" w:hanging="360"/>
      </w:pPr>
      <w:rPr>
        <w:rFonts w:ascii="Symbol" w:hAnsi="Symbol" w:hint="default"/>
      </w:rPr>
    </w:lvl>
    <w:lvl w:ilvl="7" w:tplc="F620C6B6" w:tentative="1">
      <w:start w:val="1"/>
      <w:numFmt w:val="bullet"/>
      <w:lvlText w:val="o"/>
      <w:lvlJc w:val="left"/>
      <w:pPr>
        <w:tabs>
          <w:tab w:val="num" w:pos="6837"/>
        </w:tabs>
        <w:ind w:left="6837" w:hanging="360"/>
      </w:pPr>
      <w:rPr>
        <w:rFonts w:ascii="Courier New" w:hAnsi="Courier New" w:cs="Courier New" w:hint="default"/>
      </w:rPr>
    </w:lvl>
    <w:lvl w:ilvl="8" w:tplc="C22C99B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2A2C3C2E">
      <w:start w:val="1"/>
      <w:numFmt w:val="decimal"/>
      <w:pStyle w:val="ATSNumber2"/>
      <w:lvlText w:val="%1."/>
      <w:lvlJc w:val="left"/>
      <w:pPr>
        <w:tabs>
          <w:tab w:val="num" w:pos="720"/>
        </w:tabs>
        <w:ind w:left="720" w:hanging="360"/>
      </w:pPr>
      <w:rPr>
        <w:rFonts w:hint="default"/>
      </w:rPr>
    </w:lvl>
    <w:lvl w:ilvl="1" w:tplc="FCD65828" w:tentative="1">
      <w:start w:val="1"/>
      <w:numFmt w:val="lowerLetter"/>
      <w:lvlText w:val="%2."/>
      <w:lvlJc w:val="left"/>
      <w:pPr>
        <w:tabs>
          <w:tab w:val="num" w:pos="1440"/>
        </w:tabs>
        <w:ind w:left="1440" w:hanging="360"/>
      </w:pPr>
    </w:lvl>
    <w:lvl w:ilvl="2" w:tplc="90CA072C" w:tentative="1">
      <w:start w:val="1"/>
      <w:numFmt w:val="lowerRoman"/>
      <w:lvlText w:val="%3."/>
      <w:lvlJc w:val="right"/>
      <w:pPr>
        <w:tabs>
          <w:tab w:val="num" w:pos="2160"/>
        </w:tabs>
        <w:ind w:left="2160" w:hanging="180"/>
      </w:pPr>
    </w:lvl>
    <w:lvl w:ilvl="3" w:tplc="A694F62A" w:tentative="1">
      <w:start w:val="1"/>
      <w:numFmt w:val="decimal"/>
      <w:lvlText w:val="%4."/>
      <w:lvlJc w:val="left"/>
      <w:pPr>
        <w:tabs>
          <w:tab w:val="num" w:pos="2880"/>
        </w:tabs>
        <w:ind w:left="2880" w:hanging="360"/>
      </w:pPr>
    </w:lvl>
    <w:lvl w:ilvl="4" w:tplc="60283658" w:tentative="1">
      <w:start w:val="1"/>
      <w:numFmt w:val="lowerLetter"/>
      <w:lvlText w:val="%5."/>
      <w:lvlJc w:val="left"/>
      <w:pPr>
        <w:tabs>
          <w:tab w:val="num" w:pos="3600"/>
        </w:tabs>
        <w:ind w:left="3600" w:hanging="360"/>
      </w:pPr>
    </w:lvl>
    <w:lvl w:ilvl="5" w:tplc="31CA8EA4" w:tentative="1">
      <w:start w:val="1"/>
      <w:numFmt w:val="lowerRoman"/>
      <w:lvlText w:val="%6."/>
      <w:lvlJc w:val="right"/>
      <w:pPr>
        <w:tabs>
          <w:tab w:val="num" w:pos="4320"/>
        </w:tabs>
        <w:ind w:left="4320" w:hanging="180"/>
      </w:pPr>
    </w:lvl>
    <w:lvl w:ilvl="6" w:tplc="B6C063F8" w:tentative="1">
      <w:start w:val="1"/>
      <w:numFmt w:val="decimal"/>
      <w:lvlText w:val="%7."/>
      <w:lvlJc w:val="left"/>
      <w:pPr>
        <w:tabs>
          <w:tab w:val="num" w:pos="5040"/>
        </w:tabs>
        <w:ind w:left="5040" w:hanging="360"/>
      </w:pPr>
    </w:lvl>
    <w:lvl w:ilvl="7" w:tplc="ABCACF96" w:tentative="1">
      <w:start w:val="1"/>
      <w:numFmt w:val="lowerLetter"/>
      <w:lvlText w:val="%8."/>
      <w:lvlJc w:val="left"/>
      <w:pPr>
        <w:tabs>
          <w:tab w:val="num" w:pos="5760"/>
        </w:tabs>
        <w:ind w:left="5760" w:hanging="360"/>
      </w:pPr>
    </w:lvl>
    <w:lvl w:ilvl="8" w:tplc="540E0C2C"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EF0"/>
    <w:rsid w:val="00C13094"/>
    <w:rsid w:val="00E10E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B3A6E6"/>
  <w15:chartTrackingRefBased/>
  <w15:docId w15:val="{9F43D762-1A8F-455A-805A-801A3979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documenttitle">
    <w:name w:val="document title"/>
    <w:aliases w:val="dt"/>
    <w:basedOn w:val="Normal"/>
    <w:next w:val="Ttulo1"/>
    <w:rsid w:val="00C13094"/>
    <w:pPr>
      <w:spacing w:after="480"/>
      <w:jc w:val="center"/>
    </w:pPr>
    <w:rPr>
      <w:rFonts w:cs="Times"/>
      <w:b/>
      <w:sz w:val="24"/>
      <w:szCs w:val="20"/>
      <w:lang w:val="en-AU" w:eastAsia="en-AU"/>
    </w:rPr>
  </w:style>
  <w:style w:type="paragraph" w:customStyle="1" w:styleId="Default">
    <w:name w:val="Default"/>
    <w:rsid w:val="00C13094"/>
    <w:pPr>
      <w:autoSpaceDE w:val="0"/>
      <w:autoSpaceDN w:val="0"/>
      <w:adjustRightInd w:val="0"/>
    </w:pPr>
    <w:rPr>
      <w:color w:val="000000"/>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camlr.org/node/11200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camlr.org/node/10759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camlr.org/en/ccamlr-38"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1655</Words>
  <Characters>8895</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2021-03-25T13:15:00Z</dcterms:modified>
</cp:coreProperties>
</file>