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8258" w14:textId="77777777" w:rsidR="00C26F2D" w:rsidRPr="00BF077B" w:rsidRDefault="0076466E" w:rsidP="00BF077B">
      <w:pPr>
        <w:pStyle w:val="ATSNormal"/>
        <w:rPr>
          <w:rStyle w:val="Ttulodellibro"/>
        </w:rPr>
      </w:pPr>
    </w:p>
    <w:p w14:paraId="11FF2145" w14:textId="77777777" w:rsidR="002F0A13" w:rsidRDefault="0076466E" w:rsidP="004B4A60">
      <w:pPr>
        <w:rPr>
          <w:b/>
          <w:u w:val="single"/>
          <w:lang w:val="es-ES_tradnl"/>
        </w:rPr>
      </w:pPr>
    </w:p>
    <w:p w14:paraId="03AC097F" w14:textId="77777777" w:rsidR="002F0A13" w:rsidRDefault="0076466E" w:rsidP="004B4A60">
      <w:pPr>
        <w:rPr>
          <w:b/>
          <w:u w:val="single"/>
          <w:lang w:val="es-ES_tradnl"/>
        </w:rPr>
      </w:pPr>
    </w:p>
    <w:p w14:paraId="79F4EDCD" w14:textId="77777777" w:rsidR="002F0A13" w:rsidRDefault="0076466E" w:rsidP="004B4A60">
      <w:pPr>
        <w:rPr>
          <w:b/>
          <w:u w:val="single"/>
          <w:lang w:val="es-ES_tradnl"/>
        </w:rPr>
      </w:pPr>
    </w:p>
    <w:p w14:paraId="4453D92B" w14:textId="77777777" w:rsidR="002F0A13" w:rsidRDefault="0076466E" w:rsidP="004B4A60">
      <w:pPr>
        <w:rPr>
          <w:b/>
          <w:u w:val="single"/>
          <w:lang w:val="es-ES_tradnl"/>
        </w:rPr>
      </w:pPr>
    </w:p>
    <w:p w14:paraId="5FBF1EA9" w14:textId="77777777" w:rsidR="00C26F2D" w:rsidRDefault="0076466E" w:rsidP="004B4A60">
      <w:pPr>
        <w:rPr>
          <w:b/>
          <w:u w:val="single"/>
          <w:lang w:val="es-ES_tradnl"/>
        </w:rPr>
      </w:pPr>
    </w:p>
    <w:p w14:paraId="420823A5" w14:textId="77777777" w:rsidR="004B4A60" w:rsidRPr="0057246E" w:rsidRDefault="0076466E" w:rsidP="001B789F">
      <w:pPr>
        <w:pStyle w:val="ATSTitle"/>
      </w:pPr>
      <w:bookmarkStart w:id="0" w:name="name"/>
      <w:r>
        <w:t>A case of fruitful cooperation between Chile and Ukraine National Competent Authorities regarding yacht’s activity in Antarctica</w:t>
      </w:r>
      <w:bookmarkEnd w:id="0"/>
    </w:p>
    <w:p w14:paraId="4D4C3A25" w14:textId="77777777" w:rsidR="004B4A60" w:rsidRPr="0057246E" w:rsidRDefault="0076466E" w:rsidP="00F75424">
      <w:pPr>
        <w:jc w:val="center"/>
      </w:pPr>
    </w:p>
    <w:p w14:paraId="005F890B" w14:textId="77777777" w:rsidR="004B4A60" w:rsidRPr="002F0A13" w:rsidRDefault="0076466E" w:rsidP="002F0A13"/>
    <w:p w14:paraId="6C19182D" w14:textId="77777777" w:rsidR="004B4A60" w:rsidRDefault="0076466E" w:rsidP="00F75424">
      <w:pPr>
        <w:jc w:val="center"/>
      </w:pPr>
      <w:bookmarkStart w:id="1" w:name="memo"/>
      <w:bookmarkEnd w:id="1"/>
    </w:p>
    <w:p w14:paraId="19C1647F" w14:textId="77777777" w:rsidR="0097629D" w:rsidRDefault="0076466E" w:rsidP="00F75424">
      <w:pPr>
        <w:jc w:val="center"/>
      </w:pPr>
    </w:p>
    <w:p w14:paraId="2B391E73" w14:textId="77777777" w:rsidR="0097629D" w:rsidRDefault="0076466E" w:rsidP="00F75424">
      <w:pPr>
        <w:jc w:val="center"/>
      </w:pPr>
    </w:p>
    <w:p w14:paraId="4951F21A" w14:textId="77777777" w:rsidR="0097629D" w:rsidRDefault="0076466E" w:rsidP="00F75424">
      <w:pPr>
        <w:jc w:val="center"/>
      </w:pPr>
    </w:p>
    <w:p w14:paraId="67C19E7E" w14:textId="77777777" w:rsidR="0097629D" w:rsidRPr="00C26F2D" w:rsidRDefault="0076466E" w:rsidP="00F75424">
      <w:pPr>
        <w:jc w:val="center"/>
      </w:pPr>
    </w:p>
    <w:p w14:paraId="09EA39D1" w14:textId="77777777" w:rsidR="004B4A60" w:rsidRPr="0057246E" w:rsidRDefault="0076466E" w:rsidP="004B4A60"/>
    <w:p w14:paraId="79B8CBEE" w14:textId="77777777" w:rsidR="00C26F2D" w:rsidRDefault="0076466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709DA0A" w14:textId="77777777" w:rsidR="0076466E" w:rsidRPr="00F43155" w:rsidRDefault="0076466E" w:rsidP="0076466E">
      <w:pPr>
        <w:jc w:val="center"/>
        <w:rPr>
          <w:rFonts w:ascii="Arial" w:hAnsi="Arial" w:cs="Arial"/>
          <w:b/>
          <w:sz w:val="32"/>
          <w:szCs w:val="32"/>
          <w:lang w:val="en-US"/>
        </w:rPr>
      </w:pPr>
      <w:r w:rsidRPr="00F43155">
        <w:rPr>
          <w:rFonts w:ascii="Arial" w:hAnsi="Arial" w:cs="Arial"/>
          <w:b/>
          <w:sz w:val="32"/>
          <w:szCs w:val="32"/>
          <w:lang w:val="en-US"/>
        </w:rPr>
        <w:lastRenderedPageBreak/>
        <w:t xml:space="preserve">A case of fruitful cooperation between Chile and Ukraine National Competent Authorities </w:t>
      </w:r>
      <w:r w:rsidRPr="00222344">
        <w:rPr>
          <w:rFonts w:ascii="Arial" w:hAnsi="Arial" w:cs="Arial"/>
          <w:b/>
          <w:sz w:val="32"/>
          <w:szCs w:val="32"/>
          <w:lang w:val="en-US"/>
        </w:rPr>
        <w:t>regarding yacht’s activity in Antarctica</w:t>
      </w:r>
    </w:p>
    <w:p w14:paraId="3FFE6DCD" w14:textId="77777777" w:rsidR="0076466E" w:rsidRDefault="0076466E" w:rsidP="0076466E">
      <w:pPr>
        <w:rPr>
          <w:rFonts w:ascii="Arial" w:hAnsi="Arial" w:cs="Arial"/>
          <w:b/>
          <w:lang w:val="en-US"/>
        </w:rPr>
      </w:pPr>
    </w:p>
    <w:p w14:paraId="1EC725D8" w14:textId="77777777" w:rsidR="0076466E" w:rsidRDefault="0076466E" w:rsidP="0076466E">
      <w:pPr>
        <w:jc w:val="center"/>
      </w:pPr>
      <w:r>
        <w:t>Information paper submitted by Chile and Ukraine</w:t>
      </w:r>
    </w:p>
    <w:p w14:paraId="5903972D" w14:textId="77777777" w:rsidR="0076466E" w:rsidRDefault="0076466E" w:rsidP="0076466E">
      <w:pPr>
        <w:jc w:val="center"/>
      </w:pPr>
    </w:p>
    <w:p w14:paraId="79CB6CAA" w14:textId="77777777" w:rsidR="0076466E" w:rsidRPr="00F43155" w:rsidRDefault="0076466E" w:rsidP="0076466E">
      <w:pPr>
        <w:pStyle w:val="ATSHeading2"/>
        <w:jc w:val="left"/>
        <w:rPr>
          <w:szCs w:val="24"/>
        </w:rPr>
      </w:pPr>
      <w:r w:rsidRPr="00F43155">
        <w:rPr>
          <w:szCs w:val="24"/>
        </w:rPr>
        <w:t>Summary</w:t>
      </w:r>
    </w:p>
    <w:p w14:paraId="0C14B55D" w14:textId="77777777" w:rsidR="0076466E" w:rsidRDefault="0076466E" w:rsidP="0076466E">
      <w:pPr>
        <w:shd w:val="clear" w:color="auto" w:fill="FFFFFF"/>
        <w:rPr>
          <w:lang w:eastAsia="en-GB"/>
        </w:rPr>
      </w:pPr>
      <w:r w:rsidRPr="004E3877">
        <w:rPr>
          <w:lang w:eastAsia="en-GB"/>
        </w:rPr>
        <w:t xml:space="preserve">Chile </w:t>
      </w:r>
      <w:r w:rsidRPr="0097283B">
        <w:rPr>
          <w:lang w:eastAsia="en-GB"/>
        </w:rPr>
        <w:t xml:space="preserve">and </w:t>
      </w:r>
      <w:r>
        <w:rPr>
          <w:lang w:eastAsia="en-GB"/>
        </w:rPr>
        <w:t xml:space="preserve">Ukraine </w:t>
      </w:r>
      <w:r w:rsidRPr="004E3877">
        <w:rPr>
          <w:lang w:eastAsia="en-GB"/>
        </w:rPr>
        <w:t xml:space="preserve">would like to share their experience </w:t>
      </w:r>
      <w:r>
        <w:rPr>
          <w:lang w:eastAsia="en-GB"/>
        </w:rPr>
        <w:t>on good cooperation and exchange of information on a case of multiple permit submission for a non-governmental activity in the Antarctic Peninsula.</w:t>
      </w:r>
    </w:p>
    <w:p w14:paraId="117E7127" w14:textId="77777777" w:rsidR="0076466E" w:rsidRDefault="0076466E" w:rsidP="0076466E">
      <w:pPr>
        <w:shd w:val="clear" w:color="auto" w:fill="FFFFFF"/>
        <w:rPr>
          <w:lang w:eastAsia="en-GB"/>
        </w:rPr>
      </w:pPr>
    </w:p>
    <w:p w14:paraId="3AC799C5" w14:textId="77777777" w:rsidR="0076466E" w:rsidRPr="00F43155" w:rsidRDefault="0076466E" w:rsidP="0076466E">
      <w:pPr>
        <w:shd w:val="clear" w:color="auto" w:fill="FFFFFF"/>
        <w:rPr>
          <w:b/>
          <w:i/>
          <w:szCs w:val="22"/>
        </w:rPr>
      </w:pPr>
      <w:r w:rsidRPr="00F43155">
        <w:rPr>
          <w:szCs w:val="22"/>
          <w:lang w:val="en-US"/>
        </w:rPr>
        <w:t xml:space="preserve">The activity owner is a captain of a yacht with a double nationality of two States Parties and Chilean residence. </w:t>
      </w:r>
      <w:r w:rsidRPr="00F43155">
        <w:rPr>
          <w:szCs w:val="22"/>
        </w:rPr>
        <w:t xml:space="preserve">The activity was planned to be carried out during season 2020/2021, departing from Puerto Williams, Chile. This activity raised specific difficulties because the applicant attempted to obtain authorization from Chilean authorities and requested authorization from Ukraine National Competent Authority in parallel. This situation involved significant efforts in communication and coordination between both NCA to ensure that the activity complied with the Antarctic Treaty System regulations.  </w:t>
      </w:r>
    </w:p>
    <w:p w14:paraId="1662E1AD" w14:textId="77777777" w:rsidR="0076466E" w:rsidRPr="00F43155" w:rsidRDefault="0076466E" w:rsidP="0076466E">
      <w:pPr>
        <w:pStyle w:val="ATSHeading2"/>
        <w:jc w:val="left"/>
        <w:rPr>
          <w:sz w:val="28"/>
          <w:szCs w:val="24"/>
        </w:rPr>
      </w:pPr>
      <w:r w:rsidRPr="00F43155">
        <w:rPr>
          <w:szCs w:val="24"/>
          <w:lang w:val="en-US"/>
        </w:rPr>
        <w:t>The case</w:t>
      </w:r>
    </w:p>
    <w:p w14:paraId="6A786BC8" w14:textId="77777777" w:rsidR="0076466E" w:rsidRPr="00AA45B2" w:rsidRDefault="0076466E" w:rsidP="0076466E">
      <w:pPr>
        <w:shd w:val="clear" w:color="auto" w:fill="FFFFFF"/>
        <w:rPr>
          <w:lang w:eastAsia="en-GB"/>
        </w:rPr>
      </w:pPr>
      <w:r>
        <w:rPr>
          <w:lang w:eastAsia="en-GB"/>
        </w:rPr>
        <w:t>I</w:t>
      </w:r>
      <w:r w:rsidRPr="00AA45B2">
        <w:rPr>
          <w:lang w:eastAsia="en-GB"/>
        </w:rPr>
        <w:t xml:space="preserve">n September 2020, the applicant, a French and Uruguayan national with Chilean residence, contacted the Antarctic Division of the Chilean Ministry of Foreign Affairs to request permission to carry out a private expedition onboard </w:t>
      </w:r>
      <w:r>
        <w:rPr>
          <w:lang w:eastAsia="en-GB"/>
        </w:rPr>
        <w:t xml:space="preserve">a </w:t>
      </w:r>
      <w:r w:rsidRPr="00AA45B2">
        <w:rPr>
          <w:lang w:eastAsia="en-GB"/>
        </w:rPr>
        <w:t xml:space="preserve">sailing boat </w:t>
      </w:r>
      <w:r>
        <w:rPr>
          <w:lang w:eastAsia="en-GB"/>
        </w:rPr>
        <w:t xml:space="preserve">with a non-State Party </w:t>
      </w:r>
      <w:r w:rsidRPr="00AA45B2">
        <w:rPr>
          <w:lang w:eastAsia="en-GB"/>
        </w:rPr>
        <w:t xml:space="preserve">flag. </w:t>
      </w:r>
    </w:p>
    <w:p w14:paraId="28CBD1DE" w14:textId="77777777" w:rsidR="0076466E" w:rsidRDefault="0076466E" w:rsidP="0076466E">
      <w:pPr>
        <w:shd w:val="clear" w:color="auto" w:fill="FFFFFF"/>
        <w:rPr>
          <w:lang w:eastAsia="en-GB"/>
        </w:rPr>
      </w:pPr>
    </w:p>
    <w:p w14:paraId="2E3EEEF1" w14:textId="77777777" w:rsidR="0076466E" w:rsidRDefault="0076466E" w:rsidP="0076466E">
      <w:pPr>
        <w:shd w:val="clear" w:color="auto" w:fill="FFFFFF"/>
        <w:rPr>
          <w:lang w:eastAsia="en-GB"/>
        </w:rPr>
      </w:pPr>
      <w:r w:rsidRPr="00AA45B2">
        <w:rPr>
          <w:lang w:eastAsia="en-GB"/>
        </w:rPr>
        <w:t xml:space="preserve">The project initially aimed at sailing from Puerto Williams, Chile, and planned to carry out </w:t>
      </w:r>
      <w:r w:rsidRPr="00650B73">
        <w:rPr>
          <w:lang w:eastAsia="en-GB"/>
        </w:rPr>
        <w:t>year-round</w:t>
      </w:r>
      <w:r w:rsidRPr="00AA45B2">
        <w:rPr>
          <w:lang w:eastAsia="en-GB"/>
        </w:rPr>
        <w:t xml:space="preserve"> activities in Antarctica from January 2021 to December 2021.</w:t>
      </w:r>
    </w:p>
    <w:p w14:paraId="3F615D5B" w14:textId="77777777" w:rsidR="0076466E" w:rsidRDefault="0076466E" w:rsidP="0076466E">
      <w:pPr>
        <w:shd w:val="clear" w:color="auto" w:fill="FFFFFF"/>
        <w:rPr>
          <w:lang w:eastAsia="en-GB"/>
        </w:rPr>
      </w:pPr>
    </w:p>
    <w:p w14:paraId="154742AE" w14:textId="77777777" w:rsidR="0076466E" w:rsidRDefault="0076466E" w:rsidP="0076466E">
      <w:pPr>
        <w:shd w:val="clear" w:color="auto" w:fill="FFFFFF"/>
        <w:rPr>
          <w:lang w:eastAsia="en-GB"/>
        </w:rPr>
      </w:pPr>
      <w:r w:rsidRPr="009C0D72">
        <w:rPr>
          <w:lang w:eastAsia="en-GB"/>
        </w:rPr>
        <w:t xml:space="preserve">On January 9, 2021, when the Chilean environmental agency was in the process of reviewing the project, the applicant announced </w:t>
      </w:r>
      <w:r>
        <w:rPr>
          <w:lang w:eastAsia="en-GB"/>
        </w:rPr>
        <w:t>he</w:t>
      </w:r>
      <w:r w:rsidRPr="009C0D72">
        <w:rPr>
          <w:lang w:eastAsia="en-GB"/>
        </w:rPr>
        <w:t xml:space="preserve"> was withdrawing its application</w:t>
      </w:r>
      <w:r>
        <w:rPr>
          <w:lang w:eastAsia="en-GB"/>
        </w:rPr>
        <w:t xml:space="preserve">. </w:t>
      </w:r>
    </w:p>
    <w:p w14:paraId="69D5BFC9" w14:textId="77777777" w:rsidR="0076466E" w:rsidRDefault="0076466E" w:rsidP="0076466E">
      <w:pPr>
        <w:shd w:val="clear" w:color="auto" w:fill="FFFFFF"/>
        <w:rPr>
          <w:lang w:eastAsia="en-GB"/>
        </w:rPr>
      </w:pPr>
    </w:p>
    <w:p w14:paraId="482B7329" w14:textId="77777777" w:rsidR="0076466E" w:rsidRDefault="0076466E" w:rsidP="0076466E">
      <w:pPr>
        <w:shd w:val="clear" w:color="auto" w:fill="FFFFFF"/>
        <w:rPr>
          <w:lang w:eastAsia="en-GB"/>
        </w:rPr>
      </w:pPr>
      <w:r>
        <w:rPr>
          <w:lang w:eastAsia="en-GB"/>
        </w:rPr>
        <w:t>Subsequently, o</w:t>
      </w:r>
      <w:r w:rsidRPr="00834CB0">
        <w:rPr>
          <w:lang w:eastAsia="en-GB"/>
        </w:rPr>
        <w:t>n January 13, the applicant requested authorization to set sail from Puerto Williams.</w:t>
      </w:r>
      <w:r>
        <w:rPr>
          <w:lang w:eastAsia="en-GB"/>
        </w:rPr>
        <w:t xml:space="preserve"> Chilean </w:t>
      </w:r>
      <w:r w:rsidRPr="00834CB0">
        <w:rPr>
          <w:lang w:eastAsia="en-GB"/>
        </w:rPr>
        <w:t>Port authorities reviewed the applicant's documentation and verified that Ukraine had authorized its expedition to carry out activities in the Antarctic Treaty Area from January 2021 to January 2022.</w:t>
      </w:r>
    </w:p>
    <w:p w14:paraId="45EDD060" w14:textId="77777777" w:rsidR="0076466E" w:rsidRDefault="0076466E" w:rsidP="0076466E">
      <w:pPr>
        <w:shd w:val="clear" w:color="auto" w:fill="FFFFFF"/>
        <w:rPr>
          <w:lang w:eastAsia="en-GB"/>
        </w:rPr>
      </w:pPr>
    </w:p>
    <w:p w14:paraId="4F5FBC9B" w14:textId="77777777" w:rsidR="0076466E" w:rsidRPr="00222344" w:rsidRDefault="0076466E" w:rsidP="0076466E">
      <w:pPr>
        <w:shd w:val="clear" w:color="auto" w:fill="FFFFFF"/>
        <w:rPr>
          <w:rFonts w:ascii="Times" w:hAnsi="Times"/>
          <w:lang w:eastAsia="en-GB"/>
        </w:rPr>
      </w:pPr>
      <w:r w:rsidRPr="005F3838">
        <w:rPr>
          <w:rFonts w:ascii="Times" w:hAnsi="Times"/>
          <w:lang w:eastAsia="en-GB"/>
        </w:rPr>
        <w:t>During the same period, in Ukraine, the proponent requested authorization from the National Competent Authority of Ukraine, the Ministry of Education and Science of Ukraine</w:t>
      </w:r>
      <w:r w:rsidRPr="00222344">
        <w:rPr>
          <w:rFonts w:ascii="Times" w:hAnsi="Times"/>
          <w:lang w:eastAsia="en-GB"/>
        </w:rPr>
        <w:t>. D</w:t>
      </w:r>
      <w:r w:rsidRPr="00222344">
        <w:rPr>
          <w:lang w:val="en-US" w:eastAsia="en-GB"/>
        </w:rPr>
        <w:t xml:space="preserve">uring the reviewing process it was found that the sailing boat was not mentioned as an unreliable vessel by any National Competent Authorities on the ATS forum, the proponent has an extensive Antarctic experience, had visited Ukrainian Vernadsky station many times almost every year, and is very familiar with the area around the Vernadsky station, where he plans to spend a lot of time during his planned activity.  </w:t>
      </w:r>
    </w:p>
    <w:p w14:paraId="26D355F6" w14:textId="77777777" w:rsidR="0076466E" w:rsidRPr="00222344" w:rsidRDefault="0076466E" w:rsidP="0076466E">
      <w:pPr>
        <w:shd w:val="clear" w:color="auto" w:fill="FFFFFF"/>
        <w:rPr>
          <w:lang w:val="en-US" w:eastAsia="en-GB"/>
        </w:rPr>
      </w:pPr>
      <w:r w:rsidRPr="00222344">
        <w:rPr>
          <w:lang w:val="en-US" w:eastAsia="en-GB"/>
        </w:rPr>
        <w:t>As result, the permission was issued by the Ukrainian Competent Authority in compliance with the Protocol on Environmental Protection to the Antarctic Treaty and the relevant guidelines on contingency planning, insurance and other matters for tourist and non-governmental activities in the Antarctic Treaty Area adopted by the ATCM.</w:t>
      </w:r>
    </w:p>
    <w:p w14:paraId="14957511" w14:textId="77777777" w:rsidR="0076466E" w:rsidRPr="0050243D" w:rsidRDefault="0076466E" w:rsidP="0076466E">
      <w:pPr>
        <w:shd w:val="clear" w:color="auto" w:fill="FFFFFF"/>
        <w:rPr>
          <w:highlight w:val="yellow"/>
          <w:lang w:val="en-US" w:eastAsia="en-GB"/>
        </w:rPr>
      </w:pPr>
    </w:p>
    <w:p w14:paraId="44B8D794" w14:textId="77777777" w:rsidR="0076466E" w:rsidRDefault="0076466E" w:rsidP="0076466E">
      <w:pPr>
        <w:shd w:val="clear" w:color="auto" w:fill="FFFFFF"/>
        <w:rPr>
          <w:lang w:eastAsia="en-GB"/>
        </w:rPr>
      </w:pPr>
      <w:r w:rsidRPr="00082B68">
        <w:rPr>
          <w:lang w:eastAsia="en-GB"/>
        </w:rPr>
        <w:t>The Chilean Competent Authority reported the situation to Ukraine Competent Authority, initiating early and direct communications. During this process, both competent authorities engaged in enhanced coordination</w:t>
      </w:r>
      <w:r>
        <w:rPr>
          <w:lang w:eastAsia="en-GB"/>
        </w:rPr>
        <w:t xml:space="preserve"> and a </w:t>
      </w:r>
      <w:r w:rsidRPr="00082B68">
        <w:rPr>
          <w:lang w:eastAsia="en-GB"/>
        </w:rPr>
        <w:t xml:space="preserve">constant exchange of information </w:t>
      </w:r>
      <w:r>
        <w:rPr>
          <w:lang w:eastAsia="en-GB"/>
        </w:rPr>
        <w:t>that</w:t>
      </w:r>
      <w:r w:rsidRPr="00082B68">
        <w:rPr>
          <w:lang w:eastAsia="en-GB"/>
        </w:rPr>
        <w:t xml:space="preserve"> allowed a complete evaluation of the activity and its impacts.</w:t>
      </w:r>
    </w:p>
    <w:p w14:paraId="023330C5" w14:textId="77777777" w:rsidR="0076466E" w:rsidRDefault="0076466E" w:rsidP="0076466E">
      <w:pPr>
        <w:shd w:val="clear" w:color="auto" w:fill="FFFFFF"/>
        <w:rPr>
          <w:lang w:eastAsia="en-GB"/>
        </w:rPr>
      </w:pPr>
    </w:p>
    <w:p w14:paraId="00E2AD8B" w14:textId="77777777" w:rsidR="0076466E" w:rsidRDefault="0076466E" w:rsidP="0076466E">
      <w:pPr>
        <w:shd w:val="clear" w:color="auto" w:fill="FFFFFF"/>
        <w:rPr>
          <w:lang w:eastAsia="en-GB"/>
        </w:rPr>
      </w:pPr>
      <w:r w:rsidRPr="00DF1676">
        <w:rPr>
          <w:lang w:eastAsia="en-GB"/>
        </w:rPr>
        <w:t xml:space="preserve">During this exchange of information, both NCAs found that the proponent of the activity had submitted a double application for the same activity without informing each NCA. Afterward, we receive more information that indicated that the same proponent tried to obtain authorization for this activity from other States Parties. </w:t>
      </w:r>
    </w:p>
    <w:p w14:paraId="132854EA" w14:textId="77777777" w:rsidR="0076466E" w:rsidRDefault="0076466E" w:rsidP="0076466E">
      <w:pPr>
        <w:shd w:val="clear" w:color="auto" w:fill="FFFFFF"/>
        <w:rPr>
          <w:lang w:eastAsia="en-GB"/>
        </w:rPr>
      </w:pPr>
    </w:p>
    <w:p w14:paraId="0D4E4DF3" w14:textId="77777777" w:rsidR="0076466E" w:rsidRPr="0056224B" w:rsidRDefault="0076466E" w:rsidP="0076466E">
      <w:pPr>
        <w:shd w:val="clear" w:color="auto" w:fill="FFFFFF"/>
        <w:rPr>
          <w:lang w:eastAsia="en-GB"/>
        </w:rPr>
      </w:pPr>
      <w:r>
        <w:rPr>
          <w:lang w:eastAsia="en-GB"/>
        </w:rPr>
        <w:t xml:space="preserve">Chile and Ukraine decided to contact the proponent of the activity to inform and recall him that the multiple permission process is not allowed by the ATS regulation. </w:t>
      </w:r>
    </w:p>
    <w:p w14:paraId="10112BCB" w14:textId="77777777" w:rsidR="0076466E" w:rsidRPr="00F43155" w:rsidRDefault="0076466E" w:rsidP="0076466E">
      <w:pPr>
        <w:pStyle w:val="ATSHeading2"/>
        <w:jc w:val="left"/>
        <w:rPr>
          <w:szCs w:val="24"/>
        </w:rPr>
      </w:pPr>
      <w:r w:rsidRPr="00F43155">
        <w:rPr>
          <w:szCs w:val="24"/>
        </w:rPr>
        <w:t xml:space="preserve">Conclusion </w:t>
      </w:r>
    </w:p>
    <w:p w14:paraId="7DC9BF79" w14:textId="77777777" w:rsidR="0076466E" w:rsidRDefault="0076466E" w:rsidP="0076466E">
      <w:pPr>
        <w:shd w:val="clear" w:color="auto" w:fill="FFFFFF"/>
        <w:rPr>
          <w:lang w:eastAsia="en-GB"/>
        </w:rPr>
      </w:pPr>
      <w:r w:rsidRPr="009C0D72">
        <w:rPr>
          <w:lang w:eastAsia="en-GB"/>
        </w:rPr>
        <w:t>Communication and information exchange among Treaty Parties are essential to avoid “forum</w:t>
      </w:r>
      <w:r>
        <w:rPr>
          <w:lang w:eastAsia="en-GB"/>
        </w:rPr>
        <w:t xml:space="preserve">/permit </w:t>
      </w:r>
      <w:r w:rsidRPr="009C0D72">
        <w:rPr>
          <w:lang w:eastAsia="en-GB"/>
        </w:rPr>
        <w:t xml:space="preserve">shopping” and prevent the departure of non-authorized expeditions from their ports. </w:t>
      </w:r>
    </w:p>
    <w:p w14:paraId="3FC38837" w14:textId="77777777" w:rsidR="0076466E" w:rsidRPr="009C0D72" w:rsidRDefault="0076466E" w:rsidP="0076466E">
      <w:pPr>
        <w:shd w:val="clear" w:color="auto" w:fill="FFFFFF"/>
        <w:rPr>
          <w:lang w:eastAsia="en-GB"/>
        </w:rPr>
      </w:pPr>
    </w:p>
    <w:p w14:paraId="4B4D6A64" w14:textId="77777777" w:rsidR="0076466E" w:rsidRPr="009C0D72" w:rsidRDefault="0076466E" w:rsidP="0076466E">
      <w:pPr>
        <w:shd w:val="clear" w:color="auto" w:fill="FFFFFF"/>
        <w:rPr>
          <w:lang w:eastAsia="en-GB"/>
        </w:rPr>
      </w:pPr>
      <w:r w:rsidRPr="009C0D72">
        <w:rPr>
          <w:lang w:eastAsia="en-GB"/>
        </w:rPr>
        <w:t xml:space="preserve">This case shows that the Electronic Information Exchange System (EIES) does not always provide information on the authorization, so it is only at the time of departure that the Port Authority can verify if a Treaty Party has authorized the expedition. </w:t>
      </w:r>
    </w:p>
    <w:p w14:paraId="73F751F2" w14:textId="77777777" w:rsidR="0076466E" w:rsidRDefault="0076466E" w:rsidP="0076466E">
      <w:pPr>
        <w:shd w:val="clear" w:color="auto" w:fill="FFFFFF"/>
        <w:rPr>
          <w:lang w:eastAsia="en-GB"/>
        </w:rPr>
      </w:pPr>
    </w:p>
    <w:p w14:paraId="720FA606" w14:textId="77777777" w:rsidR="0076466E" w:rsidRDefault="0076466E" w:rsidP="0076466E">
      <w:pPr>
        <w:shd w:val="clear" w:color="auto" w:fill="FFFFFF"/>
        <w:rPr>
          <w:lang w:eastAsia="en-GB"/>
        </w:rPr>
      </w:pPr>
      <w:r w:rsidRPr="009C0D72">
        <w:rPr>
          <w:lang w:eastAsia="en-GB"/>
        </w:rPr>
        <w:t>Furthermore, it is not always clear which competent authority is responsible for authorizing the proposed non-governmental</w:t>
      </w:r>
      <w:r>
        <w:rPr>
          <w:lang w:eastAsia="en-GB"/>
        </w:rPr>
        <w:t xml:space="preserve"> activity </w:t>
      </w:r>
      <w:r w:rsidRPr="009C0D72">
        <w:rPr>
          <w:lang w:eastAsia="en-GB"/>
        </w:rPr>
        <w:t xml:space="preserve">when expeditions involve people from different countries, applicants with dual nationality, and vessels sailing under third-country flags. </w:t>
      </w:r>
    </w:p>
    <w:p w14:paraId="5D6130C9" w14:textId="77777777" w:rsidR="0076466E" w:rsidRPr="00DF1676" w:rsidRDefault="0076466E" w:rsidP="0076466E">
      <w:pPr>
        <w:shd w:val="clear" w:color="auto" w:fill="FFFFFF"/>
        <w:rPr>
          <w:lang w:val="en-US" w:eastAsia="en-GB"/>
        </w:rPr>
      </w:pPr>
    </w:p>
    <w:p w14:paraId="74996B8E" w14:textId="77777777" w:rsidR="0076466E" w:rsidRPr="009C0D72" w:rsidRDefault="0076466E" w:rsidP="0076466E">
      <w:pPr>
        <w:shd w:val="clear" w:color="auto" w:fill="FFFFFF"/>
        <w:rPr>
          <w:lang w:eastAsia="en-GB"/>
        </w:rPr>
      </w:pPr>
      <w:r>
        <w:rPr>
          <w:lang w:eastAsia="en-GB"/>
        </w:rPr>
        <w:t>W</w:t>
      </w:r>
      <w:r w:rsidRPr="009C0D72">
        <w:rPr>
          <w:lang w:eastAsia="en-GB"/>
        </w:rPr>
        <w:t>e would urge the ATCM to encourage Parties to share information about yachts they have authorized through the EIES, sub-forum</w:t>
      </w:r>
      <w:r>
        <w:rPr>
          <w:lang w:eastAsia="en-GB"/>
        </w:rPr>
        <w:t xml:space="preserve"> on National Competent Authorities</w:t>
      </w:r>
      <w:r w:rsidRPr="009C0D72">
        <w:rPr>
          <w:lang w:eastAsia="en-GB"/>
        </w:rPr>
        <w:t>, bilateral communications, and diplomatic channels in line with Resolution 3 (2004) ) "Tourism and Non-Governmental Activities: Greater Cooperation between the Parties," which recommends consulting with the relevant Parties during the process of authorization of tourism and non-governmental activities to allow effective monitoring of yachting activities in the Antarctic Treaty area</w:t>
      </w:r>
      <w:r>
        <w:rPr>
          <w:lang w:eastAsia="en-GB"/>
        </w:rPr>
        <w:t>.</w:t>
      </w:r>
    </w:p>
    <w:p w14:paraId="3CC00CF0" w14:textId="77777777" w:rsidR="0076466E" w:rsidRDefault="0076466E" w:rsidP="0076466E">
      <w:pPr>
        <w:shd w:val="clear" w:color="auto" w:fill="FFFFFF"/>
        <w:rPr>
          <w:lang w:eastAsia="en-GB"/>
        </w:rPr>
      </w:pPr>
    </w:p>
    <w:p w14:paraId="2EBD31D3" w14:textId="77777777" w:rsidR="0076466E" w:rsidRDefault="0076466E" w:rsidP="0076466E">
      <w:pPr>
        <w:shd w:val="clear" w:color="auto" w:fill="FFFFFF"/>
        <w:rPr>
          <w:lang w:eastAsia="en-GB"/>
        </w:rPr>
      </w:pPr>
      <w:r w:rsidRPr="009C0D72">
        <w:rPr>
          <w:lang w:eastAsia="en-GB"/>
        </w:rPr>
        <w:t>Furthermore, we would urge the ATCM to further consider the issue of permit shopping and the need to harmonize authorization regulations and procedures between</w:t>
      </w:r>
      <w:r>
        <w:rPr>
          <w:lang w:eastAsia="en-GB"/>
        </w:rPr>
        <w:t xml:space="preserve"> </w:t>
      </w:r>
      <w:r w:rsidRPr="009C0D72">
        <w:rPr>
          <w:lang w:eastAsia="en-GB"/>
        </w:rPr>
        <w:t>Treaty Parties to ensure that all competent authorities apply the same standards and improve the control of tourism and non-governmental activities in the Antarctic Treaty area.</w:t>
      </w:r>
    </w:p>
    <w:p w14:paraId="2B2D2EF1" w14:textId="77777777" w:rsidR="0076466E" w:rsidRDefault="0076466E" w:rsidP="0076466E">
      <w:pPr>
        <w:shd w:val="clear" w:color="auto" w:fill="FFFFFF"/>
        <w:rPr>
          <w:lang w:eastAsia="en-GB"/>
        </w:rPr>
      </w:pPr>
    </w:p>
    <w:p w14:paraId="7F6E8B5E" w14:textId="77777777" w:rsidR="0076466E" w:rsidRDefault="0076466E" w:rsidP="0076466E">
      <w:r w:rsidRPr="00DF1676">
        <w:rPr>
          <w:lang w:eastAsia="en-GB"/>
        </w:rPr>
        <w:t xml:space="preserve">We appreciate </w:t>
      </w:r>
      <w:r>
        <w:rPr>
          <w:lang w:eastAsia="en-GB"/>
        </w:rPr>
        <w:t xml:space="preserve">and support </w:t>
      </w:r>
      <w:r w:rsidRPr="00DF1676">
        <w:rPr>
          <w:lang w:eastAsia="en-GB"/>
        </w:rPr>
        <w:t>the work done in</w:t>
      </w:r>
      <w:r>
        <w:rPr>
          <w:lang w:eastAsia="en-GB"/>
        </w:rPr>
        <w:t xml:space="preserve"> t</w:t>
      </w:r>
      <w:r w:rsidRPr="002B72A2">
        <w:rPr>
          <w:lang w:val="en-US" w:eastAsia="en-GB"/>
        </w:rPr>
        <w:t xml:space="preserve">he convened Competent Authorities </w:t>
      </w:r>
      <w:r>
        <w:rPr>
          <w:lang w:val="en-US" w:eastAsia="en-GB"/>
        </w:rPr>
        <w:t>f</w:t>
      </w:r>
      <w:r w:rsidRPr="002B72A2">
        <w:rPr>
          <w:lang w:val="en-US" w:eastAsia="en-GB"/>
        </w:rPr>
        <w:t xml:space="preserve">orum </w:t>
      </w:r>
      <w:r w:rsidRPr="002B72A2">
        <w:rPr>
          <w:lang w:eastAsia="en-GB"/>
        </w:rPr>
        <w:t>and we encourage states to continue to engage in the discussion</w:t>
      </w:r>
      <w:r>
        <w:rPr>
          <w:lang w:eastAsia="en-GB"/>
        </w:rPr>
        <w:t>s</w:t>
      </w:r>
      <w:r w:rsidRPr="002B72A2">
        <w:rPr>
          <w:lang w:eastAsia="en-GB"/>
        </w:rPr>
        <w:t xml:space="preserve"> to address the challenges posed by the authorization process of non-governmental activities. </w:t>
      </w:r>
    </w:p>
    <w:p w14:paraId="1DBBD660" w14:textId="77777777" w:rsidR="0076466E" w:rsidRDefault="0076466E" w:rsidP="00952E9F"/>
    <w:sectPr w:rsidR="0076466E"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BA772" w14:textId="77777777" w:rsidR="00000000" w:rsidRDefault="0076466E">
      <w:r>
        <w:separator/>
      </w:r>
    </w:p>
  </w:endnote>
  <w:endnote w:type="continuationSeparator" w:id="0">
    <w:p w14:paraId="14DF0F24" w14:textId="77777777" w:rsidR="00000000" w:rsidRDefault="0076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altName w:val="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132DA" w14:textId="77777777" w:rsidR="00FA0B9F" w:rsidRDefault="0076466E" w:rsidP="00CF5C82">
    <w:pPr>
      <w:framePr w:wrap="around" w:vAnchor="text" w:hAnchor="margin" w:xAlign="right" w:y="1"/>
    </w:pPr>
    <w:r>
      <w:fldChar w:fldCharType="begin"/>
    </w:r>
    <w:r>
      <w:instrText xml:space="preserve">PAGE  </w:instrText>
    </w:r>
    <w:r>
      <w:fldChar w:fldCharType="end"/>
    </w:r>
  </w:p>
  <w:p w14:paraId="1A289D0E" w14:textId="77777777" w:rsidR="00FA0B9F" w:rsidRDefault="0076466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35A2E" w14:textId="77777777" w:rsidR="00FA0B9F" w:rsidRDefault="0076466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A977E1D" w14:textId="5CD00486" w:rsidR="00FA0B9F" w:rsidRDefault="0076466E" w:rsidP="0076466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AB32" w14:textId="77777777" w:rsidR="00E311C9" w:rsidRDefault="0076466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49B5463" w14:textId="77777777" w:rsidR="00E311C9" w:rsidRDefault="0076466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2BD29" w14:textId="77777777" w:rsidR="00000000" w:rsidRDefault="0076466E">
      <w:r>
        <w:separator/>
      </w:r>
    </w:p>
  </w:footnote>
  <w:footnote w:type="continuationSeparator" w:id="0">
    <w:p w14:paraId="0A88CA23" w14:textId="77777777" w:rsidR="00000000" w:rsidRDefault="00764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E1B55" w14:paraId="057A3D04" w14:textId="77777777" w:rsidTr="00490760">
      <w:trPr>
        <w:trHeight w:val="344"/>
        <w:jc w:val="center"/>
      </w:trPr>
      <w:tc>
        <w:tcPr>
          <w:tcW w:w="5495" w:type="dxa"/>
        </w:tcPr>
        <w:p w14:paraId="630E2980" w14:textId="77777777" w:rsidR="00DB7C09" w:rsidRDefault="0076466E" w:rsidP="00F968D4"/>
      </w:tc>
      <w:tc>
        <w:tcPr>
          <w:tcW w:w="4253" w:type="dxa"/>
          <w:gridSpan w:val="2"/>
        </w:tcPr>
        <w:p w14:paraId="315B0B9C" w14:textId="77777777" w:rsidR="00DB7C09" w:rsidRPr="00BD47E4" w:rsidRDefault="0076466E" w:rsidP="002A07BC">
          <w:pPr>
            <w:jc w:val="right"/>
            <w:rPr>
              <w:b/>
              <w:sz w:val="32"/>
              <w:szCs w:val="32"/>
            </w:rPr>
          </w:pPr>
          <w:bookmarkStart w:id="2" w:name="type"/>
          <w:r w:rsidRPr="00BD47E4">
            <w:rPr>
              <w:b/>
              <w:sz w:val="32"/>
              <w:szCs w:val="32"/>
            </w:rPr>
            <w:t>IP</w:t>
          </w:r>
          <w:bookmarkEnd w:id="2"/>
        </w:p>
      </w:tc>
      <w:tc>
        <w:tcPr>
          <w:tcW w:w="1524" w:type="dxa"/>
          <w:gridSpan w:val="2"/>
        </w:tcPr>
        <w:p w14:paraId="0CD94008" w14:textId="77777777" w:rsidR="00DB7C09" w:rsidRPr="00BD47E4" w:rsidRDefault="0076466E" w:rsidP="00DB7C09">
          <w:pPr>
            <w:rPr>
              <w:b/>
              <w:sz w:val="32"/>
              <w:szCs w:val="32"/>
            </w:rPr>
          </w:pPr>
          <w:bookmarkStart w:id="3" w:name="number"/>
          <w:r w:rsidRPr="00BD47E4">
            <w:rPr>
              <w:b/>
              <w:sz w:val="32"/>
              <w:szCs w:val="32"/>
            </w:rPr>
            <w:t>13</w:t>
          </w:r>
          <w:bookmarkEnd w:id="3"/>
        </w:p>
      </w:tc>
    </w:tr>
    <w:tr w:rsidR="003E1B55" w14:paraId="7E5928BF" w14:textId="77777777" w:rsidTr="00490760">
      <w:trPr>
        <w:trHeight w:val="2165"/>
        <w:jc w:val="center"/>
      </w:trPr>
      <w:tc>
        <w:tcPr>
          <w:tcW w:w="5495" w:type="dxa"/>
        </w:tcPr>
        <w:p w14:paraId="3D836838" w14:textId="77777777" w:rsidR="00490760" w:rsidRPr="00EE4D48" w:rsidRDefault="0076466E" w:rsidP="002A07BC">
          <w:pPr>
            <w:rPr>
              <w:b/>
              <w:sz w:val="28"/>
              <w:szCs w:val="28"/>
            </w:rPr>
          </w:pPr>
          <w:r>
            <w:rPr>
              <w:b/>
              <w:noProof/>
              <w:sz w:val="28"/>
              <w:szCs w:val="28"/>
            </w:rPr>
            <w:drawing>
              <wp:inline distT="0" distB="0" distL="0" distR="0" wp14:anchorId="504998F1" wp14:editId="327D310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19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541F4CC" w14:textId="77777777" w:rsidR="00490760" w:rsidRPr="00FE5146" w:rsidRDefault="0076466E" w:rsidP="00490760">
          <w:pPr>
            <w:jc w:val="right"/>
            <w:rPr>
              <w:sz w:val="144"/>
              <w:szCs w:val="144"/>
            </w:rPr>
          </w:pPr>
          <w:r w:rsidRPr="00FE5146">
            <w:rPr>
              <w:sz w:val="144"/>
              <w:szCs w:val="144"/>
            </w:rPr>
            <w:t>ENG</w:t>
          </w:r>
        </w:p>
      </w:tc>
    </w:tr>
    <w:tr w:rsidR="003E1B55" w14:paraId="632A9A84" w14:textId="77777777" w:rsidTr="00BD47E4">
      <w:trPr>
        <w:trHeight w:val="409"/>
        <w:jc w:val="center"/>
      </w:trPr>
      <w:tc>
        <w:tcPr>
          <w:tcW w:w="9039" w:type="dxa"/>
          <w:gridSpan w:val="2"/>
        </w:tcPr>
        <w:p w14:paraId="3D7D244B" w14:textId="77777777" w:rsidR="00BD47E4" w:rsidRDefault="0076466E" w:rsidP="002C30DA">
          <w:pPr>
            <w:jc w:val="right"/>
          </w:pPr>
          <w:r>
            <w:t>Agenda Item:</w:t>
          </w:r>
        </w:p>
      </w:tc>
      <w:tc>
        <w:tcPr>
          <w:tcW w:w="1843" w:type="dxa"/>
          <w:gridSpan w:val="2"/>
        </w:tcPr>
        <w:p w14:paraId="04E6234C" w14:textId="77777777" w:rsidR="00BD47E4" w:rsidRDefault="0076466E" w:rsidP="002C30DA">
          <w:pPr>
            <w:jc w:val="right"/>
          </w:pPr>
          <w:bookmarkStart w:id="4" w:name="agenda"/>
          <w:r>
            <w:t>ATCM 17</w:t>
          </w:r>
          <w:bookmarkEnd w:id="4"/>
        </w:p>
      </w:tc>
      <w:tc>
        <w:tcPr>
          <w:tcW w:w="390" w:type="dxa"/>
        </w:tcPr>
        <w:p w14:paraId="0BE4CA1E" w14:textId="77777777" w:rsidR="00BD47E4" w:rsidRDefault="0076466E" w:rsidP="00387A65">
          <w:pPr>
            <w:jc w:val="right"/>
          </w:pPr>
        </w:p>
      </w:tc>
    </w:tr>
    <w:tr w:rsidR="003E1B55" w14:paraId="1351ED34" w14:textId="77777777" w:rsidTr="00BD47E4">
      <w:trPr>
        <w:trHeight w:val="397"/>
        <w:jc w:val="center"/>
      </w:trPr>
      <w:tc>
        <w:tcPr>
          <w:tcW w:w="9039" w:type="dxa"/>
          <w:gridSpan w:val="2"/>
        </w:tcPr>
        <w:p w14:paraId="7476ADF0" w14:textId="77777777" w:rsidR="00BD47E4" w:rsidRDefault="0076466E" w:rsidP="002C30DA">
          <w:pPr>
            <w:jc w:val="right"/>
          </w:pPr>
          <w:r>
            <w:t>Presented by:</w:t>
          </w:r>
        </w:p>
      </w:tc>
      <w:tc>
        <w:tcPr>
          <w:tcW w:w="1843" w:type="dxa"/>
          <w:gridSpan w:val="2"/>
        </w:tcPr>
        <w:p w14:paraId="07FBD749" w14:textId="77777777" w:rsidR="00BD47E4" w:rsidRDefault="0076466E" w:rsidP="002C30DA">
          <w:pPr>
            <w:jc w:val="right"/>
          </w:pPr>
          <w:bookmarkStart w:id="5" w:name="party"/>
          <w:r>
            <w:t>Ukraine, Chile</w:t>
          </w:r>
          <w:bookmarkEnd w:id="5"/>
        </w:p>
      </w:tc>
      <w:tc>
        <w:tcPr>
          <w:tcW w:w="390" w:type="dxa"/>
        </w:tcPr>
        <w:p w14:paraId="637ED22D" w14:textId="77777777" w:rsidR="00BD47E4" w:rsidRDefault="0076466E" w:rsidP="00387A65">
          <w:pPr>
            <w:jc w:val="right"/>
          </w:pPr>
        </w:p>
      </w:tc>
    </w:tr>
    <w:tr w:rsidR="003E1B55" w14:paraId="048AF335" w14:textId="77777777" w:rsidTr="00BD47E4">
      <w:trPr>
        <w:trHeight w:val="409"/>
        <w:jc w:val="center"/>
      </w:trPr>
      <w:tc>
        <w:tcPr>
          <w:tcW w:w="9039" w:type="dxa"/>
          <w:gridSpan w:val="2"/>
        </w:tcPr>
        <w:p w14:paraId="4905AA19" w14:textId="77777777" w:rsidR="00BD47E4" w:rsidRDefault="0076466E" w:rsidP="002C30DA">
          <w:pPr>
            <w:jc w:val="right"/>
          </w:pPr>
          <w:r>
            <w:t>Original:</w:t>
          </w:r>
        </w:p>
      </w:tc>
      <w:tc>
        <w:tcPr>
          <w:tcW w:w="1843" w:type="dxa"/>
          <w:gridSpan w:val="2"/>
        </w:tcPr>
        <w:p w14:paraId="795B627C" w14:textId="77777777" w:rsidR="00BD47E4" w:rsidRDefault="0076466E" w:rsidP="002C30DA">
          <w:pPr>
            <w:jc w:val="right"/>
          </w:pPr>
          <w:bookmarkStart w:id="6" w:name="language"/>
          <w:r>
            <w:t>English</w:t>
          </w:r>
          <w:bookmarkEnd w:id="6"/>
        </w:p>
      </w:tc>
      <w:tc>
        <w:tcPr>
          <w:tcW w:w="390" w:type="dxa"/>
        </w:tcPr>
        <w:p w14:paraId="41DE3458" w14:textId="77777777" w:rsidR="00BD47E4" w:rsidRDefault="0076466E" w:rsidP="00387A65">
          <w:pPr>
            <w:jc w:val="right"/>
          </w:pPr>
        </w:p>
      </w:tc>
    </w:tr>
    <w:tr w:rsidR="003E1B55" w14:paraId="220B5044" w14:textId="77777777" w:rsidTr="00BD47E4">
      <w:trPr>
        <w:trHeight w:val="409"/>
        <w:jc w:val="center"/>
      </w:trPr>
      <w:tc>
        <w:tcPr>
          <w:tcW w:w="9039" w:type="dxa"/>
          <w:gridSpan w:val="2"/>
        </w:tcPr>
        <w:p w14:paraId="61A0E68F" w14:textId="77777777" w:rsidR="0097629D" w:rsidRDefault="0076466E" w:rsidP="002C30DA">
          <w:pPr>
            <w:jc w:val="right"/>
          </w:pPr>
          <w:r>
            <w:t>Submitted:</w:t>
          </w:r>
        </w:p>
      </w:tc>
      <w:tc>
        <w:tcPr>
          <w:tcW w:w="1843" w:type="dxa"/>
          <w:gridSpan w:val="2"/>
        </w:tcPr>
        <w:p w14:paraId="74B9DF87" w14:textId="77777777" w:rsidR="0097629D" w:rsidRDefault="0076466E" w:rsidP="0097629D">
          <w:pPr>
            <w:jc w:val="right"/>
          </w:pPr>
          <w:bookmarkStart w:id="7" w:name="date_submission"/>
          <w:r>
            <w:t>28/4/2021</w:t>
          </w:r>
          <w:bookmarkEnd w:id="7"/>
        </w:p>
      </w:tc>
      <w:tc>
        <w:tcPr>
          <w:tcW w:w="390" w:type="dxa"/>
        </w:tcPr>
        <w:p w14:paraId="19C1273F" w14:textId="77777777" w:rsidR="0097629D" w:rsidRDefault="0076466E" w:rsidP="00387A65">
          <w:pPr>
            <w:jc w:val="right"/>
          </w:pPr>
        </w:p>
      </w:tc>
    </w:tr>
  </w:tbl>
  <w:p w14:paraId="2712F2E8" w14:textId="77777777" w:rsidR="00AE5DD0" w:rsidRDefault="007646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ayout w:type="fixed"/>
      <w:tblLook w:val="01E0" w:firstRow="1" w:lastRow="1" w:firstColumn="1" w:lastColumn="1" w:noHBand="0" w:noVBand="0"/>
    </w:tblPr>
    <w:tblGrid>
      <w:gridCol w:w="9512"/>
      <w:gridCol w:w="1514"/>
    </w:tblGrid>
    <w:tr w:rsidR="003E1B55" w14:paraId="30C26984" w14:textId="77777777" w:rsidTr="0076466E">
      <w:trPr>
        <w:trHeight w:val="354"/>
        <w:jc w:val="center"/>
      </w:trPr>
      <w:tc>
        <w:tcPr>
          <w:tcW w:w="9512" w:type="dxa"/>
        </w:tcPr>
        <w:p w14:paraId="4AFC805C" w14:textId="63C14CFC" w:rsidR="00AE5DD0" w:rsidRPr="00BD47E4" w:rsidRDefault="0076466E" w:rsidP="00C26F2D">
          <w:pPr>
            <w:jc w:val="right"/>
            <w:rPr>
              <w:b/>
              <w:sz w:val="32"/>
              <w:szCs w:val="32"/>
            </w:rPr>
          </w:pPr>
          <w:r>
            <w:rPr>
              <w:b/>
              <w:sz w:val="32"/>
              <w:szCs w:val="32"/>
            </w:rPr>
            <w:t>IP</w:t>
          </w:r>
        </w:p>
      </w:tc>
      <w:tc>
        <w:tcPr>
          <w:tcW w:w="1514" w:type="dxa"/>
        </w:tcPr>
        <w:p w14:paraId="53D51639" w14:textId="4706772A" w:rsidR="00AE5DD0" w:rsidRPr="00BD47E4" w:rsidRDefault="0076466E" w:rsidP="00080F4C">
          <w:pPr>
            <w:rPr>
              <w:b/>
              <w:sz w:val="32"/>
              <w:szCs w:val="32"/>
            </w:rPr>
          </w:pPr>
          <w:r>
            <w:rPr>
              <w:b/>
              <w:sz w:val="32"/>
              <w:szCs w:val="32"/>
            </w:rPr>
            <w:t>13</w:t>
          </w:r>
        </w:p>
      </w:tc>
    </w:tr>
  </w:tbl>
  <w:p w14:paraId="2D56BA81" w14:textId="77777777" w:rsidR="00AE5DD0" w:rsidRDefault="007646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1325900">
      <w:start w:val="1"/>
      <w:numFmt w:val="bullet"/>
      <w:pStyle w:val="ATSBullet1"/>
      <w:lvlText w:val=""/>
      <w:lvlJc w:val="left"/>
      <w:pPr>
        <w:tabs>
          <w:tab w:val="num" w:pos="360"/>
        </w:tabs>
        <w:ind w:left="360" w:hanging="360"/>
      </w:pPr>
      <w:rPr>
        <w:rFonts w:ascii="Symbol" w:hAnsi="Symbol" w:hint="default"/>
        <w:color w:val="auto"/>
      </w:rPr>
    </w:lvl>
    <w:lvl w:ilvl="1" w:tplc="EF10ED9C" w:tentative="1">
      <w:start w:val="1"/>
      <w:numFmt w:val="bullet"/>
      <w:lvlText w:val="o"/>
      <w:lvlJc w:val="left"/>
      <w:pPr>
        <w:tabs>
          <w:tab w:val="num" w:pos="1440"/>
        </w:tabs>
        <w:ind w:left="1440" w:hanging="360"/>
      </w:pPr>
      <w:rPr>
        <w:rFonts w:ascii="Courier New" w:hAnsi="Courier New" w:cs="Courier New" w:hint="default"/>
      </w:rPr>
    </w:lvl>
    <w:lvl w:ilvl="2" w:tplc="24F89B5E" w:tentative="1">
      <w:start w:val="1"/>
      <w:numFmt w:val="bullet"/>
      <w:lvlText w:val=""/>
      <w:lvlJc w:val="left"/>
      <w:pPr>
        <w:tabs>
          <w:tab w:val="num" w:pos="2160"/>
        </w:tabs>
        <w:ind w:left="2160" w:hanging="360"/>
      </w:pPr>
      <w:rPr>
        <w:rFonts w:ascii="Wingdings" w:hAnsi="Wingdings" w:hint="default"/>
      </w:rPr>
    </w:lvl>
    <w:lvl w:ilvl="3" w:tplc="142AFF10" w:tentative="1">
      <w:start w:val="1"/>
      <w:numFmt w:val="bullet"/>
      <w:lvlText w:val=""/>
      <w:lvlJc w:val="left"/>
      <w:pPr>
        <w:tabs>
          <w:tab w:val="num" w:pos="2880"/>
        </w:tabs>
        <w:ind w:left="2880" w:hanging="360"/>
      </w:pPr>
      <w:rPr>
        <w:rFonts w:ascii="Symbol" w:hAnsi="Symbol" w:hint="default"/>
      </w:rPr>
    </w:lvl>
    <w:lvl w:ilvl="4" w:tplc="C21C3F1C" w:tentative="1">
      <w:start w:val="1"/>
      <w:numFmt w:val="bullet"/>
      <w:lvlText w:val="o"/>
      <w:lvlJc w:val="left"/>
      <w:pPr>
        <w:tabs>
          <w:tab w:val="num" w:pos="3600"/>
        </w:tabs>
        <w:ind w:left="3600" w:hanging="360"/>
      </w:pPr>
      <w:rPr>
        <w:rFonts w:ascii="Courier New" w:hAnsi="Courier New" w:cs="Courier New" w:hint="default"/>
      </w:rPr>
    </w:lvl>
    <w:lvl w:ilvl="5" w:tplc="5F3A9CEC" w:tentative="1">
      <w:start w:val="1"/>
      <w:numFmt w:val="bullet"/>
      <w:lvlText w:val=""/>
      <w:lvlJc w:val="left"/>
      <w:pPr>
        <w:tabs>
          <w:tab w:val="num" w:pos="4320"/>
        </w:tabs>
        <w:ind w:left="4320" w:hanging="360"/>
      </w:pPr>
      <w:rPr>
        <w:rFonts w:ascii="Wingdings" w:hAnsi="Wingdings" w:hint="default"/>
      </w:rPr>
    </w:lvl>
    <w:lvl w:ilvl="6" w:tplc="AB8CB962" w:tentative="1">
      <w:start w:val="1"/>
      <w:numFmt w:val="bullet"/>
      <w:lvlText w:val=""/>
      <w:lvlJc w:val="left"/>
      <w:pPr>
        <w:tabs>
          <w:tab w:val="num" w:pos="5040"/>
        </w:tabs>
        <w:ind w:left="5040" w:hanging="360"/>
      </w:pPr>
      <w:rPr>
        <w:rFonts w:ascii="Symbol" w:hAnsi="Symbol" w:hint="default"/>
      </w:rPr>
    </w:lvl>
    <w:lvl w:ilvl="7" w:tplc="5986CF40" w:tentative="1">
      <w:start w:val="1"/>
      <w:numFmt w:val="bullet"/>
      <w:lvlText w:val="o"/>
      <w:lvlJc w:val="left"/>
      <w:pPr>
        <w:tabs>
          <w:tab w:val="num" w:pos="5760"/>
        </w:tabs>
        <w:ind w:left="5760" w:hanging="360"/>
      </w:pPr>
      <w:rPr>
        <w:rFonts w:ascii="Courier New" w:hAnsi="Courier New" w:cs="Courier New" w:hint="default"/>
      </w:rPr>
    </w:lvl>
    <w:lvl w:ilvl="8" w:tplc="6EF2A7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F5C9BA0">
      <w:start w:val="1"/>
      <w:numFmt w:val="decimal"/>
      <w:lvlText w:val="%1)"/>
      <w:lvlJc w:val="left"/>
      <w:pPr>
        <w:tabs>
          <w:tab w:val="num" w:pos="340"/>
        </w:tabs>
        <w:ind w:left="340" w:hanging="340"/>
      </w:pPr>
      <w:rPr>
        <w:rFonts w:hint="default"/>
      </w:rPr>
    </w:lvl>
    <w:lvl w:ilvl="1" w:tplc="BF1668A6" w:tentative="1">
      <w:start w:val="1"/>
      <w:numFmt w:val="lowerLetter"/>
      <w:lvlText w:val="%2."/>
      <w:lvlJc w:val="left"/>
      <w:pPr>
        <w:tabs>
          <w:tab w:val="num" w:pos="1440"/>
        </w:tabs>
        <w:ind w:left="1440" w:hanging="360"/>
      </w:pPr>
    </w:lvl>
    <w:lvl w:ilvl="2" w:tplc="2A903B8E" w:tentative="1">
      <w:start w:val="1"/>
      <w:numFmt w:val="lowerRoman"/>
      <w:lvlText w:val="%3."/>
      <w:lvlJc w:val="right"/>
      <w:pPr>
        <w:tabs>
          <w:tab w:val="num" w:pos="2160"/>
        </w:tabs>
        <w:ind w:left="2160" w:hanging="180"/>
      </w:pPr>
    </w:lvl>
    <w:lvl w:ilvl="3" w:tplc="33A6DF70" w:tentative="1">
      <w:start w:val="1"/>
      <w:numFmt w:val="decimal"/>
      <w:lvlText w:val="%4."/>
      <w:lvlJc w:val="left"/>
      <w:pPr>
        <w:tabs>
          <w:tab w:val="num" w:pos="2880"/>
        </w:tabs>
        <w:ind w:left="2880" w:hanging="360"/>
      </w:pPr>
    </w:lvl>
    <w:lvl w:ilvl="4" w:tplc="5156D00E" w:tentative="1">
      <w:start w:val="1"/>
      <w:numFmt w:val="lowerLetter"/>
      <w:lvlText w:val="%5."/>
      <w:lvlJc w:val="left"/>
      <w:pPr>
        <w:tabs>
          <w:tab w:val="num" w:pos="3600"/>
        </w:tabs>
        <w:ind w:left="3600" w:hanging="360"/>
      </w:pPr>
    </w:lvl>
    <w:lvl w:ilvl="5" w:tplc="6514266E" w:tentative="1">
      <w:start w:val="1"/>
      <w:numFmt w:val="lowerRoman"/>
      <w:lvlText w:val="%6."/>
      <w:lvlJc w:val="right"/>
      <w:pPr>
        <w:tabs>
          <w:tab w:val="num" w:pos="4320"/>
        </w:tabs>
        <w:ind w:left="4320" w:hanging="180"/>
      </w:pPr>
    </w:lvl>
    <w:lvl w:ilvl="6" w:tplc="B4EAF8C2" w:tentative="1">
      <w:start w:val="1"/>
      <w:numFmt w:val="decimal"/>
      <w:lvlText w:val="%7."/>
      <w:lvlJc w:val="left"/>
      <w:pPr>
        <w:tabs>
          <w:tab w:val="num" w:pos="5040"/>
        </w:tabs>
        <w:ind w:left="5040" w:hanging="360"/>
      </w:pPr>
    </w:lvl>
    <w:lvl w:ilvl="7" w:tplc="F1026B9A" w:tentative="1">
      <w:start w:val="1"/>
      <w:numFmt w:val="lowerLetter"/>
      <w:lvlText w:val="%8."/>
      <w:lvlJc w:val="left"/>
      <w:pPr>
        <w:tabs>
          <w:tab w:val="num" w:pos="5760"/>
        </w:tabs>
        <w:ind w:left="5760" w:hanging="360"/>
      </w:pPr>
    </w:lvl>
    <w:lvl w:ilvl="8" w:tplc="84FC4FB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57A730C">
      <w:start w:val="1"/>
      <w:numFmt w:val="decimal"/>
      <w:lvlText w:val="%1."/>
      <w:lvlJc w:val="left"/>
      <w:pPr>
        <w:tabs>
          <w:tab w:val="num" w:pos="1057"/>
        </w:tabs>
        <w:ind w:left="1057" w:hanging="360"/>
      </w:pPr>
      <w:rPr>
        <w:rFonts w:hint="default"/>
      </w:rPr>
    </w:lvl>
    <w:lvl w:ilvl="1" w:tplc="2C2E3B84" w:tentative="1">
      <w:start w:val="1"/>
      <w:numFmt w:val="lowerLetter"/>
      <w:lvlText w:val="%2."/>
      <w:lvlJc w:val="left"/>
      <w:pPr>
        <w:tabs>
          <w:tab w:val="num" w:pos="2137"/>
        </w:tabs>
        <w:ind w:left="2137" w:hanging="360"/>
      </w:pPr>
    </w:lvl>
    <w:lvl w:ilvl="2" w:tplc="B5F29AAE" w:tentative="1">
      <w:start w:val="1"/>
      <w:numFmt w:val="lowerRoman"/>
      <w:lvlText w:val="%3."/>
      <w:lvlJc w:val="right"/>
      <w:pPr>
        <w:tabs>
          <w:tab w:val="num" w:pos="2857"/>
        </w:tabs>
        <w:ind w:left="2857" w:hanging="180"/>
      </w:pPr>
    </w:lvl>
    <w:lvl w:ilvl="3" w:tplc="B22E0808" w:tentative="1">
      <w:start w:val="1"/>
      <w:numFmt w:val="decimal"/>
      <w:lvlText w:val="%4."/>
      <w:lvlJc w:val="left"/>
      <w:pPr>
        <w:tabs>
          <w:tab w:val="num" w:pos="3577"/>
        </w:tabs>
        <w:ind w:left="3577" w:hanging="360"/>
      </w:pPr>
    </w:lvl>
    <w:lvl w:ilvl="4" w:tplc="741001EE" w:tentative="1">
      <w:start w:val="1"/>
      <w:numFmt w:val="lowerLetter"/>
      <w:lvlText w:val="%5."/>
      <w:lvlJc w:val="left"/>
      <w:pPr>
        <w:tabs>
          <w:tab w:val="num" w:pos="4297"/>
        </w:tabs>
        <w:ind w:left="4297" w:hanging="360"/>
      </w:pPr>
    </w:lvl>
    <w:lvl w:ilvl="5" w:tplc="742AF014" w:tentative="1">
      <w:start w:val="1"/>
      <w:numFmt w:val="lowerRoman"/>
      <w:lvlText w:val="%6."/>
      <w:lvlJc w:val="right"/>
      <w:pPr>
        <w:tabs>
          <w:tab w:val="num" w:pos="5017"/>
        </w:tabs>
        <w:ind w:left="5017" w:hanging="180"/>
      </w:pPr>
    </w:lvl>
    <w:lvl w:ilvl="6" w:tplc="F16C45CA" w:tentative="1">
      <w:start w:val="1"/>
      <w:numFmt w:val="decimal"/>
      <w:lvlText w:val="%7."/>
      <w:lvlJc w:val="left"/>
      <w:pPr>
        <w:tabs>
          <w:tab w:val="num" w:pos="5737"/>
        </w:tabs>
        <w:ind w:left="5737" w:hanging="360"/>
      </w:pPr>
    </w:lvl>
    <w:lvl w:ilvl="7" w:tplc="A4DC0D6C" w:tentative="1">
      <w:start w:val="1"/>
      <w:numFmt w:val="lowerLetter"/>
      <w:lvlText w:val="%8."/>
      <w:lvlJc w:val="left"/>
      <w:pPr>
        <w:tabs>
          <w:tab w:val="num" w:pos="6457"/>
        </w:tabs>
        <w:ind w:left="6457" w:hanging="360"/>
      </w:pPr>
    </w:lvl>
    <w:lvl w:ilvl="8" w:tplc="363867F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4A2A554">
      <w:start w:val="1"/>
      <w:numFmt w:val="decimal"/>
      <w:pStyle w:val="ATSNumber1"/>
      <w:lvlText w:val="%1)"/>
      <w:lvlJc w:val="left"/>
      <w:pPr>
        <w:tabs>
          <w:tab w:val="num" w:pos="720"/>
        </w:tabs>
        <w:ind w:left="720" w:hanging="360"/>
      </w:pPr>
    </w:lvl>
    <w:lvl w:ilvl="1" w:tplc="F77C0E52" w:tentative="1">
      <w:start w:val="1"/>
      <w:numFmt w:val="lowerLetter"/>
      <w:lvlText w:val="%2."/>
      <w:lvlJc w:val="left"/>
      <w:pPr>
        <w:tabs>
          <w:tab w:val="num" w:pos="1440"/>
        </w:tabs>
        <w:ind w:left="1440" w:hanging="360"/>
      </w:pPr>
    </w:lvl>
    <w:lvl w:ilvl="2" w:tplc="C41630E6" w:tentative="1">
      <w:start w:val="1"/>
      <w:numFmt w:val="lowerRoman"/>
      <w:lvlText w:val="%3."/>
      <w:lvlJc w:val="right"/>
      <w:pPr>
        <w:tabs>
          <w:tab w:val="num" w:pos="2160"/>
        </w:tabs>
        <w:ind w:left="2160" w:hanging="180"/>
      </w:pPr>
    </w:lvl>
    <w:lvl w:ilvl="3" w:tplc="6D70BFE2" w:tentative="1">
      <w:start w:val="1"/>
      <w:numFmt w:val="decimal"/>
      <w:lvlText w:val="%4."/>
      <w:lvlJc w:val="left"/>
      <w:pPr>
        <w:tabs>
          <w:tab w:val="num" w:pos="2880"/>
        </w:tabs>
        <w:ind w:left="2880" w:hanging="360"/>
      </w:pPr>
    </w:lvl>
    <w:lvl w:ilvl="4" w:tplc="F1B09050" w:tentative="1">
      <w:start w:val="1"/>
      <w:numFmt w:val="lowerLetter"/>
      <w:lvlText w:val="%5."/>
      <w:lvlJc w:val="left"/>
      <w:pPr>
        <w:tabs>
          <w:tab w:val="num" w:pos="3600"/>
        </w:tabs>
        <w:ind w:left="3600" w:hanging="360"/>
      </w:pPr>
    </w:lvl>
    <w:lvl w:ilvl="5" w:tplc="F63C10BC" w:tentative="1">
      <w:start w:val="1"/>
      <w:numFmt w:val="lowerRoman"/>
      <w:lvlText w:val="%6."/>
      <w:lvlJc w:val="right"/>
      <w:pPr>
        <w:tabs>
          <w:tab w:val="num" w:pos="4320"/>
        </w:tabs>
        <w:ind w:left="4320" w:hanging="180"/>
      </w:pPr>
    </w:lvl>
    <w:lvl w:ilvl="6" w:tplc="5E7ADB1A" w:tentative="1">
      <w:start w:val="1"/>
      <w:numFmt w:val="decimal"/>
      <w:lvlText w:val="%7."/>
      <w:lvlJc w:val="left"/>
      <w:pPr>
        <w:tabs>
          <w:tab w:val="num" w:pos="5040"/>
        </w:tabs>
        <w:ind w:left="5040" w:hanging="360"/>
      </w:pPr>
    </w:lvl>
    <w:lvl w:ilvl="7" w:tplc="35F42368" w:tentative="1">
      <w:start w:val="1"/>
      <w:numFmt w:val="lowerLetter"/>
      <w:lvlText w:val="%8."/>
      <w:lvlJc w:val="left"/>
      <w:pPr>
        <w:tabs>
          <w:tab w:val="num" w:pos="5760"/>
        </w:tabs>
        <w:ind w:left="5760" w:hanging="360"/>
      </w:pPr>
    </w:lvl>
    <w:lvl w:ilvl="8" w:tplc="AF668DD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B94824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3383F68" w:tentative="1">
      <w:start w:val="1"/>
      <w:numFmt w:val="bullet"/>
      <w:lvlText w:val="o"/>
      <w:lvlJc w:val="left"/>
      <w:pPr>
        <w:tabs>
          <w:tab w:val="num" w:pos="2517"/>
        </w:tabs>
        <w:ind w:left="2517" w:hanging="360"/>
      </w:pPr>
      <w:rPr>
        <w:rFonts w:ascii="Courier New" w:hAnsi="Courier New" w:cs="Courier New" w:hint="default"/>
      </w:rPr>
    </w:lvl>
    <w:lvl w:ilvl="2" w:tplc="09CAFBBC" w:tentative="1">
      <w:start w:val="1"/>
      <w:numFmt w:val="bullet"/>
      <w:lvlText w:val=""/>
      <w:lvlJc w:val="left"/>
      <w:pPr>
        <w:tabs>
          <w:tab w:val="num" w:pos="3237"/>
        </w:tabs>
        <w:ind w:left="3237" w:hanging="360"/>
      </w:pPr>
      <w:rPr>
        <w:rFonts w:ascii="Wingdings" w:hAnsi="Wingdings" w:hint="default"/>
      </w:rPr>
    </w:lvl>
    <w:lvl w:ilvl="3" w:tplc="1F345ECC" w:tentative="1">
      <w:start w:val="1"/>
      <w:numFmt w:val="bullet"/>
      <w:lvlText w:val=""/>
      <w:lvlJc w:val="left"/>
      <w:pPr>
        <w:tabs>
          <w:tab w:val="num" w:pos="3957"/>
        </w:tabs>
        <w:ind w:left="3957" w:hanging="360"/>
      </w:pPr>
      <w:rPr>
        <w:rFonts w:ascii="Symbol" w:hAnsi="Symbol" w:hint="default"/>
      </w:rPr>
    </w:lvl>
    <w:lvl w:ilvl="4" w:tplc="1234AAB0" w:tentative="1">
      <w:start w:val="1"/>
      <w:numFmt w:val="bullet"/>
      <w:lvlText w:val="o"/>
      <w:lvlJc w:val="left"/>
      <w:pPr>
        <w:tabs>
          <w:tab w:val="num" w:pos="4677"/>
        </w:tabs>
        <w:ind w:left="4677" w:hanging="360"/>
      </w:pPr>
      <w:rPr>
        <w:rFonts w:ascii="Courier New" w:hAnsi="Courier New" w:cs="Courier New" w:hint="default"/>
      </w:rPr>
    </w:lvl>
    <w:lvl w:ilvl="5" w:tplc="C0B4475C" w:tentative="1">
      <w:start w:val="1"/>
      <w:numFmt w:val="bullet"/>
      <w:lvlText w:val=""/>
      <w:lvlJc w:val="left"/>
      <w:pPr>
        <w:tabs>
          <w:tab w:val="num" w:pos="5397"/>
        </w:tabs>
        <w:ind w:left="5397" w:hanging="360"/>
      </w:pPr>
      <w:rPr>
        <w:rFonts w:ascii="Wingdings" w:hAnsi="Wingdings" w:hint="default"/>
      </w:rPr>
    </w:lvl>
    <w:lvl w:ilvl="6" w:tplc="E584B440" w:tentative="1">
      <w:start w:val="1"/>
      <w:numFmt w:val="bullet"/>
      <w:lvlText w:val=""/>
      <w:lvlJc w:val="left"/>
      <w:pPr>
        <w:tabs>
          <w:tab w:val="num" w:pos="6117"/>
        </w:tabs>
        <w:ind w:left="6117" w:hanging="360"/>
      </w:pPr>
      <w:rPr>
        <w:rFonts w:ascii="Symbol" w:hAnsi="Symbol" w:hint="default"/>
      </w:rPr>
    </w:lvl>
    <w:lvl w:ilvl="7" w:tplc="7884F754" w:tentative="1">
      <w:start w:val="1"/>
      <w:numFmt w:val="bullet"/>
      <w:lvlText w:val="o"/>
      <w:lvlJc w:val="left"/>
      <w:pPr>
        <w:tabs>
          <w:tab w:val="num" w:pos="6837"/>
        </w:tabs>
        <w:ind w:left="6837" w:hanging="360"/>
      </w:pPr>
      <w:rPr>
        <w:rFonts w:ascii="Courier New" w:hAnsi="Courier New" w:cs="Courier New" w:hint="default"/>
      </w:rPr>
    </w:lvl>
    <w:lvl w:ilvl="8" w:tplc="0114B01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FF82150">
      <w:start w:val="1"/>
      <w:numFmt w:val="decimal"/>
      <w:pStyle w:val="ATSNumber2"/>
      <w:lvlText w:val="%1."/>
      <w:lvlJc w:val="left"/>
      <w:pPr>
        <w:tabs>
          <w:tab w:val="num" w:pos="720"/>
        </w:tabs>
        <w:ind w:left="720" w:hanging="360"/>
      </w:pPr>
      <w:rPr>
        <w:rFonts w:hint="default"/>
      </w:rPr>
    </w:lvl>
    <w:lvl w:ilvl="1" w:tplc="638C5D22" w:tentative="1">
      <w:start w:val="1"/>
      <w:numFmt w:val="lowerLetter"/>
      <w:lvlText w:val="%2."/>
      <w:lvlJc w:val="left"/>
      <w:pPr>
        <w:tabs>
          <w:tab w:val="num" w:pos="1440"/>
        </w:tabs>
        <w:ind w:left="1440" w:hanging="360"/>
      </w:pPr>
    </w:lvl>
    <w:lvl w:ilvl="2" w:tplc="7AD6CA04" w:tentative="1">
      <w:start w:val="1"/>
      <w:numFmt w:val="lowerRoman"/>
      <w:lvlText w:val="%3."/>
      <w:lvlJc w:val="right"/>
      <w:pPr>
        <w:tabs>
          <w:tab w:val="num" w:pos="2160"/>
        </w:tabs>
        <w:ind w:left="2160" w:hanging="180"/>
      </w:pPr>
    </w:lvl>
    <w:lvl w:ilvl="3" w:tplc="AF9216C4" w:tentative="1">
      <w:start w:val="1"/>
      <w:numFmt w:val="decimal"/>
      <w:lvlText w:val="%4."/>
      <w:lvlJc w:val="left"/>
      <w:pPr>
        <w:tabs>
          <w:tab w:val="num" w:pos="2880"/>
        </w:tabs>
        <w:ind w:left="2880" w:hanging="360"/>
      </w:pPr>
    </w:lvl>
    <w:lvl w:ilvl="4" w:tplc="9C1C64E4" w:tentative="1">
      <w:start w:val="1"/>
      <w:numFmt w:val="lowerLetter"/>
      <w:lvlText w:val="%5."/>
      <w:lvlJc w:val="left"/>
      <w:pPr>
        <w:tabs>
          <w:tab w:val="num" w:pos="3600"/>
        </w:tabs>
        <w:ind w:left="3600" w:hanging="360"/>
      </w:pPr>
    </w:lvl>
    <w:lvl w:ilvl="5" w:tplc="E326DDAA" w:tentative="1">
      <w:start w:val="1"/>
      <w:numFmt w:val="lowerRoman"/>
      <w:lvlText w:val="%6."/>
      <w:lvlJc w:val="right"/>
      <w:pPr>
        <w:tabs>
          <w:tab w:val="num" w:pos="4320"/>
        </w:tabs>
        <w:ind w:left="4320" w:hanging="180"/>
      </w:pPr>
    </w:lvl>
    <w:lvl w:ilvl="6" w:tplc="6DB2CF0A" w:tentative="1">
      <w:start w:val="1"/>
      <w:numFmt w:val="decimal"/>
      <w:lvlText w:val="%7."/>
      <w:lvlJc w:val="left"/>
      <w:pPr>
        <w:tabs>
          <w:tab w:val="num" w:pos="5040"/>
        </w:tabs>
        <w:ind w:left="5040" w:hanging="360"/>
      </w:pPr>
    </w:lvl>
    <w:lvl w:ilvl="7" w:tplc="33E8AAA2" w:tentative="1">
      <w:start w:val="1"/>
      <w:numFmt w:val="lowerLetter"/>
      <w:lvlText w:val="%8."/>
      <w:lvlJc w:val="left"/>
      <w:pPr>
        <w:tabs>
          <w:tab w:val="num" w:pos="5760"/>
        </w:tabs>
        <w:ind w:left="5760" w:hanging="360"/>
      </w:pPr>
    </w:lvl>
    <w:lvl w:ilvl="8" w:tplc="7B04B89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55"/>
    <w:rsid w:val="003E1B55"/>
    <w:rsid w:val="007646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4AFFC"/>
  <w15:chartTrackingRefBased/>
  <w15:docId w15:val="{5952BB14-D30C-4CC8-A622-EB590898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816</Words>
  <Characters>4850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2021-04-28T18:33:00Z</dcterms:modified>
</cp:coreProperties>
</file>