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0B20" w14:textId="77777777" w:rsidR="00C26F2D" w:rsidRPr="00BF077B" w:rsidRDefault="009B2C9A" w:rsidP="00BF077B">
      <w:pPr>
        <w:pStyle w:val="ATSNormal"/>
        <w:rPr>
          <w:rStyle w:val="Ttulodellibro"/>
        </w:rPr>
      </w:pPr>
    </w:p>
    <w:p w14:paraId="6D5AB3AC" w14:textId="77777777" w:rsidR="002F0A13" w:rsidRDefault="009B2C9A" w:rsidP="004B4A60">
      <w:pPr>
        <w:rPr>
          <w:b/>
          <w:u w:val="single"/>
          <w:lang w:val="es-ES_tradnl"/>
        </w:rPr>
      </w:pPr>
    </w:p>
    <w:p w14:paraId="4BABC0A6" w14:textId="77777777" w:rsidR="002F0A13" w:rsidRDefault="009B2C9A" w:rsidP="004B4A60">
      <w:pPr>
        <w:rPr>
          <w:b/>
          <w:u w:val="single"/>
          <w:lang w:val="es-ES_tradnl"/>
        </w:rPr>
      </w:pPr>
    </w:p>
    <w:p w14:paraId="170A8131" w14:textId="77777777" w:rsidR="002F0A13" w:rsidRDefault="009B2C9A" w:rsidP="004B4A60">
      <w:pPr>
        <w:rPr>
          <w:b/>
          <w:u w:val="single"/>
          <w:lang w:val="es-ES_tradnl"/>
        </w:rPr>
      </w:pPr>
    </w:p>
    <w:p w14:paraId="090AE2F6" w14:textId="77777777" w:rsidR="002F0A13" w:rsidRDefault="009B2C9A" w:rsidP="004B4A60">
      <w:pPr>
        <w:rPr>
          <w:b/>
          <w:u w:val="single"/>
          <w:lang w:val="es-ES_tradnl"/>
        </w:rPr>
      </w:pPr>
    </w:p>
    <w:p w14:paraId="01B1A6A7" w14:textId="77777777" w:rsidR="00C26F2D" w:rsidRDefault="009B2C9A" w:rsidP="004B4A60">
      <w:pPr>
        <w:rPr>
          <w:b/>
          <w:u w:val="single"/>
          <w:lang w:val="es-ES_tradnl"/>
        </w:rPr>
      </w:pPr>
    </w:p>
    <w:p w14:paraId="1752F963" w14:textId="77777777" w:rsidR="004B4A60" w:rsidRPr="0057246E" w:rsidRDefault="009B2C9A" w:rsidP="001B789F">
      <w:pPr>
        <w:pStyle w:val="ATSTitle"/>
      </w:pPr>
      <w:bookmarkStart w:id="0" w:name="name"/>
      <w:r>
        <w:t>A custom Green Star Antarctic Tool: A sustainable design standard</w:t>
      </w:r>
      <w:bookmarkEnd w:id="0"/>
    </w:p>
    <w:p w14:paraId="6535FE97" w14:textId="77777777" w:rsidR="004B4A60" w:rsidRPr="0057246E" w:rsidRDefault="009B2C9A" w:rsidP="00F75424">
      <w:pPr>
        <w:jc w:val="center"/>
      </w:pPr>
    </w:p>
    <w:p w14:paraId="6374DD77" w14:textId="77777777" w:rsidR="004B4A60" w:rsidRPr="002F0A13" w:rsidRDefault="009B2C9A" w:rsidP="002F0A13"/>
    <w:p w14:paraId="15610CAD" w14:textId="77777777" w:rsidR="004B4A60" w:rsidRDefault="009B2C9A" w:rsidP="00F75424">
      <w:pPr>
        <w:jc w:val="center"/>
      </w:pPr>
      <w:bookmarkStart w:id="1" w:name="memo"/>
      <w:bookmarkEnd w:id="1"/>
    </w:p>
    <w:p w14:paraId="473018A5" w14:textId="77777777" w:rsidR="0097629D" w:rsidRDefault="009B2C9A" w:rsidP="00F75424">
      <w:pPr>
        <w:jc w:val="center"/>
      </w:pPr>
    </w:p>
    <w:p w14:paraId="1B2E5CF1" w14:textId="77777777" w:rsidR="0097629D" w:rsidRDefault="009B2C9A" w:rsidP="00F75424">
      <w:pPr>
        <w:jc w:val="center"/>
      </w:pPr>
    </w:p>
    <w:p w14:paraId="5CB04BB6" w14:textId="77777777" w:rsidR="0097629D" w:rsidRDefault="009B2C9A" w:rsidP="00F75424">
      <w:pPr>
        <w:jc w:val="center"/>
      </w:pPr>
    </w:p>
    <w:p w14:paraId="72556DDD" w14:textId="77777777" w:rsidR="0097629D" w:rsidRPr="00C26F2D" w:rsidRDefault="009B2C9A" w:rsidP="00F75424">
      <w:pPr>
        <w:jc w:val="center"/>
      </w:pPr>
    </w:p>
    <w:p w14:paraId="5264B4F0" w14:textId="77777777" w:rsidR="004B4A60" w:rsidRPr="0057246E" w:rsidRDefault="009B2C9A" w:rsidP="004B4A60"/>
    <w:p w14:paraId="7C7E4C8D" w14:textId="77777777" w:rsidR="00C26F2D" w:rsidRDefault="009B2C9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44BB69C" w14:textId="06D16FFA" w:rsidR="004B4A60" w:rsidRDefault="009B2C9A" w:rsidP="00952E9F"/>
    <w:p w14:paraId="425F1940" w14:textId="77777777" w:rsidR="009B2C9A" w:rsidRDefault="009B2C9A" w:rsidP="009B2C9A">
      <w:pPr>
        <w:pStyle w:val="ATSHeading1"/>
      </w:pPr>
      <w:r>
        <w:t>A custom Antarctic Green Star Tool: A sustainable design standard</w:t>
      </w:r>
    </w:p>
    <w:p w14:paraId="5558942D" w14:textId="77777777" w:rsidR="009B2C9A" w:rsidRDefault="009B2C9A" w:rsidP="009B2C9A">
      <w:pPr>
        <w:pStyle w:val="ATSNormal"/>
        <w:jc w:val="center"/>
        <w:rPr>
          <w:b/>
          <w:lang w:val="en-AU"/>
        </w:rPr>
      </w:pPr>
      <w:r>
        <w:rPr>
          <w:b/>
          <w:lang w:val="en-AU"/>
        </w:rPr>
        <w:t xml:space="preserve">Information Paper submitted by New </w:t>
      </w:r>
      <w:proofErr w:type="gramStart"/>
      <w:r>
        <w:rPr>
          <w:b/>
          <w:lang w:val="en-AU"/>
        </w:rPr>
        <w:t>Zealand</w:t>
      </w:r>
      <w:proofErr w:type="gramEnd"/>
    </w:p>
    <w:p w14:paraId="423959B7" w14:textId="77777777" w:rsidR="009B2C9A" w:rsidRPr="00B46A13" w:rsidRDefault="009B2C9A" w:rsidP="009B2C9A">
      <w:pPr>
        <w:pStyle w:val="ATSHeading2"/>
        <w:rPr>
          <w:lang w:val="en-AU"/>
        </w:rPr>
      </w:pPr>
      <w:r w:rsidRPr="00B46A13">
        <w:rPr>
          <w:lang w:val="en-AU"/>
        </w:rPr>
        <w:t>Summary</w:t>
      </w:r>
    </w:p>
    <w:p w14:paraId="2D339361" w14:textId="77777777" w:rsidR="009B2C9A" w:rsidRDefault="009B2C9A" w:rsidP="009B2C9A">
      <w:pPr>
        <w:pStyle w:val="ATSNormal"/>
      </w:pPr>
      <w:r>
        <w:t>The Green Star Antarctic Tool is a custom Antarctic sustainable design standard developed in collaboration with the New Zealand and Australian Green Building Councils as part of the proposed Scott Base Redevelopment project (</w:t>
      </w:r>
      <w:r w:rsidRPr="007374B1">
        <w:rPr>
          <w:highlight w:val="yellow"/>
        </w:rPr>
        <w:t>WP XX</w:t>
      </w:r>
      <w:r>
        <w:rPr>
          <w:highlight w:val="yellow"/>
        </w:rPr>
        <w:t>1</w:t>
      </w:r>
      <w:r>
        <w:t>). Parties could consider using the Tool to minimise carbon emissions when undertaking modernisation or infrastructure projects in Antarctica (</w:t>
      </w:r>
      <w:r w:rsidRPr="007374B1">
        <w:rPr>
          <w:highlight w:val="yellow"/>
        </w:rPr>
        <w:t>WP XX</w:t>
      </w:r>
      <w:r>
        <w:rPr>
          <w:highlight w:val="yellow"/>
        </w:rPr>
        <w:t>2</w:t>
      </w:r>
      <w:r>
        <w:t xml:space="preserve">). </w:t>
      </w:r>
    </w:p>
    <w:p w14:paraId="2EA9B82C" w14:textId="77777777" w:rsidR="009B2C9A" w:rsidRPr="00B46A13" w:rsidRDefault="009B2C9A" w:rsidP="009B2C9A">
      <w:pPr>
        <w:pStyle w:val="ATSHeading2"/>
        <w:rPr>
          <w:lang w:val="en-AU"/>
        </w:rPr>
      </w:pPr>
      <w:r w:rsidRPr="00B46A13">
        <w:rPr>
          <w:lang w:val="en-AU"/>
        </w:rPr>
        <w:t>Trends in Sustainable Design Standards</w:t>
      </w:r>
    </w:p>
    <w:p w14:paraId="400B31D9" w14:textId="77777777" w:rsidR="009B2C9A" w:rsidRDefault="009B2C9A" w:rsidP="009B2C9A">
      <w:pPr>
        <w:pStyle w:val="ATSNormal"/>
      </w:pPr>
      <w:r>
        <w:t>The goal of the sustainable building movement led by the World Green Building Council (WGBC) is to facilitate the sustainable transformation of the built environment by addressing both the ambitions of the Paris Agreement and the United Nations’ Sustainable Development Goals. This goal is divided into three impact areas; (</w:t>
      </w:r>
      <w:proofErr w:type="spellStart"/>
      <w:r>
        <w:t>i</w:t>
      </w:r>
      <w:proofErr w:type="spellEnd"/>
      <w:r>
        <w:t>) to decarbonise the built environment, (ii) to deliver healthy, equitable and resilient buildings, and (iii) to support regeneration of resources and natural systems.</w:t>
      </w:r>
    </w:p>
    <w:p w14:paraId="08841EB6" w14:textId="77777777" w:rsidR="009B2C9A" w:rsidRDefault="009B2C9A" w:rsidP="009B2C9A">
      <w:pPr>
        <w:pStyle w:val="ATSNormal"/>
      </w:pPr>
      <w:r>
        <w:t>Tools for addressing these impact areas include research, advocacy, education, and sustainable design standards. Two well-known standards administered under the WGBC umbrella are Leadership in Energy and Environmental Design (LEED) via the United States Green Building Council, and Green Star via the New Zealand and Australian Green Building Councils (NZGBC and GBCA).</w:t>
      </w:r>
    </w:p>
    <w:p w14:paraId="4F9AED87" w14:textId="77777777" w:rsidR="009B2C9A" w:rsidRDefault="009B2C9A" w:rsidP="009B2C9A">
      <w:pPr>
        <w:pStyle w:val="ATSNormal"/>
      </w:pPr>
      <w:r>
        <w:t>The WGBC, who administers 69 member countries Green Building Councils (GBCs), has provided trends in ‘Green Building’ in the 2020 annual report (WGBC, 2020). Between 2010 and 2020, the number of GBCs worldwide has increased from 41 to 69, the number of organisations registered with GBCs has increased from 21,000 to 36,000, and the amount of building floor area certified by a GBC (under a sustainable design standard) has increased from 300 million square meters to 3.5 billion square meters.</w:t>
      </w:r>
    </w:p>
    <w:p w14:paraId="059743D7" w14:textId="77777777" w:rsidR="009B2C9A" w:rsidRDefault="009B2C9A" w:rsidP="009B2C9A">
      <w:pPr>
        <w:pStyle w:val="ATSHeading2"/>
        <w:rPr>
          <w:lang w:val="en-AU"/>
        </w:rPr>
      </w:pPr>
      <w:r w:rsidRPr="00B46A13">
        <w:rPr>
          <w:lang w:val="en-AU"/>
        </w:rPr>
        <w:t>New Zealand Green Building Council’s Green Star</w:t>
      </w:r>
    </w:p>
    <w:p w14:paraId="171242E2" w14:textId="77777777" w:rsidR="009B2C9A" w:rsidRPr="00B46A13" w:rsidRDefault="009B2C9A" w:rsidP="009B2C9A">
      <w:pPr>
        <w:pStyle w:val="ATSNormal"/>
        <w:rPr>
          <w:lang w:val="en-AU"/>
        </w:rPr>
      </w:pPr>
      <w:r w:rsidRPr="00B46A13">
        <w:rPr>
          <w:lang w:val="en-AU"/>
        </w:rPr>
        <w:t>Established in 2006 as a not-for-profit organisation, the NZGBC administers New Zealand’s only sustainable design standard, Green Star (NZGBC, 2021). Green Star’s mission reflects that of the WGBC</w:t>
      </w:r>
      <w:r>
        <w:rPr>
          <w:lang w:val="en-AU"/>
        </w:rPr>
        <w:t>,</w:t>
      </w:r>
      <w:r w:rsidRPr="00B46A13">
        <w:rPr>
          <w:lang w:val="en-AU"/>
        </w:rPr>
        <w:t xml:space="preserve"> </w:t>
      </w:r>
      <w:r>
        <w:rPr>
          <w:lang w:val="en-AU"/>
        </w:rPr>
        <w:t>“</w:t>
      </w:r>
      <w:r w:rsidRPr="00B46A13">
        <w:rPr>
          <w:lang w:val="en-AU"/>
        </w:rPr>
        <w:t>Lead the sustainable transformation of the built environment</w:t>
      </w:r>
      <w:r>
        <w:rPr>
          <w:lang w:val="en-AU"/>
        </w:rPr>
        <w:t>”</w:t>
      </w:r>
      <w:r w:rsidRPr="00B46A13">
        <w:rPr>
          <w:lang w:val="en-AU"/>
        </w:rPr>
        <w:t>.</w:t>
      </w:r>
    </w:p>
    <w:p w14:paraId="329C9F49" w14:textId="77777777" w:rsidR="009B2C9A" w:rsidRPr="00B46A13" w:rsidRDefault="009B2C9A" w:rsidP="009B2C9A">
      <w:pPr>
        <w:pStyle w:val="ATSNormal"/>
        <w:rPr>
          <w:lang w:val="en-AU"/>
        </w:rPr>
      </w:pPr>
      <w:r w:rsidRPr="00B46A13">
        <w:rPr>
          <w:lang w:val="en-AU"/>
        </w:rPr>
        <w:t>Green Star aims to achieve this mission by encouraging practices that:</w:t>
      </w:r>
    </w:p>
    <w:p w14:paraId="3D977C6D" w14:textId="77777777" w:rsidR="009B2C9A" w:rsidRPr="00B46A13" w:rsidRDefault="009B2C9A" w:rsidP="009B2C9A">
      <w:pPr>
        <w:pStyle w:val="ATSBullet1"/>
        <w:numPr>
          <w:ilvl w:val="0"/>
          <w:numId w:val="11"/>
        </w:numPr>
        <w:rPr>
          <w:lang w:val="en-AU"/>
        </w:rPr>
      </w:pPr>
      <w:r w:rsidRPr="00B46A13">
        <w:rPr>
          <w:lang w:val="en-AU"/>
        </w:rPr>
        <w:t xml:space="preserve">Reduce the impact of climate </w:t>
      </w:r>
      <w:proofErr w:type="gramStart"/>
      <w:r w:rsidRPr="00B46A13">
        <w:rPr>
          <w:lang w:val="en-AU"/>
        </w:rPr>
        <w:t>change;</w:t>
      </w:r>
      <w:proofErr w:type="gramEnd"/>
    </w:p>
    <w:p w14:paraId="778D3151" w14:textId="77777777" w:rsidR="009B2C9A" w:rsidRPr="00B46A13" w:rsidRDefault="009B2C9A" w:rsidP="009B2C9A">
      <w:pPr>
        <w:pStyle w:val="ATSBullet1"/>
        <w:numPr>
          <w:ilvl w:val="0"/>
          <w:numId w:val="11"/>
        </w:numPr>
        <w:rPr>
          <w:lang w:val="en-AU"/>
        </w:rPr>
      </w:pPr>
      <w:r w:rsidRPr="00B46A13">
        <w:rPr>
          <w:lang w:val="en-AU"/>
        </w:rPr>
        <w:t xml:space="preserve">Enhance the health and quality of life of inhabitants and the sustainability of the built </w:t>
      </w:r>
      <w:proofErr w:type="gramStart"/>
      <w:r w:rsidRPr="00B46A13">
        <w:rPr>
          <w:lang w:val="en-AU"/>
        </w:rPr>
        <w:t>environment;</w:t>
      </w:r>
      <w:proofErr w:type="gramEnd"/>
    </w:p>
    <w:p w14:paraId="7EA9FAD1" w14:textId="77777777" w:rsidR="009B2C9A" w:rsidRPr="00B46A13" w:rsidRDefault="009B2C9A" w:rsidP="009B2C9A">
      <w:pPr>
        <w:pStyle w:val="ATSBullet1"/>
        <w:numPr>
          <w:ilvl w:val="0"/>
          <w:numId w:val="11"/>
        </w:numPr>
        <w:rPr>
          <w:lang w:val="en-AU"/>
        </w:rPr>
      </w:pPr>
      <w:r w:rsidRPr="00B46A13">
        <w:rPr>
          <w:lang w:val="en-AU"/>
        </w:rPr>
        <w:t xml:space="preserve">Restore and protect the planet’s biodiversity and </w:t>
      </w:r>
      <w:proofErr w:type="gramStart"/>
      <w:r w:rsidRPr="00B46A13">
        <w:rPr>
          <w:lang w:val="en-AU"/>
        </w:rPr>
        <w:t>ecosystems;</w:t>
      </w:r>
      <w:proofErr w:type="gramEnd"/>
    </w:p>
    <w:p w14:paraId="5A0810A5" w14:textId="77777777" w:rsidR="009B2C9A" w:rsidRPr="00B46A13" w:rsidRDefault="009B2C9A" w:rsidP="009B2C9A">
      <w:pPr>
        <w:pStyle w:val="ATSBullet1"/>
        <w:numPr>
          <w:ilvl w:val="0"/>
          <w:numId w:val="11"/>
        </w:numPr>
        <w:rPr>
          <w:lang w:val="en-AU"/>
        </w:rPr>
      </w:pPr>
      <w:r w:rsidRPr="00B46A13">
        <w:rPr>
          <w:lang w:val="en-AU"/>
        </w:rPr>
        <w:t>Ensure ongoing optimum operations performance of buildings; and</w:t>
      </w:r>
    </w:p>
    <w:p w14:paraId="0273795D" w14:textId="77777777" w:rsidR="009B2C9A" w:rsidRPr="00B46A13" w:rsidRDefault="009B2C9A" w:rsidP="009B2C9A">
      <w:pPr>
        <w:pStyle w:val="ATSBullet1"/>
        <w:numPr>
          <w:ilvl w:val="0"/>
          <w:numId w:val="11"/>
        </w:numPr>
        <w:rPr>
          <w:lang w:val="en-AU"/>
        </w:rPr>
      </w:pPr>
      <w:r w:rsidRPr="00B46A13">
        <w:rPr>
          <w:lang w:val="en-AU"/>
        </w:rPr>
        <w:t>Contribute to market transformation and a sustainable economy.</w:t>
      </w:r>
    </w:p>
    <w:p w14:paraId="23039C16" w14:textId="77777777" w:rsidR="009B2C9A" w:rsidRPr="00B46A13" w:rsidRDefault="009B2C9A" w:rsidP="009B2C9A">
      <w:pPr>
        <w:pStyle w:val="ATSNormal"/>
        <w:rPr>
          <w:lang w:val="en-AU"/>
        </w:rPr>
      </w:pPr>
      <w:r w:rsidRPr="00B46A13">
        <w:rPr>
          <w:lang w:val="en-AU"/>
        </w:rPr>
        <w:t>The NZGBC developed four sustainability design standards relevant to distinct areas of the built environment:</w:t>
      </w:r>
    </w:p>
    <w:p w14:paraId="5C87AD6B" w14:textId="77777777" w:rsidR="009B2C9A" w:rsidRPr="00B46A13" w:rsidRDefault="009B2C9A" w:rsidP="009B2C9A">
      <w:pPr>
        <w:pStyle w:val="ATSBullet1"/>
        <w:numPr>
          <w:ilvl w:val="0"/>
          <w:numId w:val="11"/>
        </w:numPr>
        <w:rPr>
          <w:lang w:val="en-AU"/>
        </w:rPr>
      </w:pPr>
      <w:r w:rsidRPr="00B46A13">
        <w:rPr>
          <w:lang w:val="en-AU"/>
        </w:rPr>
        <w:t xml:space="preserve">Design and As Built – for commercial </w:t>
      </w:r>
      <w:proofErr w:type="gramStart"/>
      <w:r w:rsidRPr="00B46A13">
        <w:rPr>
          <w:lang w:val="en-AU"/>
        </w:rPr>
        <w:t>builds</w:t>
      </w:r>
      <w:r>
        <w:rPr>
          <w:lang w:val="en-AU"/>
        </w:rPr>
        <w:t>;</w:t>
      </w:r>
      <w:proofErr w:type="gramEnd"/>
    </w:p>
    <w:p w14:paraId="5C14BFE8" w14:textId="77777777" w:rsidR="009B2C9A" w:rsidRPr="00B46A13" w:rsidRDefault="009B2C9A" w:rsidP="009B2C9A">
      <w:pPr>
        <w:pStyle w:val="ATSBullet1"/>
        <w:numPr>
          <w:ilvl w:val="0"/>
          <w:numId w:val="11"/>
        </w:numPr>
        <w:rPr>
          <w:lang w:val="en-AU"/>
        </w:rPr>
      </w:pPr>
      <w:r w:rsidRPr="00B46A13">
        <w:rPr>
          <w:lang w:val="en-AU"/>
        </w:rPr>
        <w:t xml:space="preserve">Interiors – for retrofitted existing </w:t>
      </w:r>
      <w:proofErr w:type="gramStart"/>
      <w:r w:rsidRPr="00B46A13">
        <w:rPr>
          <w:lang w:val="en-AU"/>
        </w:rPr>
        <w:t>buildings</w:t>
      </w:r>
      <w:r>
        <w:rPr>
          <w:lang w:val="en-AU"/>
        </w:rPr>
        <w:t>;</w:t>
      </w:r>
      <w:proofErr w:type="gramEnd"/>
    </w:p>
    <w:p w14:paraId="2312FF8D" w14:textId="77777777" w:rsidR="009B2C9A" w:rsidRPr="00B46A13" w:rsidRDefault="009B2C9A" w:rsidP="009B2C9A">
      <w:pPr>
        <w:pStyle w:val="ATSBullet1"/>
        <w:numPr>
          <w:ilvl w:val="0"/>
          <w:numId w:val="11"/>
        </w:numPr>
        <w:rPr>
          <w:lang w:val="en-AU"/>
        </w:rPr>
      </w:pPr>
      <w:r w:rsidRPr="00B46A13">
        <w:rPr>
          <w:lang w:val="en-AU"/>
        </w:rPr>
        <w:t>Performance – for operation of buildings, can apply for any building</w:t>
      </w:r>
      <w:r>
        <w:rPr>
          <w:lang w:val="en-AU"/>
        </w:rPr>
        <w:t>; and</w:t>
      </w:r>
    </w:p>
    <w:p w14:paraId="2AE276A7" w14:textId="77777777" w:rsidR="009B2C9A" w:rsidRPr="00B46A13" w:rsidRDefault="009B2C9A" w:rsidP="009B2C9A">
      <w:pPr>
        <w:pStyle w:val="ATSBullet1"/>
        <w:numPr>
          <w:ilvl w:val="0"/>
          <w:numId w:val="11"/>
        </w:numPr>
        <w:rPr>
          <w:lang w:val="en-AU"/>
        </w:rPr>
      </w:pPr>
      <w:r w:rsidRPr="00B46A13">
        <w:rPr>
          <w:lang w:val="en-AU"/>
        </w:rPr>
        <w:t>Communities – for large scale developments</w:t>
      </w:r>
      <w:r>
        <w:rPr>
          <w:lang w:val="en-AU"/>
        </w:rPr>
        <w:t>.</w:t>
      </w:r>
    </w:p>
    <w:p w14:paraId="4CEEA182" w14:textId="77777777" w:rsidR="009B2C9A" w:rsidRDefault="009B2C9A" w:rsidP="009B2C9A">
      <w:pPr>
        <w:pStyle w:val="ATSNormal"/>
        <w:rPr>
          <w:lang w:val="en-AU"/>
        </w:rPr>
      </w:pPr>
      <w:r w:rsidRPr="00B46A13">
        <w:rPr>
          <w:lang w:val="en-AU"/>
        </w:rPr>
        <w:lastRenderedPageBreak/>
        <w:t xml:space="preserve">The “Green Star – Design and As Built” tool is focussed </w:t>
      </w:r>
      <w:proofErr w:type="gramStart"/>
      <w:r w:rsidRPr="00B46A13">
        <w:rPr>
          <w:lang w:val="en-AU"/>
        </w:rPr>
        <w:t>around</w:t>
      </w:r>
      <w:proofErr w:type="gramEnd"/>
      <w:r w:rsidRPr="00B46A13">
        <w:rPr>
          <w:lang w:val="en-AU"/>
        </w:rPr>
        <w:t xml:space="preserve"> new commercial buildings, and is the tool that the </w:t>
      </w:r>
      <w:r>
        <w:rPr>
          <w:lang w:val="en-AU"/>
        </w:rPr>
        <w:t xml:space="preserve">“Green Star </w:t>
      </w:r>
      <w:r w:rsidRPr="00B46A13">
        <w:rPr>
          <w:lang w:val="en-AU"/>
        </w:rPr>
        <w:t xml:space="preserve">Antarctic </w:t>
      </w:r>
      <w:r>
        <w:rPr>
          <w:lang w:val="en-AU"/>
        </w:rPr>
        <w:t xml:space="preserve">Tool” </w:t>
      </w:r>
      <w:r w:rsidRPr="00B46A13">
        <w:rPr>
          <w:lang w:val="en-AU"/>
        </w:rPr>
        <w:t xml:space="preserve">sustainable design standard was based. </w:t>
      </w:r>
    </w:p>
    <w:p w14:paraId="79B6E4F2" w14:textId="77777777" w:rsidR="009B2C9A" w:rsidRDefault="009B2C9A" w:rsidP="009B2C9A">
      <w:pPr>
        <w:pStyle w:val="ATSHeading2"/>
        <w:rPr>
          <w:lang w:val="en-AU"/>
        </w:rPr>
      </w:pPr>
      <w:r w:rsidRPr="00B46A13">
        <w:rPr>
          <w:lang w:val="en-AU"/>
        </w:rPr>
        <w:t xml:space="preserve">Scope of the Green Star </w:t>
      </w:r>
      <w:r>
        <w:rPr>
          <w:lang w:val="en-AU"/>
        </w:rPr>
        <w:t xml:space="preserve">Antarctic </w:t>
      </w:r>
      <w:r w:rsidRPr="00B46A13">
        <w:rPr>
          <w:lang w:val="en-AU"/>
        </w:rPr>
        <w:t>Tool</w:t>
      </w:r>
    </w:p>
    <w:p w14:paraId="787A0741" w14:textId="77777777" w:rsidR="009B2C9A" w:rsidRPr="00B46A13" w:rsidRDefault="009B2C9A" w:rsidP="009B2C9A">
      <w:pPr>
        <w:pStyle w:val="ATSNormal"/>
      </w:pPr>
      <w:r w:rsidRPr="00B46A13">
        <w:t xml:space="preserve">Sustainable design standards are designed for </w:t>
      </w:r>
      <w:proofErr w:type="gramStart"/>
      <w:r w:rsidRPr="00B46A13">
        <w:t>the majority of</w:t>
      </w:r>
      <w:proofErr w:type="gramEnd"/>
      <w:r w:rsidRPr="00B46A13">
        <w:t xml:space="preserve"> new buildings based in towns and cities. These standards are linked to the function of the building within the city context. As a means of independently verifying sustainability goals and outcomes, Antarctica New Zealand (New Zealand’s Antarctic Program) worked with the NZGBC and GBCA in 2018 to identify a tool for application in the Scott Base Redevelopment project. Given the isolated location, extreme climate, and the mixed-use functionality of the </w:t>
      </w:r>
      <w:r>
        <w:t>building</w:t>
      </w:r>
      <w:r w:rsidRPr="00B46A13">
        <w:t xml:space="preserve">, it was </w:t>
      </w:r>
      <w:r>
        <w:t>identified</w:t>
      </w:r>
      <w:r w:rsidRPr="00B46A13">
        <w:t xml:space="preserve"> that a custom </w:t>
      </w:r>
      <w:r>
        <w:t>Green Star Antarctic T</w:t>
      </w:r>
      <w:r w:rsidRPr="00B46A13">
        <w:t xml:space="preserve">ool </w:t>
      </w:r>
      <w:r>
        <w:t xml:space="preserve">needed to </w:t>
      </w:r>
      <w:r w:rsidRPr="00B46A13">
        <w:t xml:space="preserve">be created. </w:t>
      </w:r>
    </w:p>
    <w:p w14:paraId="7C7545D1" w14:textId="77777777" w:rsidR="009B2C9A" w:rsidRPr="00B46A13" w:rsidRDefault="009B2C9A" w:rsidP="009B2C9A">
      <w:pPr>
        <w:pStyle w:val="ATSNormal"/>
      </w:pPr>
      <w:r w:rsidRPr="00B46A13">
        <w:t xml:space="preserve">The </w:t>
      </w:r>
      <w:r>
        <w:t>T</w:t>
      </w:r>
      <w:r w:rsidRPr="00B46A13">
        <w:t xml:space="preserve">ool was developed to be used as a sustainable design standard for the Scott Base Redevelopment, and for application by any building development project in Antarctica. Some of the key changes for the </w:t>
      </w:r>
      <w:r>
        <w:t xml:space="preserve">custom </w:t>
      </w:r>
      <w:r w:rsidRPr="00B46A13">
        <w:t>Green Star Antarctic Tool include:</w:t>
      </w:r>
    </w:p>
    <w:p w14:paraId="3A0450D9" w14:textId="77777777" w:rsidR="009B2C9A" w:rsidRPr="00B46A13" w:rsidRDefault="009B2C9A" w:rsidP="009B2C9A">
      <w:pPr>
        <w:pStyle w:val="ATSNormal"/>
        <w:numPr>
          <w:ilvl w:val="0"/>
          <w:numId w:val="21"/>
        </w:numPr>
      </w:pPr>
      <w:r w:rsidRPr="00B46A13">
        <w:t xml:space="preserve">A shift in the focus from environmental restoration to environmental </w:t>
      </w:r>
      <w:proofErr w:type="gramStart"/>
      <w:r w:rsidRPr="00B46A13">
        <w:t>protection, and</w:t>
      </w:r>
      <w:proofErr w:type="gramEnd"/>
      <w:r w:rsidRPr="00B46A13">
        <w:t xml:space="preserve"> aligning the scope to the provisions outlined in the Protocol on Environmental Protection to the Antarctic Treaty. </w:t>
      </w:r>
    </w:p>
    <w:p w14:paraId="529E5A4A" w14:textId="77777777" w:rsidR="009B2C9A" w:rsidRDefault="009B2C9A" w:rsidP="009B2C9A">
      <w:pPr>
        <w:pStyle w:val="ATSNormal"/>
        <w:numPr>
          <w:ilvl w:val="0"/>
          <w:numId w:val="21"/>
        </w:numPr>
      </w:pPr>
      <w:r w:rsidRPr="00B46A13">
        <w:t>The Antarctic context require strong policies relating to operations, biosecurity, waste, procurement</w:t>
      </w:r>
      <w:r>
        <w:t>,</w:t>
      </w:r>
      <w:r w:rsidRPr="00B46A13">
        <w:t xml:space="preserve"> emergency preparedness</w:t>
      </w:r>
      <w:r>
        <w:t>,</w:t>
      </w:r>
      <w:r w:rsidRPr="00B46A13">
        <w:t xml:space="preserve"> and health and wellbeing so an enhanced focus was placed on operational policy and plan development</w:t>
      </w:r>
      <w:r>
        <w:t>.</w:t>
      </w:r>
    </w:p>
    <w:p w14:paraId="1FFAB156" w14:textId="77777777" w:rsidR="009B2C9A" w:rsidRPr="00B46A13" w:rsidRDefault="009B2C9A" w:rsidP="009B2C9A">
      <w:pPr>
        <w:pStyle w:val="ATSNormal"/>
        <w:numPr>
          <w:ilvl w:val="0"/>
          <w:numId w:val="21"/>
        </w:numPr>
      </w:pPr>
      <w:r w:rsidRPr="00B46A13">
        <w:t>Excluding categories specific to cities, such as transport and occupant commuting</w:t>
      </w:r>
      <w:r>
        <w:t>, which are not relevant in an Antarctic context</w:t>
      </w:r>
      <w:r w:rsidRPr="00B46A13">
        <w:t>.</w:t>
      </w:r>
    </w:p>
    <w:p w14:paraId="6F71EBA8" w14:textId="77777777" w:rsidR="009B2C9A" w:rsidRPr="00B46A13" w:rsidRDefault="009B2C9A" w:rsidP="009B2C9A">
      <w:pPr>
        <w:pStyle w:val="ATSNormal"/>
        <w:numPr>
          <w:ilvl w:val="0"/>
          <w:numId w:val="21"/>
        </w:numPr>
      </w:pPr>
      <w:r w:rsidRPr="00B46A13">
        <w:t xml:space="preserve">A focus on the health and wellbeing of occupants, in addition to the indoor environmental quality, to reflect the extended length of time occupants spend in the building and the mixed functionality of the buildings. </w:t>
      </w:r>
    </w:p>
    <w:p w14:paraId="006A8DD0" w14:textId="77777777" w:rsidR="009B2C9A" w:rsidRPr="00B46A13" w:rsidRDefault="009B2C9A" w:rsidP="009B2C9A">
      <w:pPr>
        <w:pStyle w:val="ATSHeading2"/>
      </w:pPr>
      <w:r w:rsidRPr="00B46A13">
        <w:t>Implementation and Benefits</w:t>
      </w:r>
    </w:p>
    <w:p w14:paraId="12CF08C2" w14:textId="77777777" w:rsidR="009B2C9A" w:rsidRDefault="009B2C9A" w:rsidP="009B2C9A">
      <w:pPr>
        <w:pStyle w:val="ATSNormal"/>
        <w:rPr>
          <w:lang w:val="en-AU"/>
        </w:rPr>
      </w:pPr>
      <w:r w:rsidRPr="00B46A13">
        <w:rPr>
          <w:lang w:val="en-AU"/>
        </w:rPr>
        <w:t xml:space="preserve">The implementation of Green Star starts in the design phase and finishes after </w:t>
      </w:r>
      <w:r>
        <w:rPr>
          <w:lang w:val="en-AU"/>
        </w:rPr>
        <w:t>commissioning</w:t>
      </w:r>
      <w:r w:rsidRPr="00B46A13">
        <w:rPr>
          <w:lang w:val="en-AU"/>
        </w:rPr>
        <w:t xml:space="preserve"> in the final building. </w:t>
      </w:r>
      <w:r>
        <w:rPr>
          <w:lang w:val="en-AU"/>
        </w:rPr>
        <w:t>The Tool</w:t>
      </w:r>
      <w:r w:rsidRPr="00B46A13">
        <w:rPr>
          <w:lang w:val="en-AU"/>
        </w:rPr>
        <w:t xml:space="preserve"> is </w:t>
      </w:r>
      <w:r>
        <w:rPr>
          <w:lang w:val="en-AU"/>
        </w:rPr>
        <w:t>structured around</w:t>
      </w:r>
      <w:r w:rsidRPr="00B46A13">
        <w:rPr>
          <w:lang w:val="en-AU"/>
        </w:rPr>
        <w:t xml:space="preserve"> credits </w:t>
      </w:r>
      <w:r>
        <w:rPr>
          <w:lang w:val="en-AU"/>
        </w:rPr>
        <w:t xml:space="preserve">which are </w:t>
      </w:r>
      <w:r w:rsidRPr="00B46A13">
        <w:rPr>
          <w:lang w:val="en-AU"/>
        </w:rPr>
        <w:t>based on aspects of the</w:t>
      </w:r>
      <w:r>
        <w:rPr>
          <w:lang w:val="en-AU"/>
        </w:rPr>
        <w:t xml:space="preserve"> building</w:t>
      </w:r>
      <w:r w:rsidRPr="00B46A13">
        <w:rPr>
          <w:lang w:val="en-AU"/>
        </w:rPr>
        <w:t xml:space="preserve"> design, construction</w:t>
      </w:r>
      <w:r>
        <w:rPr>
          <w:lang w:val="en-AU"/>
        </w:rPr>
        <w:t>,</w:t>
      </w:r>
      <w:r w:rsidRPr="00B46A13">
        <w:rPr>
          <w:lang w:val="en-AU"/>
        </w:rPr>
        <w:t xml:space="preserve"> and operation (Appendix A). Individual credits are achieved by adhering to the aim of the </w:t>
      </w:r>
      <w:proofErr w:type="gramStart"/>
      <w:r w:rsidRPr="00B46A13">
        <w:rPr>
          <w:lang w:val="en-AU"/>
        </w:rPr>
        <w:t>credit, and</w:t>
      </w:r>
      <w:proofErr w:type="gramEnd"/>
      <w:r w:rsidRPr="00B46A13">
        <w:rPr>
          <w:lang w:val="en-AU"/>
        </w:rPr>
        <w:t xml:space="preserve"> achieving the desired outcome. Every credit has </w:t>
      </w:r>
      <w:proofErr w:type="gramStart"/>
      <w:r w:rsidRPr="00B46A13">
        <w:rPr>
          <w:lang w:val="en-AU"/>
        </w:rPr>
        <w:t>a number of</w:t>
      </w:r>
      <w:proofErr w:type="gramEnd"/>
      <w:r w:rsidRPr="00B46A13">
        <w:rPr>
          <w:lang w:val="en-AU"/>
        </w:rPr>
        <w:t xml:space="preserve"> possible points which can be awarded </w:t>
      </w:r>
      <w:r>
        <w:rPr>
          <w:lang w:val="en-AU"/>
        </w:rPr>
        <w:t>(</w:t>
      </w:r>
      <w:r w:rsidRPr="00B46A13">
        <w:rPr>
          <w:lang w:val="en-AU"/>
        </w:rPr>
        <w:t>Appendix A</w:t>
      </w:r>
      <w:r>
        <w:rPr>
          <w:lang w:val="en-AU"/>
        </w:rPr>
        <w:t>)</w:t>
      </w:r>
      <w:r w:rsidRPr="00B46A13">
        <w:rPr>
          <w:lang w:val="en-AU"/>
        </w:rPr>
        <w:t xml:space="preserve">. Evidence to support a claim of credit points </w:t>
      </w:r>
      <w:r>
        <w:rPr>
          <w:lang w:val="en-AU"/>
        </w:rPr>
        <w:t>is</w:t>
      </w:r>
      <w:r w:rsidRPr="00B46A13">
        <w:rPr>
          <w:lang w:val="en-AU"/>
        </w:rPr>
        <w:t xml:space="preserve"> then provided to the NZGBC in a submission for certification</w:t>
      </w:r>
      <w:r>
        <w:rPr>
          <w:lang w:val="en-AU"/>
        </w:rPr>
        <w:t>. The structure and form of evidence required is detailed in the Green Star submission guideline</w:t>
      </w:r>
      <w:r w:rsidRPr="00B46A13">
        <w:rPr>
          <w:lang w:val="en-AU"/>
        </w:rPr>
        <w:t xml:space="preserve">. </w:t>
      </w:r>
    </w:p>
    <w:p w14:paraId="2B8FA3B1" w14:textId="77777777" w:rsidR="009B2C9A" w:rsidRDefault="009B2C9A" w:rsidP="009B2C9A">
      <w:pPr>
        <w:pStyle w:val="ATSNormal"/>
        <w:rPr>
          <w:lang w:val="en-AU"/>
        </w:rPr>
      </w:pPr>
      <w:r>
        <w:rPr>
          <w:lang w:val="en-AU"/>
        </w:rPr>
        <w:t>Credits can be implemented by adhering to the performance standards or criteria detailed in the Green Star submission guidelines. By way of an example, for the credit concerning greenhouse gas emissions (20 points), a project must demonstrate that the proposed building meets standards relating to thermal performance, and reductions in greenhouse gas emissions. The submission guidelines require computer modelling of the design, with points awarded based on improvements in thermal performance and reduction of greenhouse gas emissions compared to a standard reference building (ASHRAE</w:t>
      </w:r>
      <w:r>
        <w:rPr>
          <w:rStyle w:val="Refdenotaalpie"/>
          <w:lang w:val="en-AU"/>
        </w:rPr>
        <w:footnoteReference w:id="1"/>
      </w:r>
      <w:r>
        <w:rPr>
          <w:lang w:val="en-AU"/>
        </w:rPr>
        <w:t xml:space="preserve">). This process drives continual improvements in the design of the building by modification to cladding systems, heating and cooling systems, electrical systems, and operational procedures. The resulting benefit is realised as a reduction in emissions and savings in energy production. </w:t>
      </w:r>
    </w:p>
    <w:p w14:paraId="40877888" w14:textId="77777777" w:rsidR="009B2C9A" w:rsidRDefault="009B2C9A" w:rsidP="009B2C9A">
      <w:pPr>
        <w:pStyle w:val="ATSNormal"/>
        <w:rPr>
          <w:lang w:val="en-AU"/>
        </w:rPr>
      </w:pPr>
      <w:r w:rsidRPr="00161AFC">
        <w:rPr>
          <w:lang w:val="en-AU"/>
        </w:rPr>
        <w:t>A Green Star rating is determined by adding the total number of points achieved against each credit for the project and comparing to the total available points in the tool. In Green Star, there are 100 base points and 10 innovation points. The proportion of points required to achieve different levels of certification are presented in Table 1. Under Green Star, a project must meet at a minimum</w:t>
      </w:r>
      <w:r>
        <w:rPr>
          <w:lang w:val="en-AU"/>
        </w:rPr>
        <w:t xml:space="preserve"> of 45 points</w:t>
      </w:r>
      <w:r w:rsidRPr="00161AFC">
        <w:rPr>
          <w:lang w:val="en-AU"/>
        </w:rPr>
        <w:t>, the threshold for Four Stars.</w:t>
      </w:r>
    </w:p>
    <w:p w14:paraId="2827D695" w14:textId="77777777" w:rsidR="009B2C9A" w:rsidRDefault="009B2C9A" w:rsidP="009B2C9A">
      <w:pPr>
        <w:pStyle w:val="ATSNormal"/>
        <w:rPr>
          <w:lang w:val="en-AU"/>
        </w:rPr>
      </w:pPr>
    </w:p>
    <w:p w14:paraId="1B5FD3C5" w14:textId="77777777" w:rsidR="009B2C9A" w:rsidRDefault="009B2C9A" w:rsidP="009B2C9A">
      <w:pPr>
        <w:pStyle w:val="Descripcin"/>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 </w:t>
      </w:r>
      <w:r w:rsidRPr="00865FDE">
        <w:t>The Green Star rating scale. Zero to three stars are not certified, four stars and above are certified.</w:t>
      </w:r>
    </w:p>
    <w:tbl>
      <w:tblPr>
        <w:tblStyle w:val="Tablaconcuadrcula"/>
        <w:tblW w:w="0" w:type="auto"/>
        <w:jc w:val="center"/>
        <w:tblLook w:val="04A0" w:firstRow="1" w:lastRow="0" w:firstColumn="1" w:lastColumn="0" w:noHBand="0" w:noVBand="1"/>
      </w:tblPr>
      <w:tblGrid>
        <w:gridCol w:w="2313"/>
        <w:gridCol w:w="1417"/>
        <w:gridCol w:w="2410"/>
      </w:tblGrid>
      <w:tr w:rsidR="009B2C9A" w:rsidRPr="00161AFC" w14:paraId="6FA4FFFA" w14:textId="77777777" w:rsidTr="00232F7C">
        <w:trPr>
          <w:jc w:val="center"/>
        </w:trPr>
        <w:tc>
          <w:tcPr>
            <w:tcW w:w="2313" w:type="dxa"/>
          </w:tcPr>
          <w:p w14:paraId="464BE48A" w14:textId="77777777" w:rsidR="009B2C9A" w:rsidRPr="00161AFC" w:rsidRDefault="009B2C9A" w:rsidP="00232F7C">
            <w:pPr>
              <w:rPr>
                <w:b/>
                <w:lang w:val="en-NZ"/>
              </w:rPr>
            </w:pPr>
            <w:r w:rsidRPr="00161AFC">
              <w:rPr>
                <w:b/>
                <w:lang w:val="en-NZ"/>
              </w:rPr>
              <w:t>% of available points</w:t>
            </w:r>
          </w:p>
        </w:tc>
        <w:tc>
          <w:tcPr>
            <w:tcW w:w="1417" w:type="dxa"/>
          </w:tcPr>
          <w:p w14:paraId="688B4FE8" w14:textId="77777777" w:rsidR="009B2C9A" w:rsidRPr="00161AFC" w:rsidRDefault="009B2C9A" w:rsidP="00232F7C">
            <w:pPr>
              <w:rPr>
                <w:b/>
                <w:lang w:val="en-NZ"/>
              </w:rPr>
            </w:pPr>
            <w:r w:rsidRPr="00161AFC">
              <w:rPr>
                <w:b/>
                <w:lang w:val="en-NZ"/>
              </w:rPr>
              <w:t>Rating</w:t>
            </w:r>
          </w:p>
        </w:tc>
        <w:tc>
          <w:tcPr>
            <w:tcW w:w="2410" w:type="dxa"/>
          </w:tcPr>
          <w:p w14:paraId="438565F3" w14:textId="77777777" w:rsidR="009B2C9A" w:rsidRPr="00161AFC" w:rsidRDefault="009B2C9A" w:rsidP="00232F7C">
            <w:pPr>
              <w:rPr>
                <w:b/>
                <w:lang w:val="en-NZ"/>
              </w:rPr>
            </w:pPr>
            <w:r w:rsidRPr="00161AFC">
              <w:rPr>
                <w:b/>
                <w:lang w:val="en-NZ"/>
              </w:rPr>
              <w:t>Outcome</w:t>
            </w:r>
          </w:p>
        </w:tc>
      </w:tr>
      <w:tr w:rsidR="009B2C9A" w:rsidRPr="00161AFC" w14:paraId="56BFE495" w14:textId="77777777" w:rsidTr="00232F7C">
        <w:trPr>
          <w:jc w:val="center"/>
        </w:trPr>
        <w:tc>
          <w:tcPr>
            <w:tcW w:w="2313" w:type="dxa"/>
          </w:tcPr>
          <w:p w14:paraId="27FD1ED2" w14:textId="77777777" w:rsidR="009B2C9A" w:rsidRPr="00161AFC" w:rsidRDefault="009B2C9A" w:rsidP="00232F7C">
            <w:pPr>
              <w:rPr>
                <w:lang w:val="en-NZ"/>
              </w:rPr>
            </w:pPr>
            <w:r w:rsidRPr="00161AFC">
              <w:rPr>
                <w:lang w:val="en-NZ"/>
              </w:rPr>
              <w:t>Less than 10</w:t>
            </w:r>
          </w:p>
        </w:tc>
        <w:tc>
          <w:tcPr>
            <w:tcW w:w="1417" w:type="dxa"/>
          </w:tcPr>
          <w:p w14:paraId="349421A7" w14:textId="77777777" w:rsidR="009B2C9A" w:rsidRPr="00161AFC" w:rsidRDefault="009B2C9A" w:rsidP="00232F7C">
            <w:pPr>
              <w:rPr>
                <w:lang w:val="en-NZ"/>
              </w:rPr>
            </w:pPr>
            <w:r w:rsidRPr="00161AFC">
              <w:rPr>
                <w:lang w:val="en-NZ"/>
              </w:rPr>
              <w:t>Zero Star</w:t>
            </w:r>
          </w:p>
        </w:tc>
        <w:tc>
          <w:tcPr>
            <w:tcW w:w="2410" w:type="dxa"/>
          </w:tcPr>
          <w:p w14:paraId="31DBC276" w14:textId="77777777" w:rsidR="009B2C9A" w:rsidRPr="00161AFC" w:rsidRDefault="009B2C9A" w:rsidP="00232F7C">
            <w:pPr>
              <w:rPr>
                <w:lang w:val="en-NZ"/>
              </w:rPr>
            </w:pPr>
            <w:r w:rsidRPr="00161AFC">
              <w:rPr>
                <w:lang w:val="en-NZ"/>
              </w:rPr>
              <w:t>Assessed</w:t>
            </w:r>
          </w:p>
        </w:tc>
      </w:tr>
      <w:tr w:rsidR="009B2C9A" w:rsidRPr="00161AFC" w14:paraId="74BB2521" w14:textId="77777777" w:rsidTr="00232F7C">
        <w:trPr>
          <w:jc w:val="center"/>
        </w:trPr>
        <w:tc>
          <w:tcPr>
            <w:tcW w:w="2313" w:type="dxa"/>
          </w:tcPr>
          <w:p w14:paraId="1AB11F6B" w14:textId="77777777" w:rsidR="009B2C9A" w:rsidRPr="00161AFC" w:rsidRDefault="009B2C9A" w:rsidP="00232F7C">
            <w:pPr>
              <w:rPr>
                <w:lang w:val="en-NZ"/>
              </w:rPr>
            </w:pPr>
            <w:r w:rsidRPr="00161AFC">
              <w:rPr>
                <w:lang w:val="en-NZ"/>
              </w:rPr>
              <w:t>10 - 19</w:t>
            </w:r>
          </w:p>
        </w:tc>
        <w:tc>
          <w:tcPr>
            <w:tcW w:w="1417" w:type="dxa"/>
          </w:tcPr>
          <w:p w14:paraId="180F05F1" w14:textId="77777777" w:rsidR="009B2C9A" w:rsidRPr="00161AFC" w:rsidRDefault="009B2C9A" w:rsidP="00232F7C">
            <w:pPr>
              <w:rPr>
                <w:lang w:val="en-NZ"/>
              </w:rPr>
            </w:pPr>
            <w:r w:rsidRPr="00161AFC">
              <w:rPr>
                <w:lang w:val="en-NZ"/>
              </w:rPr>
              <w:t>One Star</w:t>
            </w:r>
          </w:p>
        </w:tc>
        <w:tc>
          <w:tcPr>
            <w:tcW w:w="2410" w:type="dxa"/>
          </w:tcPr>
          <w:p w14:paraId="1363BFA0" w14:textId="77777777" w:rsidR="009B2C9A" w:rsidRPr="00161AFC" w:rsidRDefault="009B2C9A" w:rsidP="00232F7C">
            <w:pPr>
              <w:rPr>
                <w:lang w:val="en-NZ"/>
              </w:rPr>
            </w:pPr>
            <w:r w:rsidRPr="00161AFC">
              <w:rPr>
                <w:lang w:val="en-NZ"/>
              </w:rPr>
              <w:t>Minimum Practice</w:t>
            </w:r>
          </w:p>
        </w:tc>
      </w:tr>
      <w:tr w:rsidR="009B2C9A" w:rsidRPr="00161AFC" w14:paraId="19215588" w14:textId="77777777" w:rsidTr="00232F7C">
        <w:trPr>
          <w:jc w:val="center"/>
        </w:trPr>
        <w:tc>
          <w:tcPr>
            <w:tcW w:w="2313" w:type="dxa"/>
          </w:tcPr>
          <w:p w14:paraId="4A8C522E" w14:textId="77777777" w:rsidR="009B2C9A" w:rsidRPr="00161AFC" w:rsidRDefault="009B2C9A" w:rsidP="00232F7C">
            <w:pPr>
              <w:rPr>
                <w:lang w:val="en-NZ"/>
              </w:rPr>
            </w:pPr>
            <w:r w:rsidRPr="00161AFC">
              <w:rPr>
                <w:lang w:val="en-NZ"/>
              </w:rPr>
              <w:t>20 - 29</w:t>
            </w:r>
          </w:p>
        </w:tc>
        <w:tc>
          <w:tcPr>
            <w:tcW w:w="1417" w:type="dxa"/>
          </w:tcPr>
          <w:p w14:paraId="04399DD5" w14:textId="77777777" w:rsidR="009B2C9A" w:rsidRPr="00161AFC" w:rsidRDefault="009B2C9A" w:rsidP="00232F7C">
            <w:pPr>
              <w:rPr>
                <w:lang w:val="en-NZ"/>
              </w:rPr>
            </w:pPr>
            <w:r w:rsidRPr="00161AFC">
              <w:rPr>
                <w:lang w:val="en-NZ"/>
              </w:rPr>
              <w:t>Two Star</w:t>
            </w:r>
          </w:p>
        </w:tc>
        <w:tc>
          <w:tcPr>
            <w:tcW w:w="2410" w:type="dxa"/>
          </w:tcPr>
          <w:p w14:paraId="3168B62B" w14:textId="77777777" w:rsidR="009B2C9A" w:rsidRPr="00161AFC" w:rsidRDefault="009B2C9A" w:rsidP="00232F7C">
            <w:pPr>
              <w:rPr>
                <w:lang w:val="en-NZ"/>
              </w:rPr>
            </w:pPr>
            <w:r w:rsidRPr="00161AFC">
              <w:rPr>
                <w:lang w:val="en-NZ"/>
              </w:rPr>
              <w:t>Average Practice</w:t>
            </w:r>
          </w:p>
        </w:tc>
      </w:tr>
      <w:tr w:rsidR="009B2C9A" w:rsidRPr="00161AFC" w14:paraId="2CAA19E2" w14:textId="77777777" w:rsidTr="00232F7C">
        <w:trPr>
          <w:jc w:val="center"/>
        </w:trPr>
        <w:tc>
          <w:tcPr>
            <w:tcW w:w="2313" w:type="dxa"/>
          </w:tcPr>
          <w:p w14:paraId="2EDB07F1" w14:textId="77777777" w:rsidR="009B2C9A" w:rsidRPr="00161AFC" w:rsidRDefault="009B2C9A" w:rsidP="00232F7C">
            <w:pPr>
              <w:rPr>
                <w:lang w:val="en-NZ"/>
              </w:rPr>
            </w:pPr>
            <w:r w:rsidRPr="00161AFC">
              <w:rPr>
                <w:lang w:val="en-NZ"/>
              </w:rPr>
              <w:t>30 - 44</w:t>
            </w:r>
          </w:p>
        </w:tc>
        <w:tc>
          <w:tcPr>
            <w:tcW w:w="1417" w:type="dxa"/>
          </w:tcPr>
          <w:p w14:paraId="23CC719C" w14:textId="77777777" w:rsidR="009B2C9A" w:rsidRPr="00161AFC" w:rsidRDefault="009B2C9A" w:rsidP="00232F7C">
            <w:pPr>
              <w:rPr>
                <w:lang w:val="en-NZ"/>
              </w:rPr>
            </w:pPr>
            <w:r w:rsidRPr="00161AFC">
              <w:rPr>
                <w:lang w:val="en-NZ"/>
              </w:rPr>
              <w:t>Three Star</w:t>
            </w:r>
          </w:p>
        </w:tc>
        <w:tc>
          <w:tcPr>
            <w:tcW w:w="2410" w:type="dxa"/>
          </w:tcPr>
          <w:p w14:paraId="752F24F7" w14:textId="77777777" w:rsidR="009B2C9A" w:rsidRPr="00161AFC" w:rsidRDefault="009B2C9A" w:rsidP="00232F7C">
            <w:pPr>
              <w:rPr>
                <w:lang w:val="en-NZ"/>
              </w:rPr>
            </w:pPr>
            <w:r w:rsidRPr="00161AFC">
              <w:rPr>
                <w:lang w:val="en-NZ"/>
              </w:rPr>
              <w:t>Good Practice</w:t>
            </w:r>
          </w:p>
        </w:tc>
      </w:tr>
      <w:tr w:rsidR="009B2C9A" w:rsidRPr="00161AFC" w14:paraId="13D5319E" w14:textId="77777777" w:rsidTr="00232F7C">
        <w:trPr>
          <w:jc w:val="center"/>
        </w:trPr>
        <w:tc>
          <w:tcPr>
            <w:tcW w:w="2313" w:type="dxa"/>
          </w:tcPr>
          <w:p w14:paraId="14AFBA36" w14:textId="77777777" w:rsidR="009B2C9A" w:rsidRPr="00161AFC" w:rsidRDefault="009B2C9A" w:rsidP="00232F7C">
            <w:pPr>
              <w:rPr>
                <w:lang w:val="en-NZ"/>
              </w:rPr>
            </w:pPr>
            <w:r w:rsidRPr="00161AFC">
              <w:rPr>
                <w:lang w:val="en-NZ"/>
              </w:rPr>
              <w:t>45 - 59</w:t>
            </w:r>
          </w:p>
        </w:tc>
        <w:tc>
          <w:tcPr>
            <w:tcW w:w="1417" w:type="dxa"/>
          </w:tcPr>
          <w:p w14:paraId="34876B8E" w14:textId="77777777" w:rsidR="009B2C9A" w:rsidRPr="00161AFC" w:rsidRDefault="009B2C9A" w:rsidP="00232F7C">
            <w:pPr>
              <w:rPr>
                <w:lang w:val="en-NZ"/>
              </w:rPr>
            </w:pPr>
            <w:r w:rsidRPr="00161AFC">
              <w:rPr>
                <w:lang w:val="en-NZ"/>
              </w:rPr>
              <w:t>Four Star</w:t>
            </w:r>
          </w:p>
        </w:tc>
        <w:tc>
          <w:tcPr>
            <w:tcW w:w="2410" w:type="dxa"/>
          </w:tcPr>
          <w:p w14:paraId="4A35FA6E" w14:textId="77777777" w:rsidR="009B2C9A" w:rsidRPr="00161AFC" w:rsidRDefault="009B2C9A" w:rsidP="00232F7C">
            <w:pPr>
              <w:rPr>
                <w:lang w:val="en-NZ"/>
              </w:rPr>
            </w:pPr>
            <w:r w:rsidRPr="00161AFC">
              <w:rPr>
                <w:lang w:val="en-NZ"/>
              </w:rPr>
              <w:t>Best Practice</w:t>
            </w:r>
          </w:p>
        </w:tc>
      </w:tr>
      <w:tr w:rsidR="009B2C9A" w:rsidRPr="00161AFC" w14:paraId="10CB7D67" w14:textId="77777777" w:rsidTr="00232F7C">
        <w:trPr>
          <w:jc w:val="center"/>
        </w:trPr>
        <w:tc>
          <w:tcPr>
            <w:tcW w:w="2313" w:type="dxa"/>
          </w:tcPr>
          <w:p w14:paraId="74DD4433" w14:textId="77777777" w:rsidR="009B2C9A" w:rsidRPr="00161AFC" w:rsidRDefault="009B2C9A" w:rsidP="00232F7C">
            <w:pPr>
              <w:rPr>
                <w:lang w:val="en-NZ"/>
              </w:rPr>
            </w:pPr>
            <w:r w:rsidRPr="00161AFC">
              <w:rPr>
                <w:lang w:val="en-NZ"/>
              </w:rPr>
              <w:t>60 - 74</w:t>
            </w:r>
          </w:p>
        </w:tc>
        <w:tc>
          <w:tcPr>
            <w:tcW w:w="1417" w:type="dxa"/>
          </w:tcPr>
          <w:p w14:paraId="678E5581" w14:textId="77777777" w:rsidR="009B2C9A" w:rsidRPr="00161AFC" w:rsidRDefault="009B2C9A" w:rsidP="00232F7C">
            <w:pPr>
              <w:rPr>
                <w:lang w:val="en-NZ"/>
              </w:rPr>
            </w:pPr>
            <w:r w:rsidRPr="00161AFC">
              <w:rPr>
                <w:lang w:val="en-NZ"/>
              </w:rPr>
              <w:t>Five Star</w:t>
            </w:r>
          </w:p>
        </w:tc>
        <w:tc>
          <w:tcPr>
            <w:tcW w:w="2410" w:type="dxa"/>
          </w:tcPr>
          <w:p w14:paraId="5A73352A" w14:textId="77777777" w:rsidR="009B2C9A" w:rsidRPr="00161AFC" w:rsidRDefault="009B2C9A" w:rsidP="00232F7C">
            <w:pPr>
              <w:rPr>
                <w:lang w:val="en-NZ"/>
              </w:rPr>
            </w:pPr>
            <w:r w:rsidRPr="00161AFC">
              <w:rPr>
                <w:lang w:val="en-NZ"/>
              </w:rPr>
              <w:t>Excellence</w:t>
            </w:r>
          </w:p>
        </w:tc>
      </w:tr>
      <w:tr w:rsidR="009B2C9A" w:rsidRPr="00161AFC" w14:paraId="617C5BDD" w14:textId="77777777" w:rsidTr="00232F7C">
        <w:trPr>
          <w:jc w:val="center"/>
        </w:trPr>
        <w:tc>
          <w:tcPr>
            <w:tcW w:w="2313" w:type="dxa"/>
          </w:tcPr>
          <w:p w14:paraId="69969688" w14:textId="77777777" w:rsidR="009B2C9A" w:rsidRPr="00161AFC" w:rsidRDefault="009B2C9A" w:rsidP="00232F7C">
            <w:pPr>
              <w:rPr>
                <w:lang w:val="en-NZ"/>
              </w:rPr>
            </w:pPr>
            <w:r w:rsidRPr="00161AFC">
              <w:rPr>
                <w:lang w:val="en-NZ"/>
              </w:rPr>
              <w:t>75 +</w:t>
            </w:r>
          </w:p>
        </w:tc>
        <w:tc>
          <w:tcPr>
            <w:tcW w:w="1417" w:type="dxa"/>
          </w:tcPr>
          <w:p w14:paraId="5119CF80" w14:textId="77777777" w:rsidR="009B2C9A" w:rsidRPr="00161AFC" w:rsidRDefault="009B2C9A" w:rsidP="00232F7C">
            <w:pPr>
              <w:rPr>
                <w:lang w:val="en-NZ"/>
              </w:rPr>
            </w:pPr>
            <w:r w:rsidRPr="00161AFC">
              <w:rPr>
                <w:lang w:val="en-NZ"/>
              </w:rPr>
              <w:t>Six Star</w:t>
            </w:r>
          </w:p>
        </w:tc>
        <w:tc>
          <w:tcPr>
            <w:tcW w:w="2410" w:type="dxa"/>
          </w:tcPr>
          <w:p w14:paraId="663A3126" w14:textId="77777777" w:rsidR="009B2C9A" w:rsidRPr="00161AFC" w:rsidRDefault="009B2C9A" w:rsidP="00232F7C">
            <w:pPr>
              <w:rPr>
                <w:lang w:val="en-NZ"/>
              </w:rPr>
            </w:pPr>
            <w:r w:rsidRPr="00161AFC">
              <w:rPr>
                <w:lang w:val="en-NZ"/>
              </w:rPr>
              <w:t>World Leadership</w:t>
            </w:r>
          </w:p>
        </w:tc>
      </w:tr>
    </w:tbl>
    <w:p w14:paraId="7ADD1E0D" w14:textId="77777777" w:rsidR="009B2C9A" w:rsidRDefault="009B2C9A" w:rsidP="009B2C9A">
      <w:pPr>
        <w:pStyle w:val="ATSNormal"/>
        <w:rPr>
          <w:lang w:val="en-AU"/>
        </w:rPr>
      </w:pPr>
    </w:p>
    <w:p w14:paraId="0FD6C0BA" w14:textId="77777777" w:rsidR="009B2C9A" w:rsidRDefault="009B2C9A" w:rsidP="009B2C9A">
      <w:pPr>
        <w:pStyle w:val="ATSNormal"/>
        <w:rPr>
          <w:lang w:val="en-AU"/>
        </w:rPr>
      </w:pPr>
      <w:r>
        <w:rPr>
          <w:lang w:val="en-AU"/>
        </w:rPr>
        <w:t>The proposed Scott Base Redevelopment project is aiming for five-star accreditation. At this level, the project has seen benefits in the design resulting from:</w:t>
      </w:r>
    </w:p>
    <w:p w14:paraId="3CAC578B" w14:textId="77777777" w:rsidR="009B2C9A" w:rsidRDefault="009B2C9A" w:rsidP="009B2C9A">
      <w:pPr>
        <w:pStyle w:val="ATSBullet1"/>
        <w:numPr>
          <w:ilvl w:val="0"/>
          <w:numId w:val="11"/>
        </w:numPr>
        <w:rPr>
          <w:lang w:val="en-AU"/>
        </w:rPr>
      </w:pPr>
      <w:r>
        <w:rPr>
          <w:lang w:val="en-AU"/>
        </w:rPr>
        <w:t xml:space="preserve">Significant weighting to environmental protection introduced into design decisions. </w:t>
      </w:r>
    </w:p>
    <w:p w14:paraId="3AA73D46" w14:textId="77777777" w:rsidR="009B2C9A" w:rsidRDefault="009B2C9A" w:rsidP="009B2C9A">
      <w:pPr>
        <w:pStyle w:val="ATSBullet1"/>
        <w:numPr>
          <w:ilvl w:val="0"/>
          <w:numId w:val="11"/>
        </w:numPr>
        <w:rPr>
          <w:lang w:val="en-AU"/>
        </w:rPr>
      </w:pPr>
      <w:r>
        <w:rPr>
          <w:lang w:val="en-AU"/>
        </w:rPr>
        <w:t xml:space="preserve">Focus on reducing emissions by modelling and continuous improvement. </w:t>
      </w:r>
    </w:p>
    <w:p w14:paraId="3CE66EBC" w14:textId="77777777" w:rsidR="009B2C9A" w:rsidRDefault="009B2C9A" w:rsidP="009B2C9A">
      <w:pPr>
        <w:pStyle w:val="ATSBullet1"/>
        <w:numPr>
          <w:ilvl w:val="0"/>
          <w:numId w:val="11"/>
        </w:numPr>
        <w:rPr>
          <w:lang w:val="en-AU"/>
        </w:rPr>
      </w:pPr>
      <w:r>
        <w:rPr>
          <w:lang w:val="en-AU"/>
        </w:rPr>
        <w:t xml:space="preserve">Designing for operational efficiency in mechanical plant, and ease of maintenance of all plant. </w:t>
      </w:r>
    </w:p>
    <w:p w14:paraId="6F3306FF" w14:textId="77777777" w:rsidR="009B2C9A" w:rsidRDefault="009B2C9A" w:rsidP="009B2C9A">
      <w:pPr>
        <w:pStyle w:val="ATSBullet1"/>
        <w:numPr>
          <w:ilvl w:val="0"/>
          <w:numId w:val="11"/>
        </w:numPr>
        <w:rPr>
          <w:lang w:val="en-AU"/>
        </w:rPr>
      </w:pPr>
      <w:r>
        <w:rPr>
          <w:lang w:val="en-AU"/>
        </w:rPr>
        <w:t xml:space="preserve">Setting of performance targets for environmental and operational outcomes. These targets are then considered at every stage of design. Targets include, energy use, greenhouse gas emissions, water use, waste generation, and wastewater treatment. </w:t>
      </w:r>
    </w:p>
    <w:p w14:paraId="13A069A3" w14:textId="77777777" w:rsidR="009B2C9A" w:rsidRDefault="009B2C9A" w:rsidP="009B2C9A">
      <w:pPr>
        <w:pStyle w:val="ATSBullet1"/>
        <w:numPr>
          <w:ilvl w:val="0"/>
          <w:numId w:val="11"/>
        </w:numPr>
        <w:rPr>
          <w:lang w:val="en-AU"/>
        </w:rPr>
      </w:pPr>
      <w:r w:rsidRPr="00C53DA6">
        <w:rPr>
          <w:lang w:val="en-AU"/>
        </w:rPr>
        <w:t xml:space="preserve">Consideration of the long-term health of occupants through the elimination of pollutants in materials and consideration of wellbeing through design of spaces.  </w:t>
      </w:r>
    </w:p>
    <w:p w14:paraId="0C015594" w14:textId="77777777" w:rsidR="009B2C9A" w:rsidRPr="00C53DA6" w:rsidRDefault="009B2C9A" w:rsidP="009B2C9A">
      <w:pPr>
        <w:pStyle w:val="ATSBullet1"/>
        <w:numPr>
          <w:ilvl w:val="0"/>
          <w:numId w:val="11"/>
        </w:numPr>
        <w:rPr>
          <w:lang w:val="en-AU"/>
        </w:rPr>
      </w:pPr>
      <w:r>
        <w:rPr>
          <w:lang w:val="en-AU"/>
        </w:rPr>
        <w:t xml:space="preserve">Introduction of prescriptive standards to standardise and drive improvement of building elements. </w:t>
      </w:r>
    </w:p>
    <w:p w14:paraId="2A3CCD8F" w14:textId="77777777" w:rsidR="009B2C9A" w:rsidRDefault="009B2C9A" w:rsidP="009B2C9A">
      <w:pPr>
        <w:pStyle w:val="ATSHeading2"/>
        <w:rPr>
          <w:lang w:val="en-NZ"/>
        </w:rPr>
      </w:pPr>
      <w:r>
        <w:rPr>
          <w:lang w:val="en-NZ"/>
        </w:rPr>
        <w:t>References</w:t>
      </w:r>
    </w:p>
    <w:p w14:paraId="79A6A2AA" w14:textId="77777777" w:rsidR="009B2C9A" w:rsidRDefault="009B2C9A" w:rsidP="009B2C9A">
      <w:pPr>
        <w:pStyle w:val="ATSNormal"/>
        <w:rPr>
          <w:lang w:val="en-NZ"/>
        </w:rPr>
      </w:pPr>
      <w:r>
        <w:rPr>
          <w:lang w:val="en-NZ"/>
        </w:rPr>
        <w:t xml:space="preserve">NZGBC, 2021. New Zealand Green Building Council. </w:t>
      </w:r>
      <w:r w:rsidRPr="001D18AD">
        <w:rPr>
          <w:lang w:val="en-NZ"/>
        </w:rPr>
        <w:t>https://www.nzgbc.org.nz/</w:t>
      </w:r>
      <w:r>
        <w:rPr>
          <w:lang w:val="en-NZ"/>
        </w:rPr>
        <w:t xml:space="preserve"> Accessed </w:t>
      </w:r>
      <w:proofErr w:type="gramStart"/>
      <w:r>
        <w:rPr>
          <w:lang w:val="en-NZ"/>
        </w:rPr>
        <w:t>10/03/2021</w:t>
      </w:r>
      <w:proofErr w:type="gramEnd"/>
    </w:p>
    <w:p w14:paraId="08BB4B0C" w14:textId="77777777" w:rsidR="009B2C9A" w:rsidRPr="00EC2D0E" w:rsidRDefault="009B2C9A" w:rsidP="009B2C9A">
      <w:pPr>
        <w:pStyle w:val="ATSNormal"/>
      </w:pPr>
      <w:r>
        <w:rPr>
          <w:lang w:val="en-NZ"/>
        </w:rPr>
        <w:t xml:space="preserve">WGBC, 2020.  World Green Building Council Annual Report 2020. </w:t>
      </w:r>
      <w:hyperlink r:id="rId11" w:history="1">
        <w:r w:rsidRPr="00EC2D0E">
          <w:t>https://www.worldgbc.org/news-media/annual-report-2020</w:t>
        </w:r>
      </w:hyperlink>
      <w:r>
        <w:t xml:space="preserve"> </w:t>
      </w:r>
    </w:p>
    <w:p w14:paraId="143AC56F" w14:textId="77777777" w:rsidR="009B2C9A" w:rsidRDefault="009B2C9A" w:rsidP="009B2C9A">
      <w:pPr>
        <w:pStyle w:val="ATSNormal"/>
        <w:rPr>
          <w:lang w:val="en-AU"/>
        </w:rPr>
      </w:pPr>
    </w:p>
    <w:p w14:paraId="2DB4DE09" w14:textId="77777777" w:rsidR="009B2C9A" w:rsidRDefault="009B2C9A" w:rsidP="009B2C9A">
      <w:pPr>
        <w:pStyle w:val="ATSHeading2"/>
        <w:rPr>
          <w:rFonts w:ascii="Times New Roman" w:hAnsi="Times New Roman"/>
          <w:b w:val="0"/>
          <w:i w:val="0"/>
          <w:sz w:val="22"/>
          <w:szCs w:val="24"/>
          <w:lang w:val="en-AU"/>
        </w:rPr>
      </w:pPr>
      <w:r>
        <w:rPr>
          <w:rFonts w:ascii="Times New Roman" w:hAnsi="Times New Roman"/>
          <w:b w:val="0"/>
          <w:i w:val="0"/>
          <w:sz w:val="22"/>
          <w:szCs w:val="24"/>
          <w:lang w:val="en-AU"/>
        </w:rPr>
        <w:br w:type="page"/>
      </w:r>
    </w:p>
    <w:p w14:paraId="0EB6C747" w14:textId="77777777" w:rsidR="009B2C9A" w:rsidRDefault="009B2C9A" w:rsidP="009B2C9A">
      <w:pPr>
        <w:pStyle w:val="ATSHeading2"/>
        <w:rPr>
          <w:lang w:val="en-NZ"/>
        </w:rPr>
      </w:pPr>
      <w:r w:rsidRPr="00B0099F">
        <w:rPr>
          <w:lang w:val="en-NZ"/>
        </w:rPr>
        <w:lastRenderedPageBreak/>
        <w:t>Appendix A</w:t>
      </w:r>
      <w:r>
        <w:rPr>
          <w:lang w:val="en-NZ"/>
        </w:rPr>
        <w:t>: Table of credits included in the custom Antarctic Green Star tool.</w:t>
      </w:r>
    </w:p>
    <w:tbl>
      <w:tblPr>
        <w:tblStyle w:val="Tablaconcuadrcula"/>
        <w:tblW w:w="0" w:type="auto"/>
        <w:tblLook w:val="04A0" w:firstRow="1" w:lastRow="0" w:firstColumn="1" w:lastColumn="0" w:noHBand="0" w:noVBand="1"/>
      </w:tblPr>
      <w:tblGrid>
        <w:gridCol w:w="2830"/>
        <w:gridCol w:w="5387"/>
        <w:gridCol w:w="799"/>
      </w:tblGrid>
      <w:tr w:rsidR="009B2C9A" w14:paraId="5CED98BC" w14:textId="77777777" w:rsidTr="00232F7C">
        <w:tc>
          <w:tcPr>
            <w:tcW w:w="2830" w:type="dxa"/>
          </w:tcPr>
          <w:p w14:paraId="1507B7A0" w14:textId="77777777" w:rsidR="009B2C9A" w:rsidRPr="00161AFC" w:rsidRDefault="009B2C9A" w:rsidP="00232F7C">
            <w:pPr>
              <w:rPr>
                <w:lang w:val="en-NZ"/>
              </w:rPr>
            </w:pPr>
            <w:r w:rsidRPr="00161AFC">
              <w:rPr>
                <w:lang w:val="en-NZ"/>
              </w:rPr>
              <w:t>Credit</w:t>
            </w:r>
          </w:p>
        </w:tc>
        <w:tc>
          <w:tcPr>
            <w:tcW w:w="5387" w:type="dxa"/>
          </w:tcPr>
          <w:p w14:paraId="641C3DE1" w14:textId="77777777" w:rsidR="009B2C9A" w:rsidRPr="00161AFC" w:rsidRDefault="009B2C9A" w:rsidP="00232F7C">
            <w:pPr>
              <w:rPr>
                <w:lang w:val="en-NZ"/>
              </w:rPr>
            </w:pPr>
            <w:r w:rsidRPr="00161AFC">
              <w:rPr>
                <w:lang w:val="en-NZ"/>
              </w:rPr>
              <w:t>Aim</w:t>
            </w:r>
          </w:p>
        </w:tc>
        <w:tc>
          <w:tcPr>
            <w:tcW w:w="799" w:type="dxa"/>
          </w:tcPr>
          <w:p w14:paraId="2A7EC8E4" w14:textId="77777777" w:rsidR="009B2C9A" w:rsidRPr="00161AFC" w:rsidRDefault="009B2C9A" w:rsidP="00232F7C">
            <w:pPr>
              <w:jc w:val="center"/>
              <w:rPr>
                <w:lang w:val="en-NZ"/>
              </w:rPr>
            </w:pPr>
            <w:r w:rsidRPr="00161AFC">
              <w:rPr>
                <w:lang w:val="en-NZ"/>
              </w:rPr>
              <w:t>Points</w:t>
            </w:r>
          </w:p>
        </w:tc>
      </w:tr>
      <w:tr w:rsidR="009B2C9A" w14:paraId="5A565738" w14:textId="77777777" w:rsidTr="00232F7C">
        <w:tc>
          <w:tcPr>
            <w:tcW w:w="9016" w:type="dxa"/>
            <w:gridSpan w:val="3"/>
            <w:shd w:val="clear" w:color="auto" w:fill="D9D9D9" w:themeFill="background1" w:themeFillShade="D9"/>
          </w:tcPr>
          <w:p w14:paraId="22095032" w14:textId="77777777" w:rsidR="009B2C9A" w:rsidRPr="00161AFC" w:rsidRDefault="009B2C9A" w:rsidP="00232F7C">
            <w:pPr>
              <w:rPr>
                <w:lang w:val="en-NZ"/>
              </w:rPr>
            </w:pPr>
            <w:r w:rsidRPr="00161AFC">
              <w:rPr>
                <w:b/>
                <w:lang w:val="en-NZ"/>
              </w:rPr>
              <w:t>Management</w:t>
            </w:r>
          </w:p>
        </w:tc>
      </w:tr>
      <w:tr w:rsidR="009B2C9A" w14:paraId="709B2BDB" w14:textId="77777777" w:rsidTr="00232F7C">
        <w:tc>
          <w:tcPr>
            <w:tcW w:w="2830" w:type="dxa"/>
          </w:tcPr>
          <w:p w14:paraId="3D5CDD01" w14:textId="77777777" w:rsidR="009B2C9A" w:rsidRPr="00161AFC" w:rsidRDefault="009B2C9A" w:rsidP="00232F7C">
            <w:pPr>
              <w:rPr>
                <w:lang w:val="en-NZ"/>
              </w:rPr>
            </w:pPr>
            <w:r w:rsidRPr="00161AFC">
              <w:rPr>
                <w:lang w:val="en-NZ"/>
              </w:rPr>
              <w:t>Green Star Accredited Professional</w:t>
            </w:r>
          </w:p>
        </w:tc>
        <w:tc>
          <w:tcPr>
            <w:tcW w:w="5387" w:type="dxa"/>
          </w:tcPr>
          <w:p w14:paraId="2E974B27" w14:textId="77777777" w:rsidR="009B2C9A" w:rsidRPr="00161AFC" w:rsidRDefault="009B2C9A" w:rsidP="00232F7C">
            <w:pPr>
              <w:rPr>
                <w:lang w:val="en-NZ"/>
              </w:rPr>
            </w:pPr>
            <w:r w:rsidRPr="00161AFC">
              <w:rPr>
                <w:lang w:val="en-NZ"/>
              </w:rPr>
              <w:t xml:space="preserve">To recognise the appointment and active involvement of a Green Star Accredited Professional </w:t>
            </w:r>
            <w:proofErr w:type="gramStart"/>
            <w:r w:rsidRPr="00161AFC">
              <w:rPr>
                <w:lang w:val="en-NZ"/>
              </w:rPr>
              <w:t>in order to</w:t>
            </w:r>
            <w:proofErr w:type="gramEnd"/>
            <w:r w:rsidRPr="00161AFC">
              <w:rPr>
                <w:lang w:val="en-NZ"/>
              </w:rPr>
              <w:t xml:space="preserve"> ensure that the rating tool is applied effectively and as intended.</w:t>
            </w:r>
          </w:p>
        </w:tc>
        <w:tc>
          <w:tcPr>
            <w:tcW w:w="799" w:type="dxa"/>
          </w:tcPr>
          <w:p w14:paraId="7D2ADE32" w14:textId="77777777" w:rsidR="009B2C9A" w:rsidRPr="00161AFC" w:rsidRDefault="009B2C9A" w:rsidP="00232F7C">
            <w:pPr>
              <w:jc w:val="center"/>
              <w:rPr>
                <w:lang w:val="en-NZ"/>
              </w:rPr>
            </w:pPr>
            <w:r w:rsidRPr="00161AFC">
              <w:rPr>
                <w:lang w:val="en-NZ"/>
              </w:rPr>
              <w:t>1</w:t>
            </w:r>
          </w:p>
        </w:tc>
      </w:tr>
      <w:tr w:rsidR="009B2C9A" w14:paraId="0DC5AC70" w14:textId="77777777" w:rsidTr="00232F7C">
        <w:tc>
          <w:tcPr>
            <w:tcW w:w="2830" w:type="dxa"/>
          </w:tcPr>
          <w:p w14:paraId="0BEE6EF7" w14:textId="77777777" w:rsidR="009B2C9A" w:rsidRPr="00161AFC" w:rsidRDefault="009B2C9A" w:rsidP="00232F7C">
            <w:pPr>
              <w:rPr>
                <w:lang w:val="en-NZ"/>
              </w:rPr>
            </w:pPr>
            <w:r w:rsidRPr="00161AFC">
              <w:rPr>
                <w:lang w:val="en-NZ"/>
              </w:rPr>
              <w:t>Commissioning and Tuning</w:t>
            </w:r>
          </w:p>
        </w:tc>
        <w:tc>
          <w:tcPr>
            <w:tcW w:w="5387" w:type="dxa"/>
          </w:tcPr>
          <w:p w14:paraId="5523BDB1" w14:textId="77777777" w:rsidR="009B2C9A" w:rsidRPr="00161AFC" w:rsidRDefault="009B2C9A" w:rsidP="00232F7C">
            <w:pPr>
              <w:rPr>
                <w:lang w:val="en-NZ"/>
              </w:rPr>
            </w:pPr>
            <w:r w:rsidRPr="00161AFC">
              <w:rPr>
                <w:lang w:val="en-NZ"/>
              </w:rPr>
              <w:t>To encourage and recognise commissioning, handover and tuning initiatives that ensure all building services operate to their full potential.</w:t>
            </w:r>
          </w:p>
        </w:tc>
        <w:tc>
          <w:tcPr>
            <w:tcW w:w="799" w:type="dxa"/>
          </w:tcPr>
          <w:p w14:paraId="5730FF79" w14:textId="77777777" w:rsidR="009B2C9A" w:rsidRPr="00161AFC" w:rsidRDefault="009B2C9A" w:rsidP="00232F7C">
            <w:pPr>
              <w:jc w:val="center"/>
              <w:rPr>
                <w:lang w:val="en-NZ"/>
              </w:rPr>
            </w:pPr>
            <w:r w:rsidRPr="00161AFC">
              <w:rPr>
                <w:lang w:val="en-NZ"/>
              </w:rPr>
              <w:t>5</w:t>
            </w:r>
          </w:p>
        </w:tc>
      </w:tr>
      <w:tr w:rsidR="009B2C9A" w14:paraId="776B0445" w14:textId="77777777" w:rsidTr="00232F7C">
        <w:tc>
          <w:tcPr>
            <w:tcW w:w="2830" w:type="dxa"/>
          </w:tcPr>
          <w:p w14:paraId="7374F23E" w14:textId="77777777" w:rsidR="009B2C9A" w:rsidRPr="00161AFC" w:rsidRDefault="009B2C9A" w:rsidP="00232F7C">
            <w:pPr>
              <w:rPr>
                <w:lang w:val="en-NZ"/>
              </w:rPr>
            </w:pPr>
            <w:r w:rsidRPr="00161AFC">
              <w:rPr>
                <w:lang w:val="en-NZ"/>
              </w:rPr>
              <w:t>Adaptation and Resilience</w:t>
            </w:r>
          </w:p>
        </w:tc>
        <w:tc>
          <w:tcPr>
            <w:tcW w:w="5387" w:type="dxa"/>
          </w:tcPr>
          <w:p w14:paraId="687E1F25" w14:textId="77777777" w:rsidR="009B2C9A" w:rsidRPr="00161AFC" w:rsidRDefault="009B2C9A" w:rsidP="00232F7C">
            <w:pPr>
              <w:rPr>
                <w:lang w:val="en-NZ"/>
              </w:rPr>
            </w:pPr>
            <w:r w:rsidRPr="00161AFC">
              <w:rPr>
                <w:lang w:val="en-NZ"/>
              </w:rPr>
              <w:t>To encourage and recognise projects that are resilient to the impacts of a changing climate and natural disasters.</w:t>
            </w:r>
          </w:p>
        </w:tc>
        <w:tc>
          <w:tcPr>
            <w:tcW w:w="799" w:type="dxa"/>
          </w:tcPr>
          <w:p w14:paraId="497DBA90" w14:textId="77777777" w:rsidR="009B2C9A" w:rsidRPr="00161AFC" w:rsidRDefault="009B2C9A" w:rsidP="00232F7C">
            <w:pPr>
              <w:jc w:val="center"/>
              <w:rPr>
                <w:lang w:val="en-NZ"/>
              </w:rPr>
            </w:pPr>
            <w:r w:rsidRPr="00161AFC">
              <w:rPr>
                <w:lang w:val="en-NZ"/>
              </w:rPr>
              <w:t>2</w:t>
            </w:r>
          </w:p>
        </w:tc>
      </w:tr>
      <w:tr w:rsidR="009B2C9A" w14:paraId="46F3CEB9" w14:textId="77777777" w:rsidTr="00232F7C">
        <w:tc>
          <w:tcPr>
            <w:tcW w:w="2830" w:type="dxa"/>
          </w:tcPr>
          <w:p w14:paraId="5F8FC2BA" w14:textId="77777777" w:rsidR="009B2C9A" w:rsidRPr="00161AFC" w:rsidRDefault="009B2C9A" w:rsidP="00232F7C">
            <w:pPr>
              <w:rPr>
                <w:lang w:val="en-NZ"/>
              </w:rPr>
            </w:pPr>
            <w:r w:rsidRPr="00161AFC">
              <w:rPr>
                <w:lang w:val="en-NZ"/>
              </w:rPr>
              <w:t>Building Information</w:t>
            </w:r>
          </w:p>
        </w:tc>
        <w:tc>
          <w:tcPr>
            <w:tcW w:w="5387" w:type="dxa"/>
          </w:tcPr>
          <w:p w14:paraId="292E368F" w14:textId="77777777" w:rsidR="009B2C9A" w:rsidRPr="00161AFC" w:rsidRDefault="009B2C9A" w:rsidP="00232F7C">
            <w:pPr>
              <w:rPr>
                <w:lang w:val="en-NZ"/>
              </w:rPr>
            </w:pPr>
            <w:r w:rsidRPr="00161AFC">
              <w:rPr>
                <w:lang w:val="en-NZ"/>
              </w:rPr>
              <w:t>To recognise the development and provision of building information that facilitates understanding of a building's systems, operation and maintenance requirements, and environmental targets to enable the optimised performance.</w:t>
            </w:r>
          </w:p>
        </w:tc>
        <w:tc>
          <w:tcPr>
            <w:tcW w:w="799" w:type="dxa"/>
          </w:tcPr>
          <w:p w14:paraId="6CEFCF62" w14:textId="77777777" w:rsidR="009B2C9A" w:rsidRPr="00161AFC" w:rsidRDefault="009B2C9A" w:rsidP="00232F7C">
            <w:pPr>
              <w:jc w:val="center"/>
              <w:rPr>
                <w:lang w:val="en-NZ"/>
              </w:rPr>
            </w:pPr>
            <w:r w:rsidRPr="00161AFC">
              <w:rPr>
                <w:lang w:val="en-NZ"/>
              </w:rPr>
              <w:t>1</w:t>
            </w:r>
          </w:p>
        </w:tc>
      </w:tr>
      <w:tr w:rsidR="009B2C9A" w14:paraId="515C3430" w14:textId="77777777" w:rsidTr="00232F7C">
        <w:tc>
          <w:tcPr>
            <w:tcW w:w="2830" w:type="dxa"/>
          </w:tcPr>
          <w:p w14:paraId="124E6D3F" w14:textId="77777777" w:rsidR="009B2C9A" w:rsidRPr="00161AFC" w:rsidRDefault="009B2C9A" w:rsidP="00232F7C">
            <w:pPr>
              <w:rPr>
                <w:lang w:val="en-NZ"/>
              </w:rPr>
            </w:pPr>
            <w:r w:rsidRPr="00161AFC">
              <w:rPr>
                <w:lang w:val="en-NZ"/>
              </w:rPr>
              <w:t>Commitment to Performance</w:t>
            </w:r>
          </w:p>
        </w:tc>
        <w:tc>
          <w:tcPr>
            <w:tcW w:w="5387" w:type="dxa"/>
          </w:tcPr>
          <w:p w14:paraId="65C1BBC9" w14:textId="77777777" w:rsidR="009B2C9A" w:rsidRPr="00161AFC" w:rsidRDefault="009B2C9A" w:rsidP="00232F7C">
            <w:pPr>
              <w:rPr>
                <w:lang w:val="en-NZ"/>
              </w:rPr>
            </w:pPr>
            <w:r w:rsidRPr="00161AFC">
              <w:rPr>
                <w:lang w:val="en-NZ"/>
              </w:rPr>
              <w:t>To recognise practices that encourage building owners, building occupants and facilities management teams to set targets and monitor environmental performance in a collaborative way.</w:t>
            </w:r>
          </w:p>
        </w:tc>
        <w:tc>
          <w:tcPr>
            <w:tcW w:w="799" w:type="dxa"/>
          </w:tcPr>
          <w:p w14:paraId="544E0D2C" w14:textId="77777777" w:rsidR="009B2C9A" w:rsidRPr="00161AFC" w:rsidRDefault="009B2C9A" w:rsidP="00232F7C">
            <w:pPr>
              <w:jc w:val="center"/>
              <w:rPr>
                <w:lang w:val="en-NZ"/>
              </w:rPr>
            </w:pPr>
            <w:r w:rsidRPr="00161AFC">
              <w:rPr>
                <w:lang w:val="en-NZ"/>
              </w:rPr>
              <w:t>6</w:t>
            </w:r>
          </w:p>
        </w:tc>
      </w:tr>
      <w:tr w:rsidR="009B2C9A" w14:paraId="6A375315" w14:textId="77777777" w:rsidTr="00232F7C">
        <w:tc>
          <w:tcPr>
            <w:tcW w:w="2830" w:type="dxa"/>
          </w:tcPr>
          <w:p w14:paraId="594B0228" w14:textId="77777777" w:rsidR="009B2C9A" w:rsidRPr="00161AFC" w:rsidRDefault="009B2C9A" w:rsidP="00232F7C">
            <w:pPr>
              <w:rPr>
                <w:lang w:val="en-NZ"/>
              </w:rPr>
            </w:pPr>
            <w:r w:rsidRPr="00161AFC">
              <w:rPr>
                <w:lang w:val="en-NZ"/>
              </w:rPr>
              <w:t>Metering and Monitoring</w:t>
            </w:r>
          </w:p>
        </w:tc>
        <w:tc>
          <w:tcPr>
            <w:tcW w:w="5387" w:type="dxa"/>
          </w:tcPr>
          <w:p w14:paraId="2D9EA7E0" w14:textId="77777777" w:rsidR="009B2C9A" w:rsidRPr="00161AFC" w:rsidRDefault="009B2C9A" w:rsidP="00232F7C">
            <w:pPr>
              <w:rPr>
                <w:lang w:val="en-NZ"/>
              </w:rPr>
            </w:pPr>
            <w:r w:rsidRPr="00161AFC">
              <w:rPr>
                <w:lang w:val="en-NZ"/>
              </w:rPr>
              <w:t>To recognise the implementation of effective energy and water metering and monitoring systems.</w:t>
            </w:r>
          </w:p>
        </w:tc>
        <w:tc>
          <w:tcPr>
            <w:tcW w:w="799" w:type="dxa"/>
          </w:tcPr>
          <w:p w14:paraId="3A9B1311" w14:textId="77777777" w:rsidR="009B2C9A" w:rsidRPr="00161AFC" w:rsidRDefault="009B2C9A" w:rsidP="00232F7C">
            <w:pPr>
              <w:jc w:val="center"/>
              <w:rPr>
                <w:lang w:val="en-NZ"/>
              </w:rPr>
            </w:pPr>
            <w:r w:rsidRPr="00161AFC">
              <w:rPr>
                <w:lang w:val="en-NZ"/>
              </w:rPr>
              <w:t>2</w:t>
            </w:r>
          </w:p>
        </w:tc>
      </w:tr>
      <w:tr w:rsidR="009B2C9A" w14:paraId="32DAEFEE" w14:textId="77777777" w:rsidTr="00232F7C">
        <w:tc>
          <w:tcPr>
            <w:tcW w:w="2830" w:type="dxa"/>
          </w:tcPr>
          <w:p w14:paraId="677B39A6" w14:textId="77777777" w:rsidR="009B2C9A" w:rsidRPr="00161AFC" w:rsidRDefault="009B2C9A" w:rsidP="00232F7C">
            <w:pPr>
              <w:rPr>
                <w:lang w:val="en-NZ"/>
              </w:rPr>
            </w:pPr>
            <w:r w:rsidRPr="00161AFC">
              <w:rPr>
                <w:lang w:val="en-NZ"/>
              </w:rPr>
              <w:t>Responsible Construction Practices</w:t>
            </w:r>
          </w:p>
        </w:tc>
        <w:tc>
          <w:tcPr>
            <w:tcW w:w="5387" w:type="dxa"/>
          </w:tcPr>
          <w:p w14:paraId="7D5F7A28" w14:textId="77777777" w:rsidR="009B2C9A" w:rsidRPr="00161AFC" w:rsidRDefault="009B2C9A" w:rsidP="00232F7C">
            <w:pPr>
              <w:rPr>
                <w:lang w:val="en-NZ"/>
              </w:rPr>
            </w:pPr>
            <w:r w:rsidRPr="00161AFC">
              <w:rPr>
                <w:lang w:val="en-NZ"/>
              </w:rPr>
              <w:t>To reward projects that use best practice formal environmental management procedures during construction.</w:t>
            </w:r>
          </w:p>
        </w:tc>
        <w:tc>
          <w:tcPr>
            <w:tcW w:w="799" w:type="dxa"/>
          </w:tcPr>
          <w:p w14:paraId="52DE3D1A" w14:textId="77777777" w:rsidR="009B2C9A" w:rsidRPr="00161AFC" w:rsidRDefault="009B2C9A" w:rsidP="00232F7C">
            <w:pPr>
              <w:jc w:val="center"/>
              <w:rPr>
                <w:lang w:val="en-NZ"/>
              </w:rPr>
            </w:pPr>
            <w:r w:rsidRPr="00161AFC">
              <w:rPr>
                <w:lang w:val="en-NZ"/>
              </w:rPr>
              <w:t>2</w:t>
            </w:r>
          </w:p>
        </w:tc>
      </w:tr>
      <w:tr w:rsidR="009B2C9A" w14:paraId="623720EE" w14:textId="77777777" w:rsidTr="00232F7C">
        <w:tc>
          <w:tcPr>
            <w:tcW w:w="2830" w:type="dxa"/>
          </w:tcPr>
          <w:p w14:paraId="14333D01" w14:textId="77777777" w:rsidR="009B2C9A" w:rsidRPr="00161AFC" w:rsidRDefault="009B2C9A" w:rsidP="00232F7C">
            <w:pPr>
              <w:rPr>
                <w:lang w:val="en-NZ"/>
              </w:rPr>
            </w:pPr>
            <w:r w:rsidRPr="00161AFC">
              <w:rPr>
                <w:lang w:val="en-NZ"/>
              </w:rPr>
              <w:t>Operational Waste</w:t>
            </w:r>
          </w:p>
        </w:tc>
        <w:tc>
          <w:tcPr>
            <w:tcW w:w="5387" w:type="dxa"/>
          </w:tcPr>
          <w:p w14:paraId="0CB8040B" w14:textId="77777777" w:rsidR="009B2C9A" w:rsidRPr="00161AFC" w:rsidRDefault="009B2C9A" w:rsidP="00232F7C">
            <w:pPr>
              <w:rPr>
                <w:lang w:val="en-NZ"/>
              </w:rPr>
            </w:pPr>
            <w:r w:rsidRPr="00161AFC">
              <w:rPr>
                <w:lang w:val="en-NZ"/>
              </w:rPr>
              <w:t>To recognise projects that implement waste management plans that facilitate the re-use, upcycling, or conversion of waste into energy, and stewardship of items to reduce the quantity of outgoing waste.</w:t>
            </w:r>
          </w:p>
        </w:tc>
        <w:tc>
          <w:tcPr>
            <w:tcW w:w="799" w:type="dxa"/>
          </w:tcPr>
          <w:p w14:paraId="0A7FC1B6" w14:textId="77777777" w:rsidR="009B2C9A" w:rsidRPr="00161AFC" w:rsidRDefault="009B2C9A" w:rsidP="00232F7C">
            <w:pPr>
              <w:jc w:val="center"/>
              <w:rPr>
                <w:lang w:val="en-NZ"/>
              </w:rPr>
            </w:pPr>
            <w:r w:rsidRPr="00161AFC">
              <w:rPr>
                <w:lang w:val="en-NZ"/>
              </w:rPr>
              <w:t>1</w:t>
            </w:r>
          </w:p>
        </w:tc>
      </w:tr>
      <w:tr w:rsidR="009B2C9A" w14:paraId="6B1BE195" w14:textId="77777777" w:rsidTr="00232F7C">
        <w:tc>
          <w:tcPr>
            <w:tcW w:w="2830" w:type="dxa"/>
          </w:tcPr>
          <w:p w14:paraId="77F7450A" w14:textId="77777777" w:rsidR="009B2C9A" w:rsidRPr="00161AFC" w:rsidRDefault="009B2C9A" w:rsidP="00232F7C">
            <w:pPr>
              <w:rPr>
                <w:lang w:val="en-NZ"/>
              </w:rPr>
            </w:pPr>
            <w:r w:rsidRPr="00161AFC">
              <w:rPr>
                <w:lang w:val="en-NZ"/>
              </w:rPr>
              <w:t>Site Planning and Layout</w:t>
            </w:r>
          </w:p>
        </w:tc>
        <w:tc>
          <w:tcPr>
            <w:tcW w:w="5387" w:type="dxa"/>
          </w:tcPr>
          <w:p w14:paraId="64209721" w14:textId="77777777" w:rsidR="009B2C9A" w:rsidRPr="00161AFC" w:rsidRDefault="009B2C9A" w:rsidP="00232F7C">
            <w:pPr>
              <w:rPr>
                <w:lang w:val="en-NZ"/>
              </w:rPr>
            </w:pPr>
            <w:r w:rsidRPr="00161AFC">
              <w:rPr>
                <w:lang w:val="en-NZ"/>
              </w:rPr>
              <w:t>To recognise projects in which the activity of planning and detailed design for land use takes into consideration pedestrian safety, environmental protection, and ongoing snow management.</w:t>
            </w:r>
          </w:p>
        </w:tc>
        <w:tc>
          <w:tcPr>
            <w:tcW w:w="799" w:type="dxa"/>
          </w:tcPr>
          <w:p w14:paraId="5152A8A0" w14:textId="77777777" w:rsidR="009B2C9A" w:rsidRPr="00161AFC" w:rsidRDefault="009B2C9A" w:rsidP="00232F7C">
            <w:pPr>
              <w:jc w:val="center"/>
              <w:rPr>
                <w:lang w:val="en-NZ"/>
              </w:rPr>
            </w:pPr>
            <w:r w:rsidRPr="00161AFC">
              <w:rPr>
                <w:lang w:val="en-NZ"/>
              </w:rPr>
              <w:t>2</w:t>
            </w:r>
          </w:p>
        </w:tc>
      </w:tr>
      <w:tr w:rsidR="009B2C9A" w14:paraId="3F03A2AF" w14:textId="77777777" w:rsidTr="00232F7C">
        <w:tc>
          <w:tcPr>
            <w:tcW w:w="9016" w:type="dxa"/>
            <w:gridSpan w:val="3"/>
            <w:shd w:val="clear" w:color="auto" w:fill="D9D9D9" w:themeFill="background1" w:themeFillShade="D9"/>
          </w:tcPr>
          <w:p w14:paraId="27A9FAB4" w14:textId="77777777" w:rsidR="009B2C9A" w:rsidRPr="00161AFC" w:rsidRDefault="009B2C9A" w:rsidP="00232F7C">
            <w:pPr>
              <w:rPr>
                <w:lang w:val="en-NZ"/>
              </w:rPr>
            </w:pPr>
            <w:r w:rsidRPr="00161AFC">
              <w:rPr>
                <w:b/>
                <w:lang w:val="en-NZ"/>
              </w:rPr>
              <w:t>Occupant Health and Wellbeing</w:t>
            </w:r>
          </w:p>
        </w:tc>
      </w:tr>
      <w:tr w:rsidR="009B2C9A" w14:paraId="754C5651" w14:textId="77777777" w:rsidTr="00232F7C">
        <w:tc>
          <w:tcPr>
            <w:tcW w:w="2830" w:type="dxa"/>
          </w:tcPr>
          <w:p w14:paraId="0984DE82" w14:textId="77777777" w:rsidR="009B2C9A" w:rsidRPr="00161AFC" w:rsidRDefault="009B2C9A" w:rsidP="00232F7C">
            <w:pPr>
              <w:rPr>
                <w:lang w:val="en-NZ"/>
              </w:rPr>
            </w:pPr>
            <w:r w:rsidRPr="00161AFC">
              <w:rPr>
                <w:lang w:val="en-NZ"/>
              </w:rPr>
              <w:t>Quality of Amenities</w:t>
            </w:r>
          </w:p>
        </w:tc>
        <w:tc>
          <w:tcPr>
            <w:tcW w:w="5387" w:type="dxa"/>
          </w:tcPr>
          <w:p w14:paraId="4958C6EA" w14:textId="77777777" w:rsidR="009B2C9A" w:rsidRPr="00161AFC" w:rsidRDefault="009B2C9A" w:rsidP="00232F7C">
            <w:pPr>
              <w:rPr>
                <w:lang w:val="en-NZ"/>
              </w:rPr>
            </w:pPr>
            <w:r w:rsidRPr="00161AFC">
              <w:rPr>
                <w:lang w:val="en-NZ"/>
              </w:rPr>
              <w:t>To encourage and recognise projects that promote healthy and active living through the provision of high-quality amenities for occupants' use and a Health and Wellbeing Policy or Plan is in place to support the successful operation of these amenities.</w:t>
            </w:r>
          </w:p>
        </w:tc>
        <w:tc>
          <w:tcPr>
            <w:tcW w:w="799" w:type="dxa"/>
          </w:tcPr>
          <w:p w14:paraId="6DD3E6DB" w14:textId="77777777" w:rsidR="009B2C9A" w:rsidRPr="00161AFC" w:rsidRDefault="009B2C9A" w:rsidP="00232F7C">
            <w:pPr>
              <w:jc w:val="center"/>
              <w:rPr>
                <w:lang w:val="en-NZ"/>
              </w:rPr>
            </w:pPr>
            <w:r w:rsidRPr="00161AFC">
              <w:rPr>
                <w:lang w:val="en-NZ"/>
              </w:rPr>
              <w:t>2</w:t>
            </w:r>
          </w:p>
        </w:tc>
      </w:tr>
      <w:tr w:rsidR="009B2C9A" w14:paraId="6E7EAB7F" w14:textId="77777777" w:rsidTr="00232F7C">
        <w:tc>
          <w:tcPr>
            <w:tcW w:w="2830" w:type="dxa"/>
          </w:tcPr>
          <w:p w14:paraId="0C985DE3" w14:textId="77777777" w:rsidR="009B2C9A" w:rsidRPr="00161AFC" w:rsidRDefault="009B2C9A" w:rsidP="00232F7C">
            <w:pPr>
              <w:rPr>
                <w:lang w:val="en-NZ"/>
              </w:rPr>
            </w:pPr>
            <w:r w:rsidRPr="00161AFC">
              <w:rPr>
                <w:lang w:val="en-NZ"/>
              </w:rPr>
              <w:t>Emergency Preparedness</w:t>
            </w:r>
          </w:p>
        </w:tc>
        <w:tc>
          <w:tcPr>
            <w:tcW w:w="5387" w:type="dxa"/>
          </w:tcPr>
          <w:p w14:paraId="4C5675B3" w14:textId="77777777" w:rsidR="009B2C9A" w:rsidRPr="00161AFC" w:rsidRDefault="009B2C9A" w:rsidP="00232F7C">
            <w:pPr>
              <w:rPr>
                <w:lang w:val="en-NZ"/>
              </w:rPr>
            </w:pPr>
            <w:r w:rsidRPr="00161AFC">
              <w:rPr>
                <w:lang w:val="en-NZ"/>
              </w:rPr>
              <w:t>To encourage projects to provide safe facilities and procedures to prevent emergency situations and to ensure life safety during and following emergency events.</w:t>
            </w:r>
          </w:p>
        </w:tc>
        <w:tc>
          <w:tcPr>
            <w:tcW w:w="799" w:type="dxa"/>
          </w:tcPr>
          <w:p w14:paraId="2BEE42A0" w14:textId="77777777" w:rsidR="009B2C9A" w:rsidRPr="00161AFC" w:rsidRDefault="009B2C9A" w:rsidP="00232F7C">
            <w:pPr>
              <w:jc w:val="center"/>
              <w:rPr>
                <w:lang w:val="en-NZ"/>
              </w:rPr>
            </w:pPr>
            <w:r w:rsidRPr="00161AFC">
              <w:rPr>
                <w:lang w:val="en-NZ"/>
              </w:rPr>
              <w:t>2</w:t>
            </w:r>
          </w:p>
        </w:tc>
      </w:tr>
      <w:tr w:rsidR="009B2C9A" w14:paraId="30A2AC65" w14:textId="77777777" w:rsidTr="00232F7C">
        <w:tc>
          <w:tcPr>
            <w:tcW w:w="2830" w:type="dxa"/>
          </w:tcPr>
          <w:p w14:paraId="0C8609E5" w14:textId="77777777" w:rsidR="009B2C9A" w:rsidRPr="00161AFC" w:rsidRDefault="009B2C9A" w:rsidP="00232F7C">
            <w:pPr>
              <w:rPr>
                <w:lang w:val="en-NZ"/>
              </w:rPr>
            </w:pPr>
            <w:r w:rsidRPr="00161AFC">
              <w:rPr>
                <w:lang w:val="en-NZ"/>
              </w:rPr>
              <w:t>Indoor Air Quality</w:t>
            </w:r>
          </w:p>
        </w:tc>
        <w:tc>
          <w:tcPr>
            <w:tcW w:w="5387" w:type="dxa"/>
          </w:tcPr>
          <w:p w14:paraId="0D365941" w14:textId="77777777" w:rsidR="009B2C9A" w:rsidRPr="00161AFC" w:rsidRDefault="009B2C9A" w:rsidP="00232F7C">
            <w:pPr>
              <w:tabs>
                <w:tab w:val="left" w:pos="1080"/>
              </w:tabs>
              <w:rPr>
                <w:lang w:val="en-NZ"/>
              </w:rPr>
            </w:pPr>
            <w:r w:rsidRPr="00161AFC">
              <w:rPr>
                <w:lang w:val="en-NZ"/>
              </w:rPr>
              <w:t>To recognise projects that provide high air quality to occupants.</w:t>
            </w:r>
          </w:p>
        </w:tc>
        <w:tc>
          <w:tcPr>
            <w:tcW w:w="799" w:type="dxa"/>
          </w:tcPr>
          <w:p w14:paraId="790ADBE4" w14:textId="77777777" w:rsidR="009B2C9A" w:rsidRPr="00161AFC" w:rsidRDefault="009B2C9A" w:rsidP="00232F7C">
            <w:pPr>
              <w:jc w:val="center"/>
              <w:rPr>
                <w:lang w:val="en-NZ"/>
              </w:rPr>
            </w:pPr>
            <w:r w:rsidRPr="00161AFC">
              <w:rPr>
                <w:lang w:val="en-NZ"/>
              </w:rPr>
              <w:t>3</w:t>
            </w:r>
          </w:p>
        </w:tc>
      </w:tr>
      <w:tr w:rsidR="009B2C9A" w14:paraId="1FFA9A47" w14:textId="77777777" w:rsidTr="00232F7C">
        <w:tc>
          <w:tcPr>
            <w:tcW w:w="2830" w:type="dxa"/>
          </w:tcPr>
          <w:p w14:paraId="6BBC6E30" w14:textId="77777777" w:rsidR="009B2C9A" w:rsidRPr="00161AFC" w:rsidRDefault="009B2C9A" w:rsidP="00232F7C">
            <w:pPr>
              <w:rPr>
                <w:lang w:val="en-NZ"/>
              </w:rPr>
            </w:pPr>
            <w:r w:rsidRPr="00161AFC">
              <w:rPr>
                <w:lang w:val="en-NZ"/>
              </w:rPr>
              <w:t>Acoustic Comfort</w:t>
            </w:r>
          </w:p>
        </w:tc>
        <w:tc>
          <w:tcPr>
            <w:tcW w:w="5387" w:type="dxa"/>
          </w:tcPr>
          <w:p w14:paraId="36DC1CED" w14:textId="77777777" w:rsidR="009B2C9A" w:rsidRPr="00161AFC" w:rsidRDefault="009B2C9A" w:rsidP="00232F7C">
            <w:pPr>
              <w:rPr>
                <w:lang w:val="en-NZ"/>
              </w:rPr>
            </w:pPr>
            <w:r w:rsidRPr="00161AFC">
              <w:rPr>
                <w:lang w:val="en-NZ"/>
              </w:rPr>
              <w:t>To reward projects that provide appropriate and comfortable acoustic conditions for occupants.</w:t>
            </w:r>
          </w:p>
        </w:tc>
        <w:tc>
          <w:tcPr>
            <w:tcW w:w="799" w:type="dxa"/>
          </w:tcPr>
          <w:p w14:paraId="354E82BF" w14:textId="77777777" w:rsidR="009B2C9A" w:rsidRPr="00161AFC" w:rsidRDefault="009B2C9A" w:rsidP="00232F7C">
            <w:pPr>
              <w:jc w:val="center"/>
              <w:rPr>
                <w:lang w:val="en-NZ"/>
              </w:rPr>
            </w:pPr>
            <w:r w:rsidRPr="00161AFC">
              <w:rPr>
                <w:lang w:val="en-NZ"/>
              </w:rPr>
              <w:t>3</w:t>
            </w:r>
          </w:p>
        </w:tc>
      </w:tr>
      <w:tr w:rsidR="009B2C9A" w14:paraId="6F24D13F" w14:textId="77777777" w:rsidTr="00232F7C">
        <w:tc>
          <w:tcPr>
            <w:tcW w:w="2830" w:type="dxa"/>
          </w:tcPr>
          <w:p w14:paraId="6BFD54CE" w14:textId="77777777" w:rsidR="009B2C9A" w:rsidRPr="00161AFC" w:rsidRDefault="009B2C9A" w:rsidP="00232F7C">
            <w:pPr>
              <w:rPr>
                <w:lang w:val="en-NZ"/>
              </w:rPr>
            </w:pPr>
            <w:r w:rsidRPr="00161AFC">
              <w:rPr>
                <w:lang w:val="en-NZ"/>
              </w:rPr>
              <w:t>Lighting Control</w:t>
            </w:r>
          </w:p>
        </w:tc>
        <w:tc>
          <w:tcPr>
            <w:tcW w:w="5387" w:type="dxa"/>
          </w:tcPr>
          <w:p w14:paraId="70AB59D2" w14:textId="77777777" w:rsidR="009B2C9A" w:rsidRPr="00161AFC" w:rsidRDefault="009B2C9A" w:rsidP="00232F7C">
            <w:pPr>
              <w:rPr>
                <w:lang w:val="en-NZ"/>
              </w:rPr>
            </w:pPr>
            <w:r w:rsidRPr="00161AFC">
              <w:rPr>
                <w:lang w:val="en-NZ"/>
              </w:rPr>
              <w:t>To encourage and recognise well-lit spaces that provide a high degree of comfort to users.</w:t>
            </w:r>
          </w:p>
        </w:tc>
        <w:tc>
          <w:tcPr>
            <w:tcW w:w="799" w:type="dxa"/>
          </w:tcPr>
          <w:p w14:paraId="78A1B835" w14:textId="77777777" w:rsidR="009B2C9A" w:rsidRPr="00161AFC" w:rsidRDefault="009B2C9A" w:rsidP="00232F7C">
            <w:pPr>
              <w:jc w:val="center"/>
              <w:rPr>
                <w:lang w:val="en-NZ"/>
              </w:rPr>
            </w:pPr>
            <w:r w:rsidRPr="00161AFC">
              <w:rPr>
                <w:lang w:val="en-NZ"/>
              </w:rPr>
              <w:t>3</w:t>
            </w:r>
          </w:p>
        </w:tc>
      </w:tr>
      <w:tr w:rsidR="009B2C9A" w14:paraId="2E77F28F" w14:textId="77777777" w:rsidTr="00232F7C">
        <w:tc>
          <w:tcPr>
            <w:tcW w:w="2830" w:type="dxa"/>
          </w:tcPr>
          <w:p w14:paraId="727C51CC" w14:textId="77777777" w:rsidR="009B2C9A" w:rsidRPr="00161AFC" w:rsidRDefault="009B2C9A" w:rsidP="00232F7C">
            <w:pPr>
              <w:rPr>
                <w:lang w:val="en-NZ"/>
              </w:rPr>
            </w:pPr>
            <w:r w:rsidRPr="00161AFC">
              <w:rPr>
                <w:lang w:val="en-NZ"/>
              </w:rPr>
              <w:t>Visual Comfort</w:t>
            </w:r>
          </w:p>
        </w:tc>
        <w:tc>
          <w:tcPr>
            <w:tcW w:w="5387" w:type="dxa"/>
          </w:tcPr>
          <w:p w14:paraId="265AFF50" w14:textId="77777777" w:rsidR="009B2C9A" w:rsidRPr="00161AFC" w:rsidRDefault="009B2C9A" w:rsidP="00232F7C">
            <w:pPr>
              <w:rPr>
                <w:lang w:val="en-NZ"/>
              </w:rPr>
            </w:pPr>
            <w:r w:rsidRPr="00161AFC">
              <w:rPr>
                <w:lang w:val="en-NZ"/>
              </w:rPr>
              <w:t>To recognise the delivery of well-lit spaces that provide high levels of visual comfort to, and that support the natural circadian rhythm of, building occupants.</w:t>
            </w:r>
          </w:p>
        </w:tc>
        <w:tc>
          <w:tcPr>
            <w:tcW w:w="799" w:type="dxa"/>
          </w:tcPr>
          <w:p w14:paraId="0C0171D0" w14:textId="77777777" w:rsidR="009B2C9A" w:rsidRPr="00161AFC" w:rsidRDefault="009B2C9A" w:rsidP="00232F7C">
            <w:pPr>
              <w:jc w:val="center"/>
              <w:rPr>
                <w:lang w:val="en-NZ"/>
              </w:rPr>
            </w:pPr>
            <w:r w:rsidRPr="00161AFC">
              <w:rPr>
                <w:lang w:val="en-NZ"/>
              </w:rPr>
              <w:t>5</w:t>
            </w:r>
          </w:p>
        </w:tc>
      </w:tr>
      <w:tr w:rsidR="009B2C9A" w14:paraId="071D39F8" w14:textId="77777777" w:rsidTr="00232F7C">
        <w:tc>
          <w:tcPr>
            <w:tcW w:w="2830" w:type="dxa"/>
          </w:tcPr>
          <w:p w14:paraId="4AA1220E" w14:textId="77777777" w:rsidR="009B2C9A" w:rsidRPr="00161AFC" w:rsidRDefault="009B2C9A" w:rsidP="00232F7C">
            <w:pPr>
              <w:rPr>
                <w:lang w:val="en-NZ"/>
              </w:rPr>
            </w:pPr>
            <w:r w:rsidRPr="00161AFC">
              <w:rPr>
                <w:lang w:val="en-NZ"/>
              </w:rPr>
              <w:t>Sensory Environment</w:t>
            </w:r>
          </w:p>
        </w:tc>
        <w:tc>
          <w:tcPr>
            <w:tcW w:w="5387" w:type="dxa"/>
          </w:tcPr>
          <w:p w14:paraId="22A43F37" w14:textId="77777777" w:rsidR="009B2C9A" w:rsidRPr="00161AFC" w:rsidRDefault="009B2C9A" w:rsidP="00232F7C">
            <w:pPr>
              <w:rPr>
                <w:lang w:val="en-NZ"/>
              </w:rPr>
            </w:pPr>
            <w:r w:rsidRPr="00161AFC">
              <w:rPr>
                <w:lang w:val="en-NZ"/>
              </w:rPr>
              <w:t>To recognise the delivery of projects that consider all the senses to provide high levels of sensory comfort to building occupants.</w:t>
            </w:r>
          </w:p>
        </w:tc>
        <w:tc>
          <w:tcPr>
            <w:tcW w:w="799" w:type="dxa"/>
          </w:tcPr>
          <w:p w14:paraId="1219E970" w14:textId="77777777" w:rsidR="009B2C9A" w:rsidRPr="00161AFC" w:rsidRDefault="009B2C9A" w:rsidP="00232F7C">
            <w:pPr>
              <w:jc w:val="center"/>
              <w:rPr>
                <w:lang w:val="en-NZ"/>
              </w:rPr>
            </w:pPr>
            <w:r w:rsidRPr="00161AFC">
              <w:rPr>
                <w:lang w:val="en-NZ"/>
              </w:rPr>
              <w:t>1</w:t>
            </w:r>
          </w:p>
        </w:tc>
      </w:tr>
      <w:tr w:rsidR="009B2C9A" w14:paraId="63AABF1F" w14:textId="77777777" w:rsidTr="00232F7C">
        <w:tc>
          <w:tcPr>
            <w:tcW w:w="2830" w:type="dxa"/>
          </w:tcPr>
          <w:p w14:paraId="07458F20" w14:textId="77777777" w:rsidR="009B2C9A" w:rsidRPr="00161AFC" w:rsidRDefault="009B2C9A" w:rsidP="00232F7C">
            <w:pPr>
              <w:rPr>
                <w:lang w:val="en-NZ"/>
              </w:rPr>
            </w:pPr>
            <w:r w:rsidRPr="00161AFC">
              <w:rPr>
                <w:lang w:val="en-NZ"/>
              </w:rPr>
              <w:lastRenderedPageBreak/>
              <w:t>Indoor Pollutants</w:t>
            </w:r>
          </w:p>
        </w:tc>
        <w:tc>
          <w:tcPr>
            <w:tcW w:w="5387" w:type="dxa"/>
          </w:tcPr>
          <w:p w14:paraId="129082AA" w14:textId="77777777" w:rsidR="009B2C9A" w:rsidRPr="00161AFC" w:rsidRDefault="009B2C9A" w:rsidP="00232F7C">
            <w:pPr>
              <w:rPr>
                <w:lang w:val="en-NZ"/>
              </w:rPr>
            </w:pPr>
            <w:r w:rsidRPr="00161AFC">
              <w:rPr>
                <w:lang w:val="en-NZ"/>
              </w:rPr>
              <w:t>To recognise projects that safeguard occupant health through the reduction in internal air pollutant levels.</w:t>
            </w:r>
          </w:p>
        </w:tc>
        <w:tc>
          <w:tcPr>
            <w:tcW w:w="799" w:type="dxa"/>
          </w:tcPr>
          <w:p w14:paraId="4CF16489" w14:textId="77777777" w:rsidR="009B2C9A" w:rsidRPr="00161AFC" w:rsidRDefault="009B2C9A" w:rsidP="00232F7C">
            <w:pPr>
              <w:jc w:val="center"/>
              <w:rPr>
                <w:lang w:val="en-NZ"/>
              </w:rPr>
            </w:pPr>
            <w:r w:rsidRPr="00161AFC">
              <w:rPr>
                <w:lang w:val="en-NZ"/>
              </w:rPr>
              <w:t>2</w:t>
            </w:r>
          </w:p>
        </w:tc>
      </w:tr>
      <w:tr w:rsidR="009B2C9A" w14:paraId="190F2EEC" w14:textId="77777777" w:rsidTr="00232F7C">
        <w:tc>
          <w:tcPr>
            <w:tcW w:w="2830" w:type="dxa"/>
          </w:tcPr>
          <w:p w14:paraId="287302EC" w14:textId="77777777" w:rsidR="009B2C9A" w:rsidRPr="00161AFC" w:rsidRDefault="009B2C9A" w:rsidP="00232F7C">
            <w:pPr>
              <w:rPr>
                <w:lang w:val="en-NZ"/>
              </w:rPr>
            </w:pPr>
            <w:r w:rsidRPr="00161AFC">
              <w:rPr>
                <w:lang w:val="en-NZ"/>
              </w:rPr>
              <w:t>Thermal Comfort</w:t>
            </w:r>
          </w:p>
        </w:tc>
        <w:tc>
          <w:tcPr>
            <w:tcW w:w="5387" w:type="dxa"/>
          </w:tcPr>
          <w:p w14:paraId="5F43D879" w14:textId="77777777" w:rsidR="009B2C9A" w:rsidRPr="00161AFC" w:rsidRDefault="009B2C9A" w:rsidP="00232F7C">
            <w:pPr>
              <w:rPr>
                <w:lang w:val="en-NZ"/>
              </w:rPr>
            </w:pPr>
            <w:r w:rsidRPr="00161AFC">
              <w:rPr>
                <w:lang w:val="en-NZ"/>
              </w:rPr>
              <w:t>To encourage and recognise projects that achieve high levels of thermal comfort.</w:t>
            </w:r>
          </w:p>
        </w:tc>
        <w:tc>
          <w:tcPr>
            <w:tcW w:w="799" w:type="dxa"/>
          </w:tcPr>
          <w:p w14:paraId="48D47166" w14:textId="77777777" w:rsidR="009B2C9A" w:rsidRPr="00161AFC" w:rsidRDefault="009B2C9A" w:rsidP="00232F7C">
            <w:pPr>
              <w:jc w:val="center"/>
              <w:rPr>
                <w:lang w:val="en-NZ"/>
              </w:rPr>
            </w:pPr>
            <w:r w:rsidRPr="00161AFC">
              <w:rPr>
                <w:lang w:val="en-NZ"/>
              </w:rPr>
              <w:t>3</w:t>
            </w:r>
          </w:p>
        </w:tc>
      </w:tr>
      <w:tr w:rsidR="009B2C9A" w14:paraId="42F49BDC" w14:textId="77777777" w:rsidTr="00232F7C">
        <w:tc>
          <w:tcPr>
            <w:tcW w:w="2830" w:type="dxa"/>
          </w:tcPr>
          <w:p w14:paraId="7687D78B" w14:textId="77777777" w:rsidR="009B2C9A" w:rsidRPr="00161AFC" w:rsidRDefault="009B2C9A" w:rsidP="00232F7C">
            <w:pPr>
              <w:rPr>
                <w:lang w:val="en-NZ"/>
              </w:rPr>
            </w:pPr>
            <w:r w:rsidRPr="00161AFC">
              <w:rPr>
                <w:lang w:val="en-NZ"/>
              </w:rPr>
              <w:t>Universal Design</w:t>
            </w:r>
          </w:p>
        </w:tc>
        <w:tc>
          <w:tcPr>
            <w:tcW w:w="5387" w:type="dxa"/>
          </w:tcPr>
          <w:p w14:paraId="5464D818" w14:textId="77777777" w:rsidR="009B2C9A" w:rsidRPr="00161AFC" w:rsidRDefault="009B2C9A" w:rsidP="00232F7C">
            <w:pPr>
              <w:rPr>
                <w:lang w:val="en-NZ"/>
              </w:rPr>
            </w:pPr>
            <w:r w:rsidRPr="00161AFC">
              <w:rPr>
                <w:lang w:val="en-NZ"/>
              </w:rPr>
              <w:t>To encourage projects to provide safe, equitable and dignified access for persons with disabilities.</w:t>
            </w:r>
          </w:p>
        </w:tc>
        <w:tc>
          <w:tcPr>
            <w:tcW w:w="799" w:type="dxa"/>
          </w:tcPr>
          <w:p w14:paraId="3BC30070" w14:textId="77777777" w:rsidR="009B2C9A" w:rsidRPr="00161AFC" w:rsidRDefault="009B2C9A" w:rsidP="00232F7C">
            <w:pPr>
              <w:jc w:val="center"/>
              <w:rPr>
                <w:lang w:val="en-NZ"/>
              </w:rPr>
            </w:pPr>
            <w:r w:rsidRPr="00161AFC">
              <w:rPr>
                <w:lang w:val="en-NZ"/>
              </w:rPr>
              <w:t>1</w:t>
            </w:r>
          </w:p>
        </w:tc>
      </w:tr>
      <w:tr w:rsidR="009B2C9A" w14:paraId="1324039B" w14:textId="77777777" w:rsidTr="00232F7C">
        <w:tc>
          <w:tcPr>
            <w:tcW w:w="9016" w:type="dxa"/>
            <w:gridSpan w:val="3"/>
            <w:shd w:val="clear" w:color="auto" w:fill="D9D9D9" w:themeFill="background1" w:themeFillShade="D9"/>
          </w:tcPr>
          <w:p w14:paraId="3D0C123A" w14:textId="77777777" w:rsidR="009B2C9A" w:rsidRPr="00161AFC" w:rsidRDefault="009B2C9A" w:rsidP="00232F7C">
            <w:pPr>
              <w:rPr>
                <w:lang w:val="en-NZ"/>
              </w:rPr>
            </w:pPr>
            <w:r w:rsidRPr="00161AFC">
              <w:rPr>
                <w:b/>
                <w:lang w:val="en-NZ"/>
              </w:rPr>
              <w:t>Energy</w:t>
            </w:r>
          </w:p>
        </w:tc>
      </w:tr>
      <w:tr w:rsidR="009B2C9A" w14:paraId="33B0C9AF" w14:textId="77777777" w:rsidTr="00232F7C">
        <w:tc>
          <w:tcPr>
            <w:tcW w:w="2830" w:type="dxa"/>
          </w:tcPr>
          <w:p w14:paraId="67AAFE30" w14:textId="77777777" w:rsidR="009B2C9A" w:rsidRPr="00161AFC" w:rsidRDefault="009B2C9A" w:rsidP="00232F7C">
            <w:pPr>
              <w:rPr>
                <w:lang w:val="en-NZ"/>
              </w:rPr>
            </w:pPr>
            <w:r w:rsidRPr="00161AFC">
              <w:rPr>
                <w:lang w:val="en-NZ"/>
              </w:rPr>
              <w:t>Greenhouse Gas Emissions</w:t>
            </w:r>
          </w:p>
        </w:tc>
        <w:tc>
          <w:tcPr>
            <w:tcW w:w="5387" w:type="dxa"/>
          </w:tcPr>
          <w:p w14:paraId="25E67013" w14:textId="77777777" w:rsidR="009B2C9A" w:rsidRPr="00161AFC" w:rsidRDefault="009B2C9A" w:rsidP="00232F7C">
            <w:pPr>
              <w:rPr>
                <w:lang w:val="en-NZ"/>
              </w:rPr>
            </w:pPr>
            <w:r w:rsidRPr="00161AFC">
              <w:rPr>
                <w:lang w:val="en-NZ"/>
              </w:rPr>
              <w:t>To encourage energy efficient buildings and the reduction of greenhouse gas (GHG) emissions associated with the use of energy in building operations.</w:t>
            </w:r>
          </w:p>
        </w:tc>
        <w:tc>
          <w:tcPr>
            <w:tcW w:w="799" w:type="dxa"/>
          </w:tcPr>
          <w:p w14:paraId="14664D51" w14:textId="77777777" w:rsidR="009B2C9A" w:rsidRPr="00161AFC" w:rsidRDefault="009B2C9A" w:rsidP="00232F7C">
            <w:pPr>
              <w:jc w:val="center"/>
              <w:rPr>
                <w:lang w:val="en-NZ"/>
              </w:rPr>
            </w:pPr>
            <w:r w:rsidRPr="00161AFC">
              <w:rPr>
                <w:lang w:val="en-NZ"/>
              </w:rPr>
              <w:t>20</w:t>
            </w:r>
          </w:p>
        </w:tc>
      </w:tr>
      <w:tr w:rsidR="009B2C9A" w14:paraId="698E27A9" w14:textId="77777777" w:rsidTr="00232F7C">
        <w:tc>
          <w:tcPr>
            <w:tcW w:w="2830" w:type="dxa"/>
          </w:tcPr>
          <w:p w14:paraId="20360D53" w14:textId="77777777" w:rsidR="009B2C9A" w:rsidRPr="00161AFC" w:rsidRDefault="009B2C9A" w:rsidP="00232F7C">
            <w:pPr>
              <w:rPr>
                <w:lang w:val="en-NZ"/>
              </w:rPr>
            </w:pPr>
            <w:r w:rsidRPr="00161AFC">
              <w:rPr>
                <w:lang w:val="en-NZ"/>
              </w:rPr>
              <w:t>Peak Electricity Demand Reduction</w:t>
            </w:r>
          </w:p>
        </w:tc>
        <w:tc>
          <w:tcPr>
            <w:tcW w:w="5387" w:type="dxa"/>
          </w:tcPr>
          <w:p w14:paraId="54A9FF52" w14:textId="77777777" w:rsidR="009B2C9A" w:rsidRPr="00161AFC" w:rsidRDefault="009B2C9A" w:rsidP="00232F7C">
            <w:pPr>
              <w:rPr>
                <w:lang w:val="en-NZ"/>
              </w:rPr>
            </w:pPr>
            <w:r w:rsidRPr="00161AFC">
              <w:rPr>
                <w:lang w:val="en-NZ"/>
              </w:rPr>
              <w:t>To encourage the reduction of peak demand load on the electricity network infrastructure.</w:t>
            </w:r>
          </w:p>
        </w:tc>
        <w:tc>
          <w:tcPr>
            <w:tcW w:w="799" w:type="dxa"/>
          </w:tcPr>
          <w:p w14:paraId="18B4C249" w14:textId="77777777" w:rsidR="009B2C9A" w:rsidRPr="00161AFC" w:rsidRDefault="009B2C9A" w:rsidP="00232F7C">
            <w:pPr>
              <w:jc w:val="center"/>
              <w:rPr>
                <w:lang w:val="en-NZ"/>
              </w:rPr>
            </w:pPr>
            <w:r w:rsidRPr="00161AFC">
              <w:rPr>
                <w:lang w:val="en-NZ"/>
              </w:rPr>
              <w:t>2</w:t>
            </w:r>
          </w:p>
        </w:tc>
      </w:tr>
      <w:tr w:rsidR="009B2C9A" w14:paraId="104BB8FD" w14:textId="77777777" w:rsidTr="00232F7C">
        <w:tc>
          <w:tcPr>
            <w:tcW w:w="9016" w:type="dxa"/>
            <w:gridSpan w:val="3"/>
            <w:shd w:val="clear" w:color="auto" w:fill="D9D9D9" w:themeFill="background1" w:themeFillShade="D9"/>
          </w:tcPr>
          <w:p w14:paraId="0D9460A1" w14:textId="77777777" w:rsidR="009B2C9A" w:rsidRPr="00161AFC" w:rsidRDefault="009B2C9A" w:rsidP="00232F7C">
            <w:pPr>
              <w:rPr>
                <w:lang w:val="en-NZ"/>
              </w:rPr>
            </w:pPr>
            <w:r w:rsidRPr="00161AFC">
              <w:rPr>
                <w:b/>
                <w:lang w:val="en-NZ"/>
              </w:rPr>
              <w:t>Water</w:t>
            </w:r>
          </w:p>
        </w:tc>
      </w:tr>
      <w:tr w:rsidR="009B2C9A" w14:paraId="4202FA26" w14:textId="77777777" w:rsidTr="00232F7C">
        <w:tc>
          <w:tcPr>
            <w:tcW w:w="2830" w:type="dxa"/>
          </w:tcPr>
          <w:p w14:paraId="440473BD" w14:textId="77777777" w:rsidR="009B2C9A" w:rsidRPr="00161AFC" w:rsidRDefault="009B2C9A" w:rsidP="00232F7C">
            <w:pPr>
              <w:rPr>
                <w:lang w:val="en-NZ"/>
              </w:rPr>
            </w:pPr>
            <w:r w:rsidRPr="00161AFC">
              <w:rPr>
                <w:lang w:val="en-NZ"/>
              </w:rPr>
              <w:t>Potable Water</w:t>
            </w:r>
          </w:p>
        </w:tc>
        <w:tc>
          <w:tcPr>
            <w:tcW w:w="5387" w:type="dxa"/>
          </w:tcPr>
          <w:p w14:paraId="79D8EB7B" w14:textId="77777777" w:rsidR="009B2C9A" w:rsidRPr="00161AFC" w:rsidRDefault="009B2C9A" w:rsidP="00232F7C">
            <w:pPr>
              <w:rPr>
                <w:lang w:val="en-NZ"/>
              </w:rPr>
            </w:pPr>
            <w:r w:rsidRPr="00161AFC">
              <w:rPr>
                <w:lang w:val="en-NZ"/>
              </w:rPr>
              <w:t xml:space="preserve">To encourage building design that minimises potable water consumption in operations. </w:t>
            </w:r>
          </w:p>
        </w:tc>
        <w:tc>
          <w:tcPr>
            <w:tcW w:w="799" w:type="dxa"/>
          </w:tcPr>
          <w:p w14:paraId="11CEB503" w14:textId="77777777" w:rsidR="009B2C9A" w:rsidRPr="00161AFC" w:rsidRDefault="009B2C9A" w:rsidP="00232F7C">
            <w:pPr>
              <w:jc w:val="center"/>
              <w:rPr>
                <w:lang w:val="en-NZ"/>
              </w:rPr>
            </w:pPr>
            <w:r w:rsidRPr="00161AFC">
              <w:rPr>
                <w:lang w:val="en-NZ"/>
              </w:rPr>
              <w:t>8</w:t>
            </w:r>
          </w:p>
        </w:tc>
      </w:tr>
      <w:tr w:rsidR="009B2C9A" w14:paraId="3D77FF9B" w14:textId="77777777" w:rsidTr="00232F7C">
        <w:tc>
          <w:tcPr>
            <w:tcW w:w="9016" w:type="dxa"/>
            <w:gridSpan w:val="3"/>
            <w:shd w:val="clear" w:color="auto" w:fill="D9D9D9" w:themeFill="background1" w:themeFillShade="D9"/>
          </w:tcPr>
          <w:p w14:paraId="07435747" w14:textId="77777777" w:rsidR="009B2C9A" w:rsidRPr="00161AFC" w:rsidRDefault="009B2C9A" w:rsidP="00232F7C">
            <w:pPr>
              <w:rPr>
                <w:lang w:val="en-NZ"/>
              </w:rPr>
            </w:pPr>
            <w:r w:rsidRPr="00161AFC">
              <w:rPr>
                <w:b/>
                <w:lang w:val="en-NZ"/>
              </w:rPr>
              <w:t>Materials</w:t>
            </w:r>
          </w:p>
        </w:tc>
      </w:tr>
      <w:tr w:rsidR="009B2C9A" w14:paraId="10B09BDD" w14:textId="77777777" w:rsidTr="00232F7C">
        <w:tc>
          <w:tcPr>
            <w:tcW w:w="2830" w:type="dxa"/>
          </w:tcPr>
          <w:p w14:paraId="3F95BBB8" w14:textId="77777777" w:rsidR="009B2C9A" w:rsidRPr="00161AFC" w:rsidRDefault="009B2C9A" w:rsidP="00232F7C">
            <w:pPr>
              <w:rPr>
                <w:lang w:val="en-NZ"/>
              </w:rPr>
            </w:pPr>
            <w:r w:rsidRPr="00161AFC">
              <w:rPr>
                <w:lang w:val="en-NZ"/>
              </w:rPr>
              <w:t>Life Cycle Impacts</w:t>
            </w:r>
          </w:p>
        </w:tc>
        <w:tc>
          <w:tcPr>
            <w:tcW w:w="5387" w:type="dxa"/>
          </w:tcPr>
          <w:p w14:paraId="6E4F5696" w14:textId="77777777" w:rsidR="009B2C9A" w:rsidRPr="00161AFC" w:rsidRDefault="009B2C9A" w:rsidP="00232F7C">
            <w:pPr>
              <w:rPr>
                <w:lang w:val="en-NZ"/>
              </w:rPr>
            </w:pPr>
            <w:r w:rsidRPr="00161AFC">
              <w:rPr>
                <w:lang w:val="en-NZ"/>
              </w:rPr>
              <w:t>To reward project that undertake a whole-of-building, whole-of-life, life cycle assessment and where outputs of the LCA are translated into reductions in environmental impacts through meaningful changes in design.</w:t>
            </w:r>
          </w:p>
        </w:tc>
        <w:tc>
          <w:tcPr>
            <w:tcW w:w="799" w:type="dxa"/>
          </w:tcPr>
          <w:p w14:paraId="74B9A30A" w14:textId="77777777" w:rsidR="009B2C9A" w:rsidRPr="00161AFC" w:rsidRDefault="009B2C9A" w:rsidP="00232F7C">
            <w:pPr>
              <w:jc w:val="center"/>
              <w:rPr>
                <w:lang w:val="en-NZ"/>
              </w:rPr>
            </w:pPr>
            <w:r w:rsidRPr="00161AFC">
              <w:rPr>
                <w:lang w:val="en-NZ"/>
              </w:rPr>
              <w:t>8</w:t>
            </w:r>
          </w:p>
        </w:tc>
      </w:tr>
      <w:tr w:rsidR="009B2C9A" w14:paraId="610720D9" w14:textId="77777777" w:rsidTr="00232F7C">
        <w:tc>
          <w:tcPr>
            <w:tcW w:w="2830" w:type="dxa"/>
          </w:tcPr>
          <w:p w14:paraId="6258300B" w14:textId="77777777" w:rsidR="009B2C9A" w:rsidRPr="00161AFC" w:rsidRDefault="009B2C9A" w:rsidP="00232F7C">
            <w:pPr>
              <w:rPr>
                <w:lang w:val="en-NZ"/>
              </w:rPr>
            </w:pPr>
            <w:r w:rsidRPr="00161AFC">
              <w:rPr>
                <w:lang w:val="en-NZ"/>
              </w:rPr>
              <w:t>Responsible Building Materials</w:t>
            </w:r>
          </w:p>
        </w:tc>
        <w:tc>
          <w:tcPr>
            <w:tcW w:w="5387" w:type="dxa"/>
          </w:tcPr>
          <w:p w14:paraId="6C381020" w14:textId="77777777" w:rsidR="009B2C9A" w:rsidRPr="00161AFC" w:rsidRDefault="009B2C9A" w:rsidP="00232F7C">
            <w:pPr>
              <w:rPr>
                <w:lang w:val="en-NZ"/>
              </w:rPr>
            </w:pPr>
            <w:r w:rsidRPr="00161AFC">
              <w:rPr>
                <w:lang w:val="en-NZ"/>
              </w:rPr>
              <w:t>To reward projects that include materials that are responsibly sourced or have a sustainable supply chain.</w:t>
            </w:r>
          </w:p>
        </w:tc>
        <w:tc>
          <w:tcPr>
            <w:tcW w:w="799" w:type="dxa"/>
          </w:tcPr>
          <w:p w14:paraId="3DCF9EAD" w14:textId="77777777" w:rsidR="009B2C9A" w:rsidRPr="00161AFC" w:rsidRDefault="009B2C9A" w:rsidP="00232F7C">
            <w:pPr>
              <w:jc w:val="center"/>
              <w:rPr>
                <w:lang w:val="en-NZ"/>
              </w:rPr>
            </w:pPr>
            <w:r w:rsidRPr="00161AFC">
              <w:rPr>
                <w:lang w:val="en-NZ"/>
              </w:rPr>
              <w:t>3</w:t>
            </w:r>
          </w:p>
        </w:tc>
      </w:tr>
      <w:tr w:rsidR="009B2C9A" w14:paraId="10E5AE16" w14:textId="77777777" w:rsidTr="00232F7C">
        <w:tc>
          <w:tcPr>
            <w:tcW w:w="2830" w:type="dxa"/>
          </w:tcPr>
          <w:p w14:paraId="6984020A" w14:textId="77777777" w:rsidR="009B2C9A" w:rsidRPr="00161AFC" w:rsidRDefault="009B2C9A" w:rsidP="00232F7C">
            <w:pPr>
              <w:rPr>
                <w:lang w:val="en-NZ"/>
              </w:rPr>
            </w:pPr>
            <w:r w:rsidRPr="00161AFC">
              <w:rPr>
                <w:lang w:val="en-NZ"/>
              </w:rPr>
              <w:t>Sustainable Products</w:t>
            </w:r>
          </w:p>
        </w:tc>
        <w:tc>
          <w:tcPr>
            <w:tcW w:w="5387" w:type="dxa"/>
          </w:tcPr>
          <w:p w14:paraId="084F3857" w14:textId="77777777" w:rsidR="009B2C9A" w:rsidRPr="00161AFC" w:rsidRDefault="009B2C9A" w:rsidP="00232F7C">
            <w:pPr>
              <w:rPr>
                <w:lang w:val="en-NZ"/>
              </w:rPr>
            </w:pPr>
            <w:r w:rsidRPr="00161AFC">
              <w:rPr>
                <w:lang w:val="en-NZ"/>
              </w:rPr>
              <w:t>To encourage sustainability and transparency in product specification.</w:t>
            </w:r>
          </w:p>
        </w:tc>
        <w:tc>
          <w:tcPr>
            <w:tcW w:w="799" w:type="dxa"/>
          </w:tcPr>
          <w:p w14:paraId="62311B00" w14:textId="77777777" w:rsidR="009B2C9A" w:rsidRPr="00161AFC" w:rsidRDefault="009B2C9A" w:rsidP="00232F7C">
            <w:pPr>
              <w:jc w:val="center"/>
              <w:rPr>
                <w:lang w:val="en-NZ"/>
              </w:rPr>
            </w:pPr>
            <w:r w:rsidRPr="00161AFC">
              <w:rPr>
                <w:lang w:val="en-NZ"/>
              </w:rPr>
              <w:t>3</w:t>
            </w:r>
          </w:p>
        </w:tc>
      </w:tr>
      <w:tr w:rsidR="009B2C9A" w14:paraId="511C8B34" w14:textId="77777777" w:rsidTr="00232F7C">
        <w:tc>
          <w:tcPr>
            <w:tcW w:w="2830" w:type="dxa"/>
          </w:tcPr>
          <w:p w14:paraId="565448B9" w14:textId="77777777" w:rsidR="009B2C9A" w:rsidRPr="00161AFC" w:rsidRDefault="009B2C9A" w:rsidP="00232F7C">
            <w:pPr>
              <w:rPr>
                <w:lang w:val="en-NZ"/>
              </w:rPr>
            </w:pPr>
            <w:r w:rsidRPr="00161AFC">
              <w:rPr>
                <w:lang w:val="en-NZ"/>
              </w:rPr>
              <w:t>Construction and Demolition Waste</w:t>
            </w:r>
          </w:p>
        </w:tc>
        <w:tc>
          <w:tcPr>
            <w:tcW w:w="5387" w:type="dxa"/>
          </w:tcPr>
          <w:p w14:paraId="7A76CD07" w14:textId="77777777" w:rsidR="009B2C9A" w:rsidRPr="00161AFC" w:rsidRDefault="009B2C9A" w:rsidP="00232F7C">
            <w:pPr>
              <w:rPr>
                <w:lang w:val="en-NZ"/>
              </w:rPr>
            </w:pPr>
            <w:r w:rsidRPr="00161AFC">
              <w:rPr>
                <w:lang w:val="en-NZ"/>
              </w:rPr>
              <w:t xml:space="preserve">To reward projects that reduce construction waste going to landfill by reusing or recycling building materials. </w:t>
            </w:r>
          </w:p>
        </w:tc>
        <w:tc>
          <w:tcPr>
            <w:tcW w:w="799" w:type="dxa"/>
          </w:tcPr>
          <w:p w14:paraId="3AA46DFE" w14:textId="77777777" w:rsidR="009B2C9A" w:rsidRPr="00161AFC" w:rsidRDefault="009B2C9A" w:rsidP="00232F7C">
            <w:pPr>
              <w:jc w:val="center"/>
              <w:rPr>
                <w:lang w:val="en-NZ"/>
              </w:rPr>
            </w:pPr>
            <w:r w:rsidRPr="00161AFC">
              <w:rPr>
                <w:lang w:val="en-NZ"/>
              </w:rPr>
              <w:t>1</w:t>
            </w:r>
          </w:p>
        </w:tc>
      </w:tr>
      <w:tr w:rsidR="009B2C9A" w14:paraId="7B5B93D5" w14:textId="77777777" w:rsidTr="00232F7C">
        <w:tc>
          <w:tcPr>
            <w:tcW w:w="9016" w:type="dxa"/>
            <w:gridSpan w:val="3"/>
            <w:shd w:val="clear" w:color="auto" w:fill="D9D9D9" w:themeFill="background1" w:themeFillShade="D9"/>
          </w:tcPr>
          <w:p w14:paraId="4F15333D" w14:textId="77777777" w:rsidR="009B2C9A" w:rsidRPr="00161AFC" w:rsidRDefault="009B2C9A" w:rsidP="00232F7C">
            <w:pPr>
              <w:rPr>
                <w:lang w:val="en-NZ"/>
              </w:rPr>
            </w:pPr>
            <w:r w:rsidRPr="00161AFC">
              <w:rPr>
                <w:b/>
                <w:lang w:val="en-NZ"/>
              </w:rPr>
              <w:t>Environment and Wildlife Protection</w:t>
            </w:r>
          </w:p>
        </w:tc>
      </w:tr>
      <w:tr w:rsidR="009B2C9A" w14:paraId="68F58DC3" w14:textId="77777777" w:rsidTr="00232F7C">
        <w:tc>
          <w:tcPr>
            <w:tcW w:w="2830" w:type="dxa"/>
          </w:tcPr>
          <w:p w14:paraId="03434912" w14:textId="77777777" w:rsidR="009B2C9A" w:rsidRPr="00161AFC" w:rsidRDefault="009B2C9A" w:rsidP="00232F7C">
            <w:pPr>
              <w:rPr>
                <w:lang w:val="en-NZ"/>
              </w:rPr>
            </w:pPr>
            <w:r w:rsidRPr="00161AFC">
              <w:rPr>
                <w:lang w:val="en-NZ"/>
              </w:rPr>
              <w:t>Environmental Protection</w:t>
            </w:r>
          </w:p>
        </w:tc>
        <w:tc>
          <w:tcPr>
            <w:tcW w:w="5387" w:type="dxa"/>
          </w:tcPr>
          <w:p w14:paraId="4756E03A" w14:textId="77777777" w:rsidR="009B2C9A" w:rsidRPr="00161AFC" w:rsidRDefault="009B2C9A" w:rsidP="00232F7C">
            <w:pPr>
              <w:rPr>
                <w:lang w:val="en-NZ"/>
              </w:rPr>
            </w:pPr>
            <w:r w:rsidRPr="00161AFC">
              <w:rPr>
                <w:lang w:val="en-NZ"/>
              </w:rPr>
              <w:t>To ensure projects are delivered in accordance with requirements of the Protocol on Environmental Protection to the Antarctic Treaty.</w:t>
            </w:r>
          </w:p>
        </w:tc>
        <w:tc>
          <w:tcPr>
            <w:tcW w:w="799" w:type="dxa"/>
          </w:tcPr>
          <w:p w14:paraId="6AE4DCBF" w14:textId="77777777" w:rsidR="009B2C9A" w:rsidRPr="00161AFC" w:rsidRDefault="009B2C9A" w:rsidP="00232F7C">
            <w:pPr>
              <w:jc w:val="center"/>
              <w:rPr>
                <w:lang w:val="en-NZ"/>
              </w:rPr>
            </w:pPr>
            <w:r w:rsidRPr="00161AFC">
              <w:rPr>
                <w:lang w:val="en-NZ"/>
              </w:rPr>
              <w:t>0</w:t>
            </w:r>
          </w:p>
        </w:tc>
      </w:tr>
      <w:tr w:rsidR="009B2C9A" w14:paraId="428D6BAD" w14:textId="77777777" w:rsidTr="00232F7C">
        <w:tc>
          <w:tcPr>
            <w:tcW w:w="2830" w:type="dxa"/>
          </w:tcPr>
          <w:p w14:paraId="2F4C4DC7" w14:textId="77777777" w:rsidR="009B2C9A" w:rsidRPr="00161AFC" w:rsidRDefault="009B2C9A" w:rsidP="00232F7C">
            <w:pPr>
              <w:rPr>
                <w:lang w:val="en-NZ"/>
              </w:rPr>
            </w:pPr>
            <w:r w:rsidRPr="00161AFC">
              <w:rPr>
                <w:lang w:val="en-NZ"/>
              </w:rPr>
              <w:t>Biosecurity</w:t>
            </w:r>
          </w:p>
        </w:tc>
        <w:tc>
          <w:tcPr>
            <w:tcW w:w="5387" w:type="dxa"/>
          </w:tcPr>
          <w:p w14:paraId="1D50A044" w14:textId="77777777" w:rsidR="009B2C9A" w:rsidRPr="00161AFC" w:rsidRDefault="009B2C9A" w:rsidP="00232F7C">
            <w:pPr>
              <w:rPr>
                <w:lang w:val="en-NZ"/>
              </w:rPr>
            </w:pPr>
            <w:r w:rsidRPr="00161AFC">
              <w:rPr>
                <w:lang w:val="en-NZ"/>
              </w:rPr>
              <w:t xml:space="preserve">To reward projects that protect the environment through biosecurity measures which address potential risks of construction and building operations. </w:t>
            </w:r>
          </w:p>
        </w:tc>
        <w:tc>
          <w:tcPr>
            <w:tcW w:w="799" w:type="dxa"/>
          </w:tcPr>
          <w:p w14:paraId="3921036E" w14:textId="77777777" w:rsidR="009B2C9A" w:rsidRPr="00161AFC" w:rsidRDefault="009B2C9A" w:rsidP="00232F7C">
            <w:pPr>
              <w:jc w:val="center"/>
              <w:rPr>
                <w:lang w:val="en-NZ"/>
              </w:rPr>
            </w:pPr>
            <w:r w:rsidRPr="00161AFC">
              <w:rPr>
                <w:lang w:val="en-NZ"/>
              </w:rPr>
              <w:t>2</w:t>
            </w:r>
          </w:p>
        </w:tc>
      </w:tr>
      <w:tr w:rsidR="009B2C9A" w14:paraId="3143FE87" w14:textId="77777777" w:rsidTr="00232F7C">
        <w:tc>
          <w:tcPr>
            <w:tcW w:w="2830" w:type="dxa"/>
          </w:tcPr>
          <w:p w14:paraId="4668A816" w14:textId="77777777" w:rsidR="009B2C9A" w:rsidRPr="00161AFC" w:rsidRDefault="009B2C9A" w:rsidP="00232F7C">
            <w:pPr>
              <w:rPr>
                <w:lang w:val="en-NZ"/>
              </w:rPr>
            </w:pPr>
            <w:r w:rsidRPr="00161AFC">
              <w:rPr>
                <w:lang w:val="en-NZ"/>
              </w:rPr>
              <w:t>Site Remediation</w:t>
            </w:r>
          </w:p>
        </w:tc>
        <w:tc>
          <w:tcPr>
            <w:tcW w:w="5387" w:type="dxa"/>
          </w:tcPr>
          <w:p w14:paraId="38051E79" w14:textId="77777777" w:rsidR="009B2C9A" w:rsidRPr="00161AFC" w:rsidRDefault="009B2C9A" w:rsidP="00232F7C">
            <w:pPr>
              <w:rPr>
                <w:lang w:val="en-NZ"/>
              </w:rPr>
            </w:pPr>
            <w:r w:rsidRPr="00161AFC">
              <w:rPr>
                <w:lang w:val="en-NZ"/>
              </w:rPr>
              <w:t>To reward projects that choose to reuse previously developed land, and that remediate contaminated land.</w:t>
            </w:r>
          </w:p>
        </w:tc>
        <w:tc>
          <w:tcPr>
            <w:tcW w:w="799" w:type="dxa"/>
          </w:tcPr>
          <w:p w14:paraId="376ED090" w14:textId="77777777" w:rsidR="009B2C9A" w:rsidRPr="00161AFC" w:rsidRDefault="009B2C9A" w:rsidP="00232F7C">
            <w:pPr>
              <w:jc w:val="center"/>
              <w:rPr>
                <w:lang w:val="en-NZ"/>
              </w:rPr>
            </w:pPr>
            <w:r w:rsidRPr="00161AFC">
              <w:rPr>
                <w:lang w:val="en-NZ"/>
              </w:rPr>
              <w:t>2</w:t>
            </w:r>
          </w:p>
        </w:tc>
      </w:tr>
      <w:tr w:rsidR="009B2C9A" w14:paraId="559CB262" w14:textId="77777777" w:rsidTr="00232F7C">
        <w:tc>
          <w:tcPr>
            <w:tcW w:w="2830" w:type="dxa"/>
          </w:tcPr>
          <w:p w14:paraId="18884F32" w14:textId="77777777" w:rsidR="009B2C9A" w:rsidRPr="00161AFC" w:rsidRDefault="009B2C9A" w:rsidP="00232F7C">
            <w:pPr>
              <w:rPr>
                <w:lang w:val="en-NZ"/>
              </w:rPr>
            </w:pPr>
            <w:r w:rsidRPr="00161AFC">
              <w:rPr>
                <w:lang w:val="en-NZ"/>
              </w:rPr>
              <w:t>Light Pollution</w:t>
            </w:r>
          </w:p>
        </w:tc>
        <w:tc>
          <w:tcPr>
            <w:tcW w:w="5387" w:type="dxa"/>
          </w:tcPr>
          <w:p w14:paraId="4052F5F3" w14:textId="77777777" w:rsidR="009B2C9A" w:rsidRPr="00161AFC" w:rsidRDefault="009B2C9A" w:rsidP="00232F7C">
            <w:pPr>
              <w:rPr>
                <w:lang w:val="en-NZ"/>
              </w:rPr>
            </w:pPr>
            <w:r w:rsidRPr="00161AFC">
              <w:rPr>
                <w:lang w:val="en-NZ"/>
              </w:rPr>
              <w:t>To reward projects that minimise light pollution.</w:t>
            </w:r>
          </w:p>
        </w:tc>
        <w:tc>
          <w:tcPr>
            <w:tcW w:w="799" w:type="dxa"/>
          </w:tcPr>
          <w:p w14:paraId="49B23B60" w14:textId="77777777" w:rsidR="009B2C9A" w:rsidRPr="00161AFC" w:rsidRDefault="009B2C9A" w:rsidP="00232F7C">
            <w:pPr>
              <w:jc w:val="center"/>
              <w:rPr>
                <w:lang w:val="en-NZ"/>
              </w:rPr>
            </w:pPr>
            <w:r w:rsidRPr="00161AFC">
              <w:rPr>
                <w:lang w:val="en-NZ"/>
              </w:rPr>
              <w:t>1</w:t>
            </w:r>
          </w:p>
        </w:tc>
      </w:tr>
      <w:tr w:rsidR="009B2C9A" w14:paraId="56A3BFAE" w14:textId="77777777" w:rsidTr="00232F7C">
        <w:tc>
          <w:tcPr>
            <w:tcW w:w="2830" w:type="dxa"/>
          </w:tcPr>
          <w:p w14:paraId="777431A4" w14:textId="77777777" w:rsidR="009B2C9A" w:rsidRPr="00161AFC" w:rsidRDefault="009B2C9A" w:rsidP="00232F7C">
            <w:pPr>
              <w:rPr>
                <w:lang w:val="en-NZ"/>
              </w:rPr>
            </w:pPr>
            <w:r w:rsidRPr="00161AFC">
              <w:rPr>
                <w:lang w:val="en-NZ"/>
              </w:rPr>
              <w:t>Water Pollution</w:t>
            </w:r>
          </w:p>
        </w:tc>
        <w:tc>
          <w:tcPr>
            <w:tcW w:w="5387" w:type="dxa"/>
          </w:tcPr>
          <w:p w14:paraId="3FA14AD4" w14:textId="77777777" w:rsidR="009B2C9A" w:rsidRPr="00161AFC" w:rsidRDefault="009B2C9A" w:rsidP="00232F7C">
            <w:pPr>
              <w:rPr>
                <w:lang w:val="en-NZ"/>
              </w:rPr>
            </w:pPr>
            <w:r w:rsidRPr="00161AFC">
              <w:rPr>
                <w:lang w:val="en-NZ"/>
              </w:rPr>
              <w:t>To reward projects that reduce pollutants entering water bodies.</w:t>
            </w:r>
          </w:p>
        </w:tc>
        <w:tc>
          <w:tcPr>
            <w:tcW w:w="799" w:type="dxa"/>
          </w:tcPr>
          <w:p w14:paraId="29C0705F" w14:textId="77777777" w:rsidR="009B2C9A" w:rsidRPr="00161AFC" w:rsidRDefault="009B2C9A" w:rsidP="00232F7C">
            <w:pPr>
              <w:jc w:val="center"/>
              <w:rPr>
                <w:lang w:val="en-NZ"/>
              </w:rPr>
            </w:pPr>
            <w:r w:rsidRPr="00161AFC">
              <w:rPr>
                <w:lang w:val="en-NZ"/>
              </w:rPr>
              <w:t>2</w:t>
            </w:r>
          </w:p>
        </w:tc>
      </w:tr>
      <w:tr w:rsidR="009B2C9A" w14:paraId="5B2C9455" w14:textId="77777777" w:rsidTr="00232F7C">
        <w:tc>
          <w:tcPr>
            <w:tcW w:w="2830" w:type="dxa"/>
          </w:tcPr>
          <w:p w14:paraId="62FD67E0" w14:textId="77777777" w:rsidR="009B2C9A" w:rsidRPr="00161AFC" w:rsidRDefault="009B2C9A" w:rsidP="00232F7C">
            <w:pPr>
              <w:rPr>
                <w:lang w:val="en-NZ"/>
              </w:rPr>
            </w:pPr>
            <w:r w:rsidRPr="00161AFC">
              <w:rPr>
                <w:lang w:val="en-NZ"/>
              </w:rPr>
              <w:t>Refrigerant Impacts</w:t>
            </w:r>
          </w:p>
        </w:tc>
        <w:tc>
          <w:tcPr>
            <w:tcW w:w="5387" w:type="dxa"/>
          </w:tcPr>
          <w:p w14:paraId="2E86EB45" w14:textId="77777777" w:rsidR="009B2C9A" w:rsidRPr="00161AFC" w:rsidRDefault="009B2C9A" w:rsidP="00232F7C">
            <w:pPr>
              <w:rPr>
                <w:lang w:val="en-NZ"/>
              </w:rPr>
            </w:pPr>
            <w:r w:rsidRPr="00161AFC">
              <w:rPr>
                <w:lang w:val="en-NZ"/>
              </w:rPr>
              <w:t>To encourage operational practices that minimise the environmental impacts of refrigeration equipment.</w:t>
            </w:r>
          </w:p>
        </w:tc>
        <w:tc>
          <w:tcPr>
            <w:tcW w:w="799" w:type="dxa"/>
          </w:tcPr>
          <w:p w14:paraId="08FC8951" w14:textId="77777777" w:rsidR="009B2C9A" w:rsidRPr="00161AFC" w:rsidRDefault="009B2C9A" w:rsidP="00232F7C">
            <w:pPr>
              <w:jc w:val="center"/>
              <w:rPr>
                <w:lang w:val="en-NZ"/>
              </w:rPr>
            </w:pPr>
            <w:r w:rsidRPr="00161AFC">
              <w:rPr>
                <w:lang w:val="en-NZ"/>
              </w:rPr>
              <w:t>1</w:t>
            </w:r>
          </w:p>
        </w:tc>
      </w:tr>
      <w:tr w:rsidR="009B2C9A" w14:paraId="2D85B94A" w14:textId="77777777" w:rsidTr="00232F7C">
        <w:tc>
          <w:tcPr>
            <w:tcW w:w="9016" w:type="dxa"/>
            <w:gridSpan w:val="3"/>
            <w:shd w:val="clear" w:color="auto" w:fill="D9D9D9" w:themeFill="background1" w:themeFillShade="D9"/>
          </w:tcPr>
          <w:p w14:paraId="58436BA7" w14:textId="77777777" w:rsidR="009B2C9A" w:rsidRPr="00161AFC" w:rsidRDefault="009B2C9A" w:rsidP="00232F7C">
            <w:pPr>
              <w:rPr>
                <w:b/>
                <w:lang w:val="en-NZ"/>
              </w:rPr>
            </w:pPr>
            <w:r w:rsidRPr="00161AFC">
              <w:rPr>
                <w:b/>
                <w:lang w:val="en-NZ"/>
              </w:rPr>
              <w:t>Innovation</w:t>
            </w:r>
          </w:p>
        </w:tc>
      </w:tr>
      <w:tr w:rsidR="009B2C9A" w14:paraId="55B2E205" w14:textId="77777777" w:rsidTr="00232F7C">
        <w:tc>
          <w:tcPr>
            <w:tcW w:w="2830" w:type="dxa"/>
          </w:tcPr>
          <w:p w14:paraId="7E221AA1" w14:textId="77777777" w:rsidR="009B2C9A" w:rsidRPr="00161AFC" w:rsidRDefault="009B2C9A" w:rsidP="00232F7C">
            <w:pPr>
              <w:rPr>
                <w:lang w:val="en-NZ"/>
              </w:rPr>
            </w:pPr>
            <w:r w:rsidRPr="00161AFC">
              <w:rPr>
                <w:lang w:val="en-NZ"/>
              </w:rPr>
              <w:t>Innovation</w:t>
            </w:r>
          </w:p>
        </w:tc>
        <w:tc>
          <w:tcPr>
            <w:tcW w:w="5387" w:type="dxa"/>
          </w:tcPr>
          <w:p w14:paraId="7D648F04" w14:textId="77777777" w:rsidR="009B2C9A" w:rsidRPr="00161AFC" w:rsidRDefault="009B2C9A" w:rsidP="00232F7C">
            <w:pPr>
              <w:rPr>
                <w:lang w:val="en-NZ"/>
              </w:rPr>
            </w:pPr>
            <w:r w:rsidRPr="00161AFC">
              <w:rPr>
                <w:lang w:val="en-NZ"/>
              </w:rPr>
              <w:t xml:space="preserve">To recognise and encourage pioneering initiatives in sustainable design, </w:t>
            </w:r>
            <w:proofErr w:type="gramStart"/>
            <w:r w:rsidRPr="00161AFC">
              <w:rPr>
                <w:lang w:val="en-NZ"/>
              </w:rPr>
              <w:t>process</w:t>
            </w:r>
            <w:proofErr w:type="gramEnd"/>
            <w:r w:rsidRPr="00161AFC">
              <w:rPr>
                <w:lang w:val="en-NZ"/>
              </w:rPr>
              <w:t xml:space="preserve"> or advocacy.</w:t>
            </w:r>
          </w:p>
        </w:tc>
        <w:tc>
          <w:tcPr>
            <w:tcW w:w="799" w:type="dxa"/>
          </w:tcPr>
          <w:p w14:paraId="15CF8876" w14:textId="77777777" w:rsidR="009B2C9A" w:rsidRPr="00161AFC" w:rsidRDefault="009B2C9A" w:rsidP="00232F7C">
            <w:pPr>
              <w:jc w:val="center"/>
              <w:rPr>
                <w:lang w:val="en-NZ"/>
              </w:rPr>
            </w:pPr>
            <w:r w:rsidRPr="00161AFC">
              <w:rPr>
                <w:lang w:val="en-NZ"/>
              </w:rPr>
              <w:t>10</w:t>
            </w:r>
          </w:p>
        </w:tc>
      </w:tr>
    </w:tbl>
    <w:p w14:paraId="4A95BAC6" w14:textId="77777777" w:rsidR="009B2C9A" w:rsidRPr="00B46A13" w:rsidRDefault="009B2C9A" w:rsidP="009B2C9A">
      <w:pPr>
        <w:pStyle w:val="ATSNormal"/>
        <w:rPr>
          <w:lang w:val="en-AU"/>
        </w:rPr>
      </w:pPr>
    </w:p>
    <w:p w14:paraId="2BC1737B" w14:textId="77777777" w:rsidR="009B2C9A" w:rsidRDefault="009B2C9A" w:rsidP="00952E9F"/>
    <w:sectPr w:rsidR="009B2C9A"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5765F" w14:textId="77777777" w:rsidR="00000000" w:rsidRDefault="009B2C9A">
      <w:r>
        <w:separator/>
      </w:r>
    </w:p>
  </w:endnote>
  <w:endnote w:type="continuationSeparator" w:id="0">
    <w:p w14:paraId="521E7C62" w14:textId="77777777" w:rsidR="00000000" w:rsidRDefault="009B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3BD1A" w14:textId="77777777" w:rsidR="00FA0B9F" w:rsidRDefault="009B2C9A" w:rsidP="00CF5C82">
    <w:pPr>
      <w:framePr w:wrap="around" w:vAnchor="text" w:hAnchor="margin" w:xAlign="right" w:y="1"/>
    </w:pPr>
    <w:r>
      <w:fldChar w:fldCharType="begin"/>
    </w:r>
    <w:r>
      <w:instrText xml:space="preserve">PAGE  </w:instrText>
    </w:r>
    <w:r>
      <w:fldChar w:fldCharType="end"/>
    </w:r>
  </w:p>
  <w:p w14:paraId="3C9A8EF3" w14:textId="77777777" w:rsidR="00FA0B9F" w:rsidRDefault="009B2C9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A2A4" w14:textId="77777777" w:rsidR="00FA0B9F" w:rsidRDefault="009B2C9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AED5F8C" w14:textId="0CC9C5D7" w:rsidR="00FA0B9F" w:rsidRDefault="009B2C9A" w:rsidP="009B2C9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687FB" w14:textId="77777777" w:rsidR="00E311C9" w:rsidRDefault="009B2C9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5FB91E9" w14:textId="77777777" w:rsidR="00E311C9" w:rsidRDefault="009B2C9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93C0A" w14:textId="77777777" w:rsidR="00000000" w:rsidRDefault="009B2C9A">
      <w:r>
        <w:separator/>
      </w:r>
    </w:p>
  </w:footnote>
  <w:footnote w:type="continuationSeparator" w:id="0">
    <w:p w14:paraId="785B9446" w14:textId="77777777" w:rsidR="00000000" w:rsidRDefault="009B2C9A">
      <w:r>
        <w:continuationSeparator/>
      </w:r>
    </w:p>
  </w:footnote>
  <w:footnote w:id="1">
    <w:p w14:paraId="6D2B196A" w14:textId="77777777" w:rsidR="009B2C9A" w:rsidRDefault="009B2C9A" w:rsidP="009B2C9A">
      <w:pPr>
        <w:pStyle w:val="Textonotapie"/>
      </w:pPr>
      <w:r>
        <w:rPr>
          <w:rStyle w:val="Refdenotaalpie"/>
        </w:rPr>
        <w:footnoteRef/>
      </w:r>
      <w:r>
        <w:t xml:space="preserve"> </w:t>
      </w:r>
      <w:r>
        <w:rPr>
          <w:lang w:val="en-NZ"/>
        </w:rPr>
        <w:t xml:space="preserve">American Society of Heating, Refrigerating and Air-Conditioning standards are used in comparison.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B2CEA" w14:paraId="2E641CD0" w14:textId="77777777" w:rsidTr="00490760">
      <w:trPr>
        <w:trHeight w:val="344"/>
        <w:jc w:val="center"/>
      </w:trPr>
      <w:tc>
        <w:tcPr>
          <w:tcW w:w="5495" w:type="dxa"/>
        </w:tcPr>
        <w:p w14:paraId="07DB3A76" w14:textId="77777777" w:rsidR="00DB7C09" w:rsidRDefault="009B2C9A" w:rsidP="00F968D4"/>
      </w:tc>
      <w:tc>
        <w:tcPr>
          <w:tcW w:w="4253" w:type="dxa"/>
          <w:gridSpan w:val="2"/>
        </w:tcPr>
        <w:p w14:paraId="005E7266" w14:textId="77777777" w:rsidR="00DB7C09" w:rsidRPr="00BD47E4" w:rsidRDefault="009B2C9A" w:rsidP="002A07BC">
          <w:pPr>
            <w:jc w:val="right"/>
            <w:rPr>
              <w:b/>
              <w:sz w:val="32"/>
              <w:szCs w:val="32"/>
            </w:rPr>
          </w:pPr>
          <w:bookmarkStart w:id="2" w:name="type"/>
          <w:r w:rsidRPr="00BD47E4">
            <w:rPr>
              <w:b/>
              <w:sz w:val="32"/>
              <w:szCs w:val="32"/>
            </w:rPr>
            <w:t>IP</w:t>
          </w:r>
          <w:bookmarkEnd w:id="2"/>
        </w:p>
      </w:tc>
      <w:tc>
        <w:tcPr>
          <w:tcW w:w="1524" w:type="dxa"/>
          <w:gridSpan w:val="2"/>
        </w:tcPr>
        <w:p w14:paraId="42576901" w14:textId="77777777" w:rsidR="00DB7C09" w:rsidRPr="00BD47E4" w:rsidRDefault="009B2C9A" w:rsidP="00DB7C09">
          <w:pPr>
            <w:rPr>
              <w:b/>
              <w:sz w:val="32"/>
              <w:szCs w:val="32"/>
            </w:rPr>
          </w:pPr>
          <w:bookmarkStart w:id="3" w:name="number"/>
          <w:r w:rsidRPr="00BD47E4">
            <w:rPr>
              <w:b/>
              <w:sz w:val="32"/>
              <w:szCs w:val="32"/>
            </w:rPr>
            <w:t>16</w:t>
          </w:r>
          <w:bookmarkEnd w:id="3"/>
        </w:p>
      </w:tc>
    </w:tr>
    <w:tr w:rsidR="00FB2CEA" w14:paraId="587AE9E9" w14:textId="77777777" w:rsidTr="00490760">
      <w:trPr>
        <w:trHeight w:val="2165"/>
        <w:jc w:val="center"/>
      </w:trPr>
      <w:tc>
        <w:tcPr>
          <w:tcW w:w="5495" w:type="dxa"/>
        </w:tcPr>
        <w:p w14:paraId="51B22A6F" w14:textId="77777777" w:rsidR="00490760" w:rsidRPr="00EE4D48" w:rsidRDefault="009B2C9A" w:rsidP="002A07BC">
          <w:pPr>
            <w:rPr>
              <w:b/>
              <w:sz w:val="28"/>
              <w:szCs w:val="28"/>
            </w:rPr>
          </w:pPr>
          <w:r>
            <w:rPr>
              <w:b/>
              <w:noProof/>
              <w:sz w:val="28"/>
              <w:szCs w:val="28"/>
            </w:rPr>
            <w:drawing>
              <wp:inline distT="0" distB="0" distL="0" distR="0" wp14:anchorId="0E164A99" wp14:editId="08388A08">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1362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B12BA1E" w14:textId="77777777" w:rsidR="00490760" w:rsidRPr="00FE5146" w:rsidRDefault="009B2C9A" w:rsidP="00490760">
          <w:pPr>
            <w:jc w:val="right"/>
            <w:rPr>
              <w:sz w:val="144"/>
              <w:szCs w:val="144"/>
            </w:rPr>
          </w:pPr>
          <w:r w:rsidRPr="00FE5146">
            <w:rPr>
              <w:sz w:val="144"/>
              <w:szCs w:val="144"/>
            </w:rPr>
            <w:t>ENG</w:t>
          </w:r>
        </w:p>
      </w:tc>
    </w:tr>
    <w:tr w:rsidR="00FB2CEA" w14:paraId="765C7CAE" w14:textId="77777777" w:rsidTr="00BD47E4">
      <w:trPr>
        <w:trHeight w:val="409"/>
        <w:jc w:val="center"/>
      </w:trPr>
      <w:tc>
        <w:tcPr>
          <w:tcW w:w="9039" w:type="dxa"/>
          <w:gridSpan w:val="2"/>
        </w:tcPr>
        <w:p w14:paraId="7E6C87C0" w14:textId="77777777" w:rsidR="00BD47E4" w:rsidRDefault="009B2C9A" w:rsidP="002C30DA">
          <w:pPr>
            <w:jc w:val="right"/>
          </w:pPr>
          <w:r>
            <w:t>Agenda Item:</w:t>
          </w:r>
        </w:p>
      </w:tc>
      <w:tc>
        <w:tcPr>
          <w:tcW w:w="1843" w:type="dxa"/>
          <w:gridSpan w:val="2"/>
        </w:tcPr>
        <w:p w14:paraId="24A0D779" w14:textId="77777777" w:rsidR="00BD47E4" w:rsidRDefault="009B2C9A" w:rsidP="002C30DA">
          <w:pPr>
            <w:jc w:val="right"/>
          </w:pPr>
          <w:bookmarkStart w:id="4" w:name="agenda"/>
          <w:r>
            <w:t>CEP 7a</w:t>
          </w:r>
          <w:bookmarkEnd w:id="4"/>
        </w:p>
      </w:tc>
      <w:tc>
        <w:tcPr>
          <w:tcW w:w="390" w:type="dxa"/>
        </w:tcPr>
        <w:p w14:paraId="49770736" w14:textId="77777777" w:rsidR="00BD47E4" w:rsidRDefault="009B2C9A" w:rsidP="00387A65">
          <w:pPr>
            <w:jc w:val="right"/>
          </w:pPr>
        </w:p>
      </w:tc>
    </w:tr>
    <w:tr w:rsidR="00FB2CEA" w14:paraId="3B31ED37" w14:textId="77777777" w:rsidTr="00BD47E4">
      <w:trPr>
        <w:trHeight w:val="397"/>
        <w:jc w:val="center"/>
      </w:trPr>
      <w:tc>
        <w:tcPr>
          <w:tcW w:w="9039" w:type="dxa"/>
          <w:gridSpan w:val="2"/>
        </w:tcPr>
        <w:p w14:paraId="552805C9" w14:textId="77777777" w:rsidR="00BD47E4" w:rsidRDefault="009B2C9A" w:rsidP="002C30DA">
          <w:pPr>
            <w:jc w:val="right"/>
          </w:pPr>
          <w:r>
            <w:t>Presented by:</w:t>
          </w:r>
        </w:p>
      </w:tc>
      <w:tc>
        <w:tcPr>
          <w:tcW w:w="1843" w:type="dxa"/>
          <w:gridSpan w:val="2"/>
        </w:tcPr>
        <w:p w14:paraId="7B72E37B" w14:textId="77777777" w:rsidR="00BD47E4" w:rsidRDefault="009B2C9A" w:rsidP="002C30DA">
          <w:pPr>
            <w:jc w:val="right"/>
          </w:pPr>
          <w:bookmarkStart w:id="5" w:name="party"/>
          <w:r>
            <w:t>New Zealand</w:t>
          </w:r>
          <w:bookmarkEnd w:id="5"/>
        </w:p>
      </w:tc>
      <w:tc>
        <w:tcPr>
          <w:tcW w:w="390" w:type="dxa"/>
        </w:tcPr>
        <w:p w14:paraId="018DE25E" w14:textId="77777777" w:rsidR="00BD47E4" w:rsidRDefault="009B2C9A" w:rsidP="00387A65">
          <w:pPr>
            <w:jc w:val="right"/>
          </w:pPr>
        </w:p>
      </w:tc>
    </w:tr>
    <w:tr w:rsidR="00FB2CEA" w14:paraId="03257CD4" w14:textId="77777777" w:rsidTr="00BD47E4">
      <w:trPr>
        <w:trHeight w:val="409"/>
        <w:jc w:val="center"/>
      </w:trPr>
      <w:tc>
        <w:tcPr>
          <w:tcW w:w="9039" w:type="dxa"/>
          <w:gridSpan w:val="2"/>
        </w:tcPr>
        <w:p w14:paraId="05663240" w14:textId="77777777" w:rsidR="00BD47E4" w:rsidRDefault="009B2C9A" w:rsidP="002C30DA">
          <w:pPr>
            <w:jc w:val="right"/>
          </w:pPr>
          <w:r>
            <w:t>Original:</w:t>
          </w:r>
        </w:p>
      </w:tc>
      <w:tc>
        <w:tcPr>
          <w:tcW w:w="1843" w:type="dxa"/>
          <w:gridSpan w:val="2"/>
        </w:tcPr>
        <w:p w14:paraId="3CA262F8" w14:textId="77777777" w:rsidR="00BD47E4" w:rsidRDefault="009B2C9A" w:rsidP="002C30DA">
          <w:pPr>
            <w:jc w:val="right"/>
          </w:pPr>
          <w:bookmarkStart w:id="6" w:name="language"/>
          <w:r>
            <w:t>English</w:t>
          </w:r>
          <w:bookmarkEnd w:id="6"/>
        </w:p>
      </w:tc>
      <w:tc>
        <w:tcPr>
          <w:tcW w:w="390" w:type="dxa"/>
        </w:tcPr>
        <w:p w14:paraId="3CBB93E5" w14:textId="77777777" w:rsidR="00BD47E4" w:rsidRDefault="009B2C9A" w:rsidP="00387A65">
          <w:pPr>
            <w:jc w:val="right"/>
          </w:pPr>
        </w:p>
      </w:tc>
    </w:tr>
    <w:tr w:rsidR="00FB2CEA" w14:paraId="0466221B" w14:textId="77777777" w:rsidTr="00BD47E4">
      <w:trPr>
        <w:trHeight w:val="409"/>
        <w:jc w:val="center"/>
      </w:trPr>
      <w:tc>
        <w:tcPr>
          <w:tcW w:w="9039" w:type="dxa"/>
          <w:gridSpan w:val="2"/>
        </w:tcPr>
        <w:p w14:paraId="5032932D" w14:textId="77777777" w:rsidR="0097629D" w:rsidRDefault="009B2C9A" w:rsidP="002C30DA">
          <w:pPr>
            <w:jc w:val="right"/>
          </w:pPr>
          <w:r>
            <w:t>Submitted:</w:t>
          </w:r>
        </w:p>
      </w:tc>
      <w:tc>
        <w:tcPr>
          <w:tcW w:w="1843" w:type="dxa"/>
          <w:gridSpan w:val="2"/>
        </w:tcPr>
        <w:p w14:paraId="3F450E1A" w14:textId="77777777" w:rsidR="0097629D" w:rsidRDefault="009B2C9A" w:rsidP="0097629D">
          <w:pPr>
            <w:jc w:val="right"/>
          </w:pPr>
          <w:bookmarkStart w:id="7" w:name="date_submission"/>
          <w:r>
            <w:t>29/4/2021</w:t>
          </w:r>
          <w:bookmarkEnd w:id="7"/>
        </w:p>
      </w:tc>
      <w:tc>
        <w:tcPr>
          <w:tcW w:w="390" w:type="dxa"/>
        </w:tcPr>
        <w:p w14:paraId="573AC360" w14:textId="77777777" w:rsidR="0097629D" w:rsidRDefault="009B2C9A" w:rsidP="00387A65">
          <w:pPr>
            <w:jc w:val="right"/>
          </w:pPr>
        </w:p>
      </w:tc>
    </w:tr>
  </w:tbl>
  <w:p w14:paraId="5D370C52" w14:textId="77777777" w:rsidR="00AE5DD0" w:rsidRDefault="009B2C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B2CEA" w14:paraId="4AA2AE8A" w14:textId="77777777">
      <w:trPr>
        <w:trHeight w:val="354"/>
        <w:jc w:val="center"/>
      </w:trPr>
      <w:tc>
        <w:tcPr>
          <w:tcW w:w="9694" w:type="dxa"/>
        </w:tcPr>
        <w:p w14:paraId="0E1CE657" w14:textId="6BC7C7A2" w:rsidR="00AE5DD0" w:rsidRPr="00BD47E4" w:rsidRDefault="009B2C9A" w:rsidP="00C26F2D">
          <w:pPr>
            <w:jc w:val="right"/>
            <w:rPr>
              <w:b/>
              <w:sz w:val="32"/>
              <w:szCs w:val="32"/>
            </w:rPr>
          </w:pPr>
          <w:r>
            <w:rPr>
              <w:b/>
              <w:sz w:val="32"/>
              <w:szCs w:val="32"/>
            </w:rPr>
            <w:t>IP</w:t>
          </w:r>
        </w:p>
      </w:tc>
      <w:tc>
        <w:tcPr>
          <w:tcW w:w="1332" w:type="dxa"/>
        </w:tcPr>
        <w:p w14:paraId="05BD4F95" w14:textId="441DCE77" w:rsidR="00AE5DD0" w:rsidRPr="00BD47E4" w:rsidRDefault="009B2C9A" w:rsidP="00080F4C">
          <w:pPr>
            <w:rPr>
              <w:b/>
              <w:sz w:val="32"/>
              <w:szCs w:val="32"/>
            </w:rPr>
          </w:pPr>
          <w:r>
            <w:rPr>
              <w:b/>
              <w:sz w:val="32"/>
              <w:szCs w:val="32"/>
            </w:rPr>
            <w:t>16</w:t>
          </w:r>
        </w:p>
      </w:tc>
    </w:tr>
  </w:tbl>
  <w:p w14:paraId="5E0ED2CD" w14:textId="77777777" w:rsidR="00AE5DD0" w:rsidRDefault="009B2C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2FEAF22">
      <w:start w:val="1"/>
      <w:numFmt w:val="bullet"/>
      <w:pStyle w:val="ATSBullet1"/>
      <w:lvlText w:val=""/>
      <w:lvlJc w:val="left"/>
      <w:pPr>
        <w:tabs>
          <w:tab w:val="num" w:pos="360"/>
        </w:tabs>
        <w:ind w:left="360" w:hanging="360"/>
      </w:pPr>
      <w:rPr>
        <w:rFonts w:ascii="Symbol" w:hAnsi="Symbol" w:hint="default"/>
        <w:color w:val="auto"/>
      </w:rPr>
    </w:lvl>
    <w:lvl w:ilvl="1" w:tplc="57527F9C" w:tentative="1">
      <w:start w:val="1"/>
      <w:numFmt w:val="bullet"/>
      <w:lvlText w:val="o"/>
      <w:lvlJc w:val="left"/>
      <w:pPr>
        <w:tabs>
          <w:tab w:val="num" w:pos="1440"/>
        </w:tabs>
        <w:ind w:left="1440" w:hanging="360"/>
      </w:pPr>
      <w:rPr>
        <w:rFonts w:ascii="Courier New" w:hAnsi="Courier New" w:cs="Courier New" w:hint="default"/>
      </w:rPr>
    </w:lvl>
    <w:lvl w:ilvl="2" w:tplc="F3BE880C" w:tentative="1">
      <w:start w:val="1"/>
      <w:numFmt w:val="bullet"/>
      <w:lvlText w:val=""/>
      <w:lvlJc w:val="left"/>
      <w:pPr>
        <w:tabs>
          <w:tab w:val="num" w:pos="2160"/>
        </w:tabs>
        <w:ind w:left="2160" w:hanging="360"/>
      </w:pPr>
      <w:rPr>
        <w:rFonts w:ascii="Wingdings" w:hAnsi="Wingdings" w:hint="default"/>
      </w:rPr>
    </w:lvl>
    <w:lvl w:ilvl="3" w:tplc="9FC6FD18" w:tentative="1">
      <w:start w:val="1"/>
      <w:numFmt w:val="bullet"/>
      <w:lvlText w:val=""/>
      <w:lvlJc w:val="left"/>
      <w:pPr>
        <w:tabs>
          <w:tab w:val="num" w:pos="2880"/>
        </w:tabs>
        <w:ind w:left="2880" w:hanging="360"/>
      </w:pPr>
      <w:rPr>
        <w:rFonts w:ascii="Symbol" w:hAnsi="Symbol" w:hint="default"/>
      </w:rPr>
    </w:lvl>
    <w:lvl w:ilvl="4" w:tplc="26469B26" w:tentative="1">
      <w:start w:val="1"/>
      <w:numFmt w:val="bullet"/>
      <w:lvlText w:val="o"/>
      <w:lvlJc w:val="left"/>
      <w:pPr>
        <w:tabs>
          <w:tab w:val="num" w:pos="3600"/>
        </w:tabs>
        <w:ind w:left="3600" w:hanging="360"/>
      </w:pPr>
      <w:rPr>
        <w:rFonts w:ascii="Courier New" w:hAnsi="Courier New" w:cs="Courier New" w:hint="default"/>
      </w:rPr>
    </w:lvl>
    <w:lvl w:ilvl="5" w:tplc="69EC1318" w:tentative="1">
      <w:start w:val="1"/>
      <w:numFmt w:val="bullet"/>
      <w:lvlText w:val=""/>
      <w:lvlJc w:val="left"/>
      <w:pPr>
        <w:tabs>
          <w:tab w:val="num" w:pos="4320"/>
        </w:tabs>
        <w:ind w:left="4320" w:hanging="360"/>
      </w:pPr>
      <w:rPr>
        <w:rFonts w:ascii="Wingdings" w:hAnsi="Wingdings" w:hint="default"/>
      </w:rPr>
    </w:lvl>
    <w:lvl w:ilvl="6" w:tplc="EC2254A6" w:tentative="1">
      <w:start w:val="1"/>
      <w:numFmt w:val="bullet"/>
      <w:lvlText w:val=""/>
      <w:lvlJc w:val="left"/>
      <w:pPr>
        <w:tabs>
          <w:tab w:val="num" w:pos="5040"/>
        </w:tabs>
        <w:ind w:left="5040" w:hanging="360"/>
      </w:pPr>
      <w:rPr>
        <w:rFonts w:ascii="Symbol" w:hAnsi="Symbol" w:hint="default"/>
      </w:rPr>
    </w:lvl>
    <w:lvl w:ilvl="7" w:tplc="BCE051A2" w:tentative="1">
      <w:start w:val="1"/>
      <w:numFmt w:val="bullet"/>
      <w:lvlText w:val="o"/>
      <w:lvlJc w:val="left"/>
      <w:pPr>
        <w:tabs>
          <w:tab w:val="num" w:pos="5760"/>
        </w:tabs>
        <w:ind w:left="5760" w:hanging="360"/>
      </w:pPr>
      <w:rPr>
        <w:rFonts w:ascii="Courier New" w:hAnsi="Courier New" w:cs="Courier New" w:hint="default"/>
      </w:rPr>
    </w:lvl>
    <w:lvl w:ilvl="8" w:tplc="06961D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FB83BDA">
      <w:start w:val="1"/>
      <w:numFmt w:val="decimal"/>
      <w:lvlText w:val="%1)"/>
      <w:lvlJc w:val="left"/>
      <w:pPr>
        <w:tabs>
          <w:tab w:val="num" w:pos="340"/>
        </w:tabs>
        <w:ind w:left="340" w:hanging="340"/>
      </w:pPr>
      <w:rPr>
        <w:rFonts w:hint="default"/>
      </w:rPr>
    </w:lvl>
    <w:lvl w:ilvl="1" w:tplc="670E16F2" w:tentative="1">
      <w:start w:val="1"/>
      <w:numFmt w:val="lowerLetter"/>
      <w:lvlText w:val="%2."/>
      <w:lvlJc w:val="left"/>
      <w:pPr>
        <w:tabs>
          <w:tab w:val="num" w:pos="1440"/>
        </w:tabs>
        <w:ind w:left="1440" w:hanging="360"/>
      </w:pPr>
    </w:lvl>
    <w:lvl w:ilvl="2" w:tplc="CA9EB982" w:tentative="1">
      <w:start w:val="1"/>
      <w:numFmt w:val="lowerRoman"/>
      <w:lvlText w:val="%3."/>
      <w:lvlJc w:val="right"/>
      <w:pPr>
        <w:tabs>
          <w:tab w:val="num" w:pos="2160"/>
        </w:tabs>
        <w:ind w:left="2160" w:hanging="180"/>
      </w:pPr>
    </w:lvl>
    <w:lvl w:ilvl="3" w:tplc="40D46334" w:tentative="1">
      <w:start w:val="1"/>
      <w:numFmt w:val="decimal"/>
      <w:lvlText w:val="%4."/>
      <w:lvlJc w:val="left"/>
      <w:pPr>
        <w:tabs>
          <w:tab w:val="num" w:pos="2880"/>
        </w:tabs>
        <w:ind w:left="2880" w:hanging="360"/>
      </w:pPr>
    </w:lvl>
    <w:lvl w:ilvl="4" w:tplc="2A58C69C" w:tentative="1">
      <w:start w:val="1"/>
      <w:numFmt w:val="lowerLetter"/>
      <w:lvlText w:val="%5."/>
      <w:lvlJc w:val="left"/>
      <w:pPr>
        <w:tabs>
          <w:tab w:val="num" w:pos="3600"/>
        </w:tabs>
        <w:ind w:left="3600" w:hanging="360"/>
      </w:pPr>
    </w:lvl>
    <w:lvl w:ilvl="5" w:tplc="F8AEEE72" w:tentative="1">
      <w:start w:val="1"/>
      <w:numFmt w:val="lowerRoman"/>
      <w:lvlText w:val="%6."/>
      <w:lvlJc w:val="right"/>
      <w:pPr>
        <w:tabs>
          <w:tab w:val="num" w:pos="4320"/>
        </w:tabs>
        <w:ind w:left="4320" w:hanging="180"/>
      </w:pPr>
    </w:lvl>
    <w:lvl w:ilvl="6" w:tplc="0A20C070" w:tentative="1">
      <w:start w:val="1"/>
      <w:numFmt w:val="decimal"/>
      <w:lvlText w:val="%7."/>
      <w:lvlJc w:val="left"/>
      <w:pPr>
        <w:tabs>
          <w:tab w:val="num" w:pos="5040"/>
        </w:tabs>
        <w:ind w:left="5040" w:hanging="360"/>
      </w:pPr>
    </w:lvl>
    <w:lvl w:ilvl="7" w:tplc="36FCB480" w:tentative="1">
      <w:start w:val="1"/>
      <w:numFmt w:val="lowerLetter"/>
      <w:lvlText w:val="%8."/>
      <w:lvlJc w:val="left"/>
      <w:pPr>
        <w:tabs>
          <w:tab w:val="num" w:pos="5760"/>
        </w:tabs>
        <w:ind w:left="5760" w:hanging="360"/>
      </w:pPr>
    </w:lvl>
    <w:lvl w:ilvl="8" w:tplc="473E91A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EDE5660">
      <w:start w:val="1"/>
      <w:numFmt w:val="decimal"/>
      <w:lvlText w:val="%1."/>
      <w:lvlJc w:val="left"/>
      <w:pPr>
        <w:tabs>
          <w:tab w:val="num" w:pos="1057"/>
        </w:tabs>
        <w:ind w:left="1057" w:hanging="360"/>
      </w:pPr>
      <w:rPr>
        <w:rFonts w:hint="default"/>
      </w:rPr>
    </w:lvl>
    <w:lvl w:ilvl="1" w:tplc="1FD8E7CC" w:tentative="1">
      <w:start w:val="1"/>
      <w:numFmt w:val="lowerLetter"/>
      <w:lvlText w:val="%2."/>
      <w:lvlJc w:val="left"/>
      <w:pPr>
        <w:tabs>
          <w:tab w:val="num" w:pos="2137"/>
        </w:tabs>
        <w:ind w:left="2137" w:hanging="360"/>
      </w:pPr>
    </w:lvl>
    <w:lvl w:ilvl="2" w:tplc="44283BDC" w:tentative="1">
      <w:start w:val="1"/>
      <w:numFmt w:val="lowerRoman"/>
      <w:lvlText w:val="%3."/>
      <w:lvlJc w:val="right"/>
      <w:pPr>
        <w:tabs>
          <w:tab w:val="num" w:pos="2857"/>
        </w:tabs>
        <w:ind w:left="2857" w:hanging="180"/>
      </w:pPr>
    </w:lvl>
    <w:lvl w:ilvl="3" w:tplc="F162074C" w:tentative="1">
      <w:start w:val="1"/>
      <w:numFmt w:val="decimal"/>
      <w:lvlText w:val="%4."/>
      <w:lvlJc w:val="left"/>
      <w:pPr>
        <w:tabs>
          <w:tab w:val="num" w:pos="3577"/>
        </w:tabs>
        <w:ind w:left="3577" w:hanging="360"/>
      </w:pPr>
    </w:lvl>
    <w:lvl w:ilvl="4" w:tplc="65BE974E" w:tentative="1">
      <w:start w:val="1"/>
      <w:numFmt w:val="lowerLetter"/>
      <w:lvlText w:val="%5."/>
      <w:lvlJc w:val="left"/>
      <w:pPr>
        <w:tabs>
          <w:tab w:val="num" w:pos="4297"/>
        </w:tabs>
        <w:ind w:left="4297" w:hanging="360"/>
      </w:pPr>
    </w:lvl>
    <w:lvl w:ilvl="5" w:tplc="F618BA9C" w:tentative="1">
      <w:start w:val="1"/>
      <w:numFmt w:val="lowerRoman"/>
      <w:lvlText w:val="%6."/>
      <w:lvlJc w:val="right"/>
      <w:pPr>
        <w:tabs>
          <w:tab w:val="num" w:pos="5017"/>
        </w:tabs>
        <w:ind w:left="5017" w:hanging="180"/>
      </w:pPr>
    </w:lvl>
    <w:lvl w:ilvl="6" w:tplc="99247300" w:tentative="1">
      <w:start w:val="1"/>
      <w:numFmt w:val="decimal"/>
      <w:lvlText w:val="%7."/>
      <w:lvlJc w:val="left"/>
      <w:pPr>
        <w:tabs>
          <w:tab w:val="num" w:pos="5737"/>
        </w:tabs>
        <w:ind w:left="5737" w:hanging="360"/>
      </w:pPr>
    </w:lvl>
    <w:lvl w:ilvl="7" w:tplc="52F286AA" w:tentative="1">
      <w:start w:val="1"/>
      <w:numFmt w:val="lowerLetter"/>
      <w:lvlText w:val="%8."/>
      <w:lvlJc w:val="left"/>
      <w:pPr>
        <w:tabs>
          <w:tab w:val="num" w:pos="6457"/>
        </w:tabs>
        <w:ind w:left="6457" w:hanging="360"/>
      </w:pPr>
    </w:lvl>
    <w:lvl w:ilvl="8" w:tplc="8DF46E32" w:tentative="1">
      <w:start w:val="1"/>
      <w:numFmt w:val="lowerRoman"/>
      <w:lvlText w:val="%9."/>
      <w:lvlJc w:val="right"/>
      <w:pPr>
        <w:tabs>
          <w:tab w:val="num" w:pos="7177"/>
        </w:tabs>
        <w:ind w:left="7177" w:hanging="180"/>
      </w:pPr>
    </w:lvl>
  </w:abstractNum>
  <w:abstractNum w:abstractNumId="14" w15:restartNumberingAfterBreak="0">
    <w:nsid w:val="68C231EC"/>
    <w:multiLevelType w:val="hybridMultilevel"/>
    <w:tmpl w:val="BDA285B2"/>
    <w:lvl w:ilvl="0" w:tplc="1409000F">
      <w:start w:val="1"/>
      <w:numFmt w:val="decimal"/>
      <w:lvlText w:val="%1."/>
      <w:lvlJc w:val="left"/>
      <w:pPr>
        <w:ind w:left="720" w:hanging="360"/>
      </w:pPr>
      <w:rPr>
        <w:rFonts w:cs="Times New Roman"/>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15" w15:restartNumberingAfterBreak="0">
    <w:nsid w:val="7212657C"/>
    <w:multiLevelType w:val="hybridMultilevel"/>
    <w:tmpl w:val="0A8E2A84"/>
    <w:lvl w:ilvl="0" w:tplc="E94A516A">
      <w:start w:val="1"/>
      <w:numFmt w:val="decimal"/>
      <w:pStyle w:val="ATSNumber1"/>
      <w:lvlText w:val="%1)"/>
      <w:lvlJc w:val="left"/>
      <w:pPr>
        <w:tabs>
          <w:tab w:val="num" w:pos="720"/>
        </w:tabs>
        <w:ind w:left="720" w:hanging="360"/>
      </w:pPr>
    </w:lvl>
    <w:lvl w:ilvl="1" w:tplc="DCECDF12" w:tentative="1">
      <w:start w:val="1"/>
      <w:numFmt w:val="lowerLetter"/>
      <w:lvlText w:val="%2."/>
      <w:lvlJc w:val="left"/>
      <w:pPr>
        <w:tabs>
          <w:tab w:val="num" w:pos="1440"/>
        </w:tabs>
        <w:ind w:left="1440" w:hanging="360"/>
      </w:pPr>
    </w:lvl>
    <w:lvl w:ilvl="2" w:tplc="4B4AC1FA" w:tentative="1">
      <w:start w:val="1"/>
      <w:numFmt w:val="lowerRoman"/>
      <w:lvlText w:val="%3."/>
      <w:lvlJc w:val="right"/>
      <w:pPr>
        <w:tabs>
          <w:tab w:val="num" w:pos="2160"/>
        </w:tabs>
        <w:ind w:left="2160" w:hanging="180"/>
      </w:pPr>
    </w:lvl>
    <w:lvl w:ilvl="3" w:tplc="198A4382" w:tentative="1">
      <w:start w:val="1"/>
      <w:numFmt w:val="decimal"/>
      <w:lvlText w:val="%4."/>
      <w:lvlJc w:val="left"/>
      <w:pPr>
        <w:tabs>
          <w:tab w:val="num" w:pos="2880"/>
        </w:tabs>
        <w:ind w:left="2880" w:hanging="360"/>
      </w:pPr>
    </w:lvl>
    <w:lvl w:ilvl="4" w:tplc="2AC08E7A" w:tentative="1">
      <w:start w:val="1"/>
      <w:numFmt w:val="lowerLetter"/>
      <w:lvlText w:val="%5."/>
      <w:lvlJc w:val="left"/>
      <w:pPr>
        <w:tabs>
          <w:tab w:val="num" w:pos="3600"/>
        </w:tabs>
        <w:ind w:left="3600" w:hanging="360"/>
      </w:pPr>
    </w:lvl>
    <w:lvl w:ilvl="5" w:tplc="5C70A21C" w:tentative="1">
      <w:start w:val="1"/>
      <w:numFmt w:val="lowerRoman"/>
      <w:lvlText w:val="%6."/>
      <w:lvlJc w:val="right"/>
      <w:pPr>
        <w:tabs>
          <w:tab w:val="num" w:pos="4320"/>
        </w:tabs>
        <w:ind w:left="4320" w:hanging="180"/>
      </w:pPr>
    </w:lvl>
    <w:lvl w:ilvl="6" w:tplc="7D3AB11E" w:tentative="1">
      <w:start w:val="1"/>
      <w:numFmt w:val="decimal"/>
      <w:lvlText w:val="%7."/>
      <w:lvlJc w:val="left"/>
      <w:pPr>
        <w:tabs>
          <w:tab w:val="num" w:pos="5040"/>
        </w:tabs>
        <w:ind w:left="5040" w:hanging="360"/>
      </w:pPr>
    </w:lvl>
    <w:lvl w:ilvl="7" w:tplc="70F4AF96" w:tentative="1">
      <w:start w:val="1"/>
      <w:numFmt w:val="lowerLetter"/>
      <w:lvlText w:val="%8."/>
      <w:lvlJc w:val="left"/>
      <w:pPr>
        <w:tabs>
          <w:tab w:val="num" w:pos="5760"/>
        </w:tabs>
        <w:ind w:left="5760" w:hanging="360"/>
      </w:pPr>
    </w:lvl>
    <w:lvl w:ilvl="8" w:tplc="869C9282"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524235F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5223B1A" w:tentative="1">
      <w:start w:val="1"/>
      <w:numFmt w:val="bullet"/>
      <w:lvlText w:val="o"/>
      <w:lvlJc w:val="left"/>
      <w:pPr>
        <w:tabs>
          <w:tab w:val="num" w:pos="2517"/>
        </w:tabs>
        <w:ind w:left="2517" w:hanging="360"/>
      </w:pPr>
      <w:rPr>
        <w:rFonts w:ascii="Courier New" w:hAnsi="Courier New" w:cs="Courier New" w:hint="default"/>
      </w:rPr>
    </w:lvl>
    <w:lvl w:ilvl="2" w:tplc="B81CC080" w:tentative="1">
      <w:start w:val="1"/>
      <w:numFmt w:val="bullet"/>
      <w:lvlText w:val=""/>
      <w:lvlJc w:val="left"/>
      <w:pPr>
        <w:tabs>
          <w:tab w:val="num" w:pos="3237"/>
        </w:tabs>
        <w:ind w:left="3237" w:hanging="360"/>
      </w:pPr>
      <w:rPr>
        <w:rFonts w:ascii="Wingdings" w:hAnsi="Wingdings" w:hint="default"/>
      </w:rPr>
    </w:lvl>
    <w:lvl w:ilvl="3" w:tplc="9F3C4AC0" w:tentative="1">
      <w:start w:val="1"/>
      <w:numFmt w:val="bullet"/>
      <w:lvlText w:val=""/>
      <w:lvlJc w:val="left"/>
      <w:pPr>
        <w:tabs>
          <w:tab w:val="num" w:pos="3957"/>
        </w:tabs>
        <w:ind w:left="3957" w:hanging="360"/>
      </w:pPr>
      <w:rPr>
        <w:rFonts w:ascii="Symbol" w:hAnsi="Symbol" w:hint="default"/>
      </w:rPr>
    </w:lvl>
    <w:lvl w:ilvl="4" w:tplc="FCC498F2" w:tentative="1">
      <w:start w:val="1"/>
      <w:numFmt w:val="bullet"/>
      <w:lvlText w:val="o"/>
      <w:lvlJc w:val="left"/>
      <w:pPr>
        <w:tabs>
          <w:tab w:val="num" w:pos="4677"/>
        </w:tabs>
        <w:ind w:left="4677" w:hanging="360"/>
      </w:pPr>
      <w:rPr>
        <w:rFonts w:ascii="Courier New" w:hAnsi="Courier New" w:cs="Courier New" w:hint="default"/>
      </w:rPr>
    </w:lvl>
    <w:lvl w:ilvl="5" w:tplc="279E3AA2" w:tentative="1">
      <w:start w:val="1"/>
      <w:numFmt w:val="bullet"/>
      <w:lvlText w:val=""/>
      <w:lvlJc w:val="left"/>
      <w:pPr>
        <w:tabs>
          <w:tab w:val="num" w:pos="5397"/>
        </w:tabs>
        <w:ind w:left="5397" w:hanging="360"/>
      </w:pPr>
      <w:rPr>
        <w:rFonts w:ascii="Wingdings" w:hAnsi="Wingdings" w:hint="default"/>
      </w:rPr>
    </w:lvl>
    <w:lvl w:ilvl="6" w:tplc="EBF80BBE" w:tentative="1">
      <w:start w:val="1"/>
      <w:numFmt w:val="bullet"/>
      <w:lvlText w:val=""/>
      <w:lvlJc w:val="left"/>
      <w:pPr>
        <w:tabs>
          <w:tab w:val="num" w:pos="6117"/>
        </w:tabs>
        <w:ind w:left="6117" w:hanging="360"/>
      </w:pPr>
      <w:rPr>
        <w:rFonts w:ascii="Symbol" w:hAnsi="Symbol" w:hint="default"/>
      </w:rPr>
    </w:lvl>
    <w:lvl w:ilvl="7" w:tplc="F648AFC4" w:tentative="1">
      <w:start w:val="1"/>
      <w:numFmt w:val="bullet"/>
      <w:lvlText w:val="o"/>
      <w:lvlJc w:val="left"/>
      <w:pPr>
        <w:tabs>
          <w:tab w:val="num" w:pos="6837"/>
        </w:tabs>
        <w:ind w:left="6837" w:hanging="360"/>
      </w:pPr>
      <w:rPr>
        <w:rFonts w:ascii="Courier New" w:hAnsi="Courier New" w:cs="Courier New" w:hint="default"/>
      </w:rPr>
    </w:lvl>
    <w:lvl w:ilvl="8" w:tplc="73FCF866"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B89A78AC">
      <w:start w:val="1"/>
      <w:numFmt w:val="decimal"/>
      <w:pStyle w:val="ATSNumber2"/>
      <w:lvlText w:val="%1."/>
      <w:lvlJc w:val="left"/>
      <w:pPr>
        <w:tabs>
          <w:tab w:val="num" w:pos="720"/>
        </w:tabs>
        <w:ind w:left="720" w:hanging="360"/>
      </w:pPr>
      <w:rPr>
        <w:rFonts w:hint="default"/>
      </w:rPr>
    </w:lvl>
    <w:lvl w:ilvl="1" w:tplc="E8B2BB58" w:tentative="1">
      <w:start w:val="1"/>
      <w:numFmt w:val="lowerLetter"/>
      <w:lvlText w:val="%2."/>
      <w:lvlJc w:val="left"/>
      <w:pPr>
        <w:tabs>
          <w:tab w:val="num" w:pos="1440"/>
        </w:tabs>
        <w:ind w:left="1440" w:hanging="360"/>
      </w:pPr>
    </w:lvl>
    <w:lvl w:ilvl="2" w:tplc="9BA23F84" w:tentative="1">
      <w:start w:val="1"/>
      <w:numFmt w:val="lowerRoman"/>
      <w:lvlText w:val="%3."/>
      <w:lvlJc w:val="right"/>
      <w:pPr>
        <w:tabs>
          <w:tab w:val="num" w:pos="2160"/>
        </w:tabs>
        <w:ind w:left="2160" w:hanging="180"/>
      </w:pPr>
    </w:lvl>
    <w:lvl w:ilvl="3" w:tplc="3368898C" w:tentative="1">
      <w:start w:val="1"/>
      <w:numFmt w:val="decimal"/>
      <w:lvlText w:val="%4."/>
      <w:lvlJc w:val="left"/>
      <w:pPr>
        <w:tabs>
          <w:tab w:val="num" w:pos="2880"/>
        </w:tabs>
        <w:ind w:left="2880" w:hanging="360"/>
      </w:pPr>
    </w:lvl>
    <w:lvl w:ilvl="4" w:tplc="2918CAB4" w:tentative="1">
      <w:start w:val="1"/>
      <w:numFmt w:val="lowerLetter"/>
      <w:lvlText w:val="%5."/>
      <w:lvlJc w:val="left"/>
      <w:pPr>
        <w:tabs>
          <w:tab w:val="num" w:pos="3600"/>
        </w:tabs>
        <w:ind w:left="3600" w:hanging="360"/>
      </w:pPr>
    </w:lvl>
    <w:lvl w:ilvl="5" w:tplc="EE3633DC" w:tentative="1">
      <w:start w:val="1"/>
      <w:numFmt w:val="lowerRoman"/>
      <w:lvlText w:val="%6."/>
      <w:lvlJc w:val="right"/>
      <w:pPr>
        <w:tabs>
          <w:tab w:val="num" w:pos="4320"/>
        </w:tabs>
        <w:ind w:left="4320" w:hanging="180"/>
      </w:pPr>
    </w:lvl>
    <w:lvl w:ilvl="6" w:tplc="D9AC1C8E" w:tentative="1">
      <w:start w:val="1"/>
      <w:numFmt w:val="decimal"/>
      <w:lvlText w:val="%7."/>
      <w:lvlJc w:val="left"/>
      <w:pPr>
        <w:tabs>
          <w:tab w:val="num" w:pos="5040"/>
        </w:tabs>
        <w:ind w:left="5040" w:hanging="360"/>
      </w:pPr>
    </w:lvl>
    <w:lvl w:ilvl="7" w:tplc="BF581D78" w:tentative="1">
      <w:start w:val="1"/>
      <w:numFmt w:val="lowerLetter"/>
      <w:lvlText w:val="%8."/>
      <w:lvlJc w:val="left"/>
      <w:pPr>
        <w:tabs>
          <w:tab w:val="num" w:pos="5760"/>
        </w:tabs>
        <w:ind w:left="5760" w:hanging="360"/>
      </w:pPr>
    </w:lvl>
    <w:lvl w:ilvl="8" w:tplc="F4A047D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2"/>
  </w:num>
  <w:num w:numId="15">
    <w:abstractNumId w:val="13"/>
  </w:num>
  <w:num w:numId="16">
    <w:abstractNumId w:val="10"/>
  </w:num>
  <w:num w:numId="17">
    <w:abstractNumId w:val="11"/>
  </w:num>
  <w:num w:numId="18">
    <w:abstractNumId w:val="16"/>
  </w:num>
  <w:num w:numId="19">
    <w:abstractNumId w:val="15"/>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EA"/>
    <w:rsid w:val="009B2C9A"/>
    <w:rsid w:val="00FB2C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AFE7C"/>
  <w15:chartTrackingRefBased/>
  <w15:docId w15:val="{9EEACAC3-ACA3-4CBF-AEDD-7F8E2A27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iPriority="35"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9B2C9A"/>
    <w:rPr>
      <w:sz w:val="22"/>
      <w:szCs w:val="22"/>
      <w:lang w:val="en-GB" w:eastAsia="en-US"/>
    </w:rPr>
  </w:style>
  <w:style w:type="paragraph" w:styleId="Descripcin">
    <w:name w:val="caption"/>
    <w:basedOn w:val="Normal"/>
    <w:next w:val="Normal"/>
    <w:uiPriority w:val="35"/>
    <w:unhideWhenUsed/>
    <w:qFormat/>
    <w:rsid w:val="009B2C9A"/>
    <w:pPr>
      <w:spacing w:after="200"/>
    </w:pPr>
    <w:rPr>
      <w:i/>
      <w:iCs/>
      <w:color w:val="44546A" w:themeColor="text2"/>
      <w:sz w:val="18"/>
      <w:szCs w:val="18"/>
    </w:rPr>
  </w:style>
  <w:style w:type="character" w:customStyle="1" w:styleId="ATSNormalChar">
    <w:name w:val="ATS Normal Char"/>
    <w:link w:val="ATSNormal"/>
    <w:locked/>
    <w:rsid w:val="009B2C9A"/>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gbc.org/news-media/annual-report-20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1982</Words>
  <Characters>11731</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2021-04-29T14:45:00Z</dcterms:modified>
</cp:coreProperties>
</file>