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6321" w14:textId="77777777" w:rsidR="00026826" w:rsidRPr="00BF077B" w:rsidRDefault="00026826" w:rsidP="00026826">
      <w:pPr>
        <w:pStyle w:val="ATSNormal"/>
        <w:rPr>
          <w:rStyle w:val="Ttulodellibro"/>
        </w:rPr>
      </w:pPr>
    </w:p>
    <w:p w14:paraId="2697B4AB" w14:textId="77777777" w:rsidR="00026826" w:rsidRDefault="00026826" w:rsidP="00026826">
      <w:pPr>
        <w:rPr>
          <w:b/>
          <w:u w:val="single"/>
          <w:lang w:val="es-ES_tradnl"/>
        </w:rPr>
      </w:pPr>
    </w:p>
    <w:p w14:paraId="24FAC922" w14:textId="77777777" w:rsidR="00026826" w:rsidRDefault="00026826" w:rsidP="00026826">
      <w:pPr>
        <w:rPr>
          <w:b/>
          <w:u w:val="single"/>
          <w:lang w:val="es-ES_tradnl"/>
        </w:rPr>
      </w:pPr>
    </w:p>
    <w:p w14:paraId="4402DBFE" w14:textId="77777777" w:rsidR="00026826" w:rsidRDefault="00026826" w:rsidP="00026826">
      <w:pPr>
        <w:rPr>
          <w:b/>
          <w:u w:val="single"/>
          <w:lang w:val="es-ES_tradnl"/>
        </w:rPr>
      </w:pPr>
    </w:p>
    <w:p w14:paraId="3CBE736B" w14:textId="77777777" w:rsidR="00026826" w:rsidRDefault="00026826" w:rsidP="00026826">
      <w:pPr>
        <w:rPr>
          <w:b/>
          <w:u w:val="single"/>
          <w:lang w:val="es-ES_tradnl"/>
        </w:rPr>
      </w:pPr>
    </w:p>
    <w:p w14:paraId="715EA908" w14:textId="77777777" w:rsidR="00026826" w:rsidRDefault="00026826" w:rsidP="00026826">
      <w:pPr>
        <w:rPr>
          <w:b/>
          <w:u w:val="single"/>
          <w:lang w:val="es-ES_tradnl"/>
        </w:rPr>
      </w:pPr>
    </w:p>
    <w:p w14:paraId="57879DF4" w14:textId="77777777" w:rsidR="00026826" w:rsidRPr="0057246E" w:rsidRDefault="00026826" w:rsidP="00026826">
      <w:pPr>
        <w:pStyle w:val="ATSTitle"/>
      </w:pPr>
      <w:bookmarkStart w:id="0" w:name="name"/>
      <w:r>
        <w:t>Mitigation of erosion of the coastline at the Spanish Antarctic Base Gabriel de Castilla</w:t>
      </w:r>
      <w:bookmarkEnd w:id="0"/>
    </w:p>
    <w:p w14:paraId="08C371D6" w14:textId="77777777" w:rsidR="00026826" w:rsidRPr="0057246E" w:rsidRDefault="00026826" w:rsidP="00026826">
      <w:pPr>
        <w:jc w:val="center"/>
      </w:pPr>
    </w:p>
    <w:p w14:paraId="4CF2CA33" w14:textId="77777777" w:rsidR="00026826" w:rsidRPr="002F0A13" w:rsidRDefault="00026826" w:rsidP="00026826"/>
    <w:p w14:paraId="1943EDDB" w14:textId="77777777" w:rsidR="00026826" w:rsidRDefault="00026826" w:rsidP="00026826">
      <w:pPr>
        <w:jc w:val="center"/>
      </w:pPr>
      <w:bookmarkStart w:id="1" w:name="memo"/>
      <w:r w:rsidRPr="00724FFB">
        <w:t xml:space="preserve">English version provided by the </w:t>
      </w:r>
      <w:proofErr w:type="gramStart"/>
      <w:r w:rsidRPr="00724FFB">
        <w:t>author</w:t>
      </w:r>
      <w:bookmarkEnd w:id="1"/>
      <w:proofErr w:type="gramEnd"/>
    </w:p>
    <w:p w14:paraId="5E08B08A" w14:textId="77777777" w:rsidR="00026826" w:rsidRDefault="00026826" w:rsidP="00026826">
      <w:pPr>
        <w:jc w:val="center"/>
      </w:pPr>
    </w:p>
    <w:p w14:paraId="0E699100" w14:textId="77777777" w:rsidR="00026826" w:rsidRDefault="00026826" w:rsidP="00026826">
      <w:pPr>
        <w:jc w:val="center"/>
      </w:pPr>
    </w:p>
    <w:p w14:paraId="02EC71F0" w14:textId="77777777" w:rsidR="00026826" w:rsidRDefault="00026826" w:rsidP="00026826">
      <w:pPr>
        <w:jc w:val="center"/>
      </w:pPr>
    </w:p>
    <w:p w14:paraId="43DBBBDC" w14:textId="77777777" w:rsidR="00026826" w:rsidRPr="00C26F2D" w:rsidRDefault="00026826" w:rsidP="00026826">
      <w:pPr>
        <w:jc w:val="center"/>
      </w:pPr>
    </w:p>
    <w:p w14:paraId="5FC2BF30" w14:textId="77777777" w:rsidR="00026826" w:rsidRPr="0057246E" w:rsidRDefault="00026826" w:rsidP="00026826"/>
    <w:p w14:paraId="4D2D843B" w14:textId="77777777" w:rsidR="00026826" w:rsidRDefault="00026826" w:rsidP="00026826">
      <w:pPr>
        <w:sectPr w:rsidR="00026826" w:rsidSect="00026826">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636A592" w14:textId="77777777" w:rsidR="00D0436B" w:rsidRPr="00905DF8" w:rsidRDefault="00D0436B" w:rsidP="00D0436B">
      <w:pPr>
        <w:pStyle w:val="ATSTitle"/>
        <w:rPr>
          <w:sz w:val="32"/>
          <w:szCs w:val="32"/>
        </w:rPr>
      </w:pPr>
      <w:r w:rsidRPr="00905DF8">
        <w:rPr>
          <w:sz w:val="32"/>
          <w:szCs w:val="32"/>
        </w:rPr>
        <w:lastRenderedPageBreak/>
        <w:t>Mitigation of erosion of the coastline at the Spanish Antarctic Base Gabriel de Castilla</w:t>
      </w:r>
    </w:p>
    <w:p w14:paraId="597ABF95" w14:textId="77777777" w:rsidR="00D0436B" w:rsidRPr="00905DF8" w:rsidRDefault="00D0436B" w:rsidP="00D0436B">
      <w:pPr>
        <w:pStyle w:val="ATSTitle"/>
        <w:rPr>
          <w:rFonts w:cs="Arial"/>
          <w:b w:val="0"/>
          <w:sz w:val="24"/>
          <w:szCs w:val="22"/>
          <w:u w:val="single"/>
        </w:rPr>
      </w:pPr>
    </w:p>
    <w:p w14:paraId="5514A665" w14:textId="77777777" w:rsidR="00D0436B" w:rsidRPr="00E45FF9" w:rsidRDefault="00D0436B" w:rsidP="00D0436B">
      <w:pPr>
        <w:jc w:val="center"/>
        <w:rPr>
          <w:rFonts w:ascii="Arial" w:hAnsi="Arial" w:cs="Arial"/>
          <w:b/>
          <w:sz w:val="24"/>
          <w:szCs w:val="22"/>
        </w:rPr>
      </w:pPr>
      <w:r w:rsidRPr="00E45FF9">
        <w:rPr>
          <w:rFonts w:ascii="Arial" w:hAnsi="Arial"/>
          <w:b/>
          <w:sz w:val="24"/>
          <w:szCs w:val="22"/>
        </w:rPr>
        <w:t xml:space="preserve">Information </w:t>
      </w:r>
      <w:r>
        <w:rPr>
          <w:rFonts w:ascii="Arial" w:hAnsi="Arial"/>
          <w:b/>
          <w:sz w:val="24"/>
          <w:szCs w:val="22"/>
        </w:rPr>
        <w:t>Paper</w:t>
      </w:r>
      <w:r w:rsidRPr="00E45FF9">
        <w:rPr>
          <w:rFonts w:ascii="Arial" w:hAnsi="Arial"/>
          <w:b/>
          <w:sz w:val="24"/>
          <w:szCs w:val="22"/>
        </w:rPr>
        <w:t xml:space="preserve"> presented by </w:t>
      </w:r>
      <w:proofErr w:type="gramStart"/>
      <w:r w:rsidRPr="00E45FF9">
        <w:rPr>
          <w:rFonts w:ascii="Arial" w:hAnsi="Arial"/>
          <w:b/>
          <w:sz w:val="24"/>
          <w:szCs w:val="22"/>
        </w:rPr>
        <w:t>Spain</w:t>
      </w:r>
      <w:proofErr w:type="gramEnd"/>
    </w:p>
    <w:p w14:paraId="144066C8" w14:textId="77777777" w:rsidR="00D0436B" w:rsidRPr="00E45FF9" w:rsidRDefault="00D0436B" w:rsidP="00D0436B">
      <w:pPr>
        <w:jc w:val="both"/>
        <w:rPr>
          <w:rFonts w:ascii="Arial" w:hAnsi="Arial" w:cs="Arial"/>
          <w:b/>
          <w:sz w:val="24"/>
          <w:szCs w:val="22"/>
        </w:rPr>
      </w:pPr>
    </w:p>
    <w:p w14:paraId="05B3C453" w14:textId="77777777" w:rsidR="00D0436B" w:rsidRPr="00C0324E" w:rsidRDefault="00D0436B" w:rsidP="00D0436B">
      <w:pPr>
        <w:spacing w:before="240" w:after="120"/>
        <w:jc w:val="both"/>
        <w:rPr>
          <w:b/>
          <w:i/>
          <w:szCs w:val="22"/>
        </w:rPr>
      </w:pPr>
      <w:r w:rsidRPr="00C0324E">
        <w:rPr>
          <w:rFonts w:ascii="Arial" w:hAnsi="Arial"/>
          <w:b/>
          <w:i/>
          <w:sz w:val="24"/>
        </w:rPr>
        <w:t>Summary</w:t>
      </w:r>
    </w:p>
    <w:p w14:paraId="5C7F6A6F" w14:textId="77777777" w:rsidR="00D0436B" w:rsidRPr="003F3DEA" w:rsidRDefault="00D0436B" w:rsidP="00D0436B">
      <w:pPr>
        <w:spacing w:before="240" w:after="120"/>
        <w:jc w:val="both"/>
      </w:pPr>
      <w:r w:rsidRPr="00905DF8">
        <w:t xml:space="preserve">Since the 2014-2015 Antarctic summer, a series of actions have been carried out at </w:t>
      </w:r>
      <w:r w:rsidRPr="0070652F">
        <w:t>the Spanish Antarctic Base</w:t>
      </w:r>
      <w:r w:rsidRPr="00905DF8">
        <w:t xml:space="preserve"> (BAE) Gabriel de Castilla</w:t>
      </w:r>
      <w:r>
        <w:t xml:space="preserve"> to mitigate the erosion of the slope where this station is situated. The first step was a pilot project to assess the results of the proposed solutions. After observation over six Antarctic </w:t>
      </w:r>
      <w:r w:rsidRPr="003F3DEA">
        <w:t>campaigns, along with several technical studies during th</w:t>
      </w:r>
      <w:r>
        <w:t>at</w:t>
      </w:r>
      <w:r w:rsidRPr="003F3DEA">
        <w:t xml:space="preserve"> same period, civil engineering </w:t>
      </w:r>
      <w:r>
        <w:t>w</w:t>
      </w:r>
      <w:r w:rsidRPr="003F3DEA">
        <w:t>orks were carried out</w:t>
      </w:r>
      <w:r>
        <w:t xml:space="preserve"> during the </w:t>
      </w:r>
      <w:r w:rsidRPr="003F3DEA">
        <w:t>2019-2020 campaign to mitigate the</w:t>
      </w:r>
      <w:r>
        <w:t xml:space="preserve"> slope’s erosion, in an attempt to avoid the coastline’s advancing into the area where the </w:t>
      </w:r>
      <w:r w:rsidRPr="00810549">
        <w:t>installations</w:t>
      </w:r>
      <w:r>
        <w:t xml:space="preserve"> are </w:t>
      </w:r>
      <w:proofErr w:type="gramStart"/>
      <w:r>
        <w:t>located, and</w:t>
      </w:r>
      <w:proofErr w:type="gramEnd"/>
      <w:r>
        <w:t xml:space="preserve"> halt their potential destruction.</w:t>
      </w:r>
    </w:p>
    <w:p w14:paraId="1F230CB4" w14:textId="77777777" w:rsidR="00D0436B" w:rsidRPr="00C0324E" w:rsidRDefault="00D0436B" w:rsidP="00D0436B">
      <w:pPr>
        <w:spacing w:before="240" w:after="120"/>
        <w:jc w:val="both"/>
        <w:rPr>
          <w:rFonts w:ascii="Arial" w:hAnsi="Arial" w:cs="Arial"/>
          <w:b/>
          <w:i/>
          <w:sz w:val="24"/>
        </w:rPr>
      </w:pPr>
      <w:r w:rsidRPr="00C0324E">
        <w:rPr>
          <w:rFonts w:ascii="Arial" w:hAnsi="Arial"/>
          <w:b/>
          <w:i/>
          <w:sz w:val="24"/>
        </w:rPr>
        <w:t>Background</w:t>
      </w:r>
    </w:p>
    <w:p w14:paraId="1EAB09D8" w14:textId="77777777" w:rsidR="00D0436B" w:rsidRPr="000016E7" w:rsidRDefault="00D0436B" w:rsidP="00D0436B">
      <w:pPr>
        <w:pStyle w:val="Prrafodelista"/>
        <w:spacing w:before="120" w:after="120"/>
        <w:ind w:left="0"/>
        <w:jc w:val="both"/>
        <w:rPr>
          <w:lang w:val="en-US"/>
        </w:rPr>
      </w:pPr>
      <w:r>
        <w:rPr>
          <w:lang w:val="en-US"/>
        </w:rPr>
        <w:t>P</w:t>
      </w:r>
      <w:r w:rsidRPr="003F3DEA">
        <w:rPr>
          <w:lang w:val="en-US"/>
        </w:rPr>
        <w:t>ersonnel working at the BAE Gabriel de Castilla</w:t>
      </w:r>
      <w:r>
        <w:rPr>
          <w:lang w:val="en-US"/>
        </w:rPr>
        <w:t xml:space="preserve"> had observed serious erosion of the terrain around the station, resulting in the loss of surface area around it, s</w:t>
      </w:r>
      <w:r w:rsidRPr="003F3DEA">
        <w:rPr>
          <w:lang w:val="en-US"/>
        </w:rPr>
        <w:t>ince the 2008-2009Antarctic campaign</w:t>
      </w:r>
      <w:r>
        <w:rPr>
          <w:lang w:val="en-US"/>
        </w:rPr>
        <w:t xml:space="preserve">. </w:t>
      </w:r>
      <w:r w:rsidRPr="000016E7">
        <w:rPr>
          <w:lang w:val="en-US"/>
        </w:rPr>
        <w:t xml:space="preserve">This trend was confirmed over five consecutive campaigns, with the loss being quantified </w:t>
      </w:r>
      <w:r>
        <w:rPr>
          <w:lang w:val="en-US"/>
        </w:rPr>
        <w:t>during</w:t>
      </w:r>
      <w:r w:rsidRPr="000016E7">
        <w:rPr>
          <w:lang w:val="en-US"/>
        </w:rPr>
        <w:t xml:space="preserve"> the 2011-2012 </w:t>
      </w:r>
      <w:r>
        <w:rPr>
          <w:lang w:val="en-US"/>
        </w:rPr>
        <w:t>and</w:t>
      </w:r>
      <w:r w:rsidRPr="000016E7">
        <w:rPr>
          <w:lang w:val="en-US"/>
        </w:rPr>
        <w:t xml:space="preserve"> 2012-2013 </w:t>
      </w:r>
      <w:r>
        <w:rPr>
          <w:lang w:val="en-US"/>
        </w:rPr>
        <w:t>campaigns at 1 m per year</w:t>
      </w:r>
      <w:r w:rsidRPr="000016E7">
        <w:rPr>
          <w:lang w:val="en-US"/>
        </w:rPr>
        <w:t>.</w:t>
      </w:r>
      <w:r>
        <w:rPr>
          <w:lang w:val="en-US"/>
        </w:rPr>
        <w:t xml:space="preserve"> </w:t>
      </w:r>
      <w:r w:rsidRPr="000016E7">
        <w:rPr>
          <w:lang w:val="en-US"/>
        </w:rPr>
        <w:t xml:space="preserve">Given the risk for the stability of the installations, during the 2014-2015 campaign a partial </w:t>
      </w:r>
      <w:r>
        <w:rPr>
          <w:lang w:val="en-US"/>
        </w:rPr>
        <w:t>intervention was proposed for the 100 m of the slope most directly affecting the station.</w:t>
      </w:r>
    </w:p>
    <w:p w14:paraId="22A55CA4" w14:textId="77777777" w:rsidR="00D0436B" w:rsidRPr="000016E7" w:rsidRDefault="00D0436B" w:rsidP="00D0436B">
      <w:pPr>
        <w:pStyle w:val="Prrafodelista"/>
        <w:spacing w:before="120" w:after="120"/>
        <w:ind w:left="0"/>
        <w:jc w:val="both"/>
        <w:rPr>
          <w:lang w:val="en-US"/>
        </w:rPr>
      </w:pPr>
      <w:r>
        <w:rPr>
          <w:lang w:val="en-US"/>
        </w:rPr>
        <w:t>S</w:t>
      </w:r>
      <w:r w:rsidRPr="000016E7">
        <w:rPr>
          <w:lang w:val="en-US"/>
        </w:rPr>
        <w:t xml:space="preserve">urface stabilization using </w:t>
      </w:r>
      <w:r>
        <w:rPr>
          <w:lang w:val="en-US"/>
        </w:rPr>
        <w:t xml:space="preserve">a cellular confinement system was used due to its simplicity and the need to carry out the work with materials available near the station. After a preliminary environmental impact study determined that the activities would </w:t>
      </w:r>
      <w:r w:rsidRPr="00A7625A">
        <w:rPr>
          <w:lang w:val="en-US"/>
        </w:rPr>
        <w:t>have a less-than-minimal or transitory impact, works on a gabion retaining wall were begun.</w:t>
      </w:r>
    </w:p>
    <w:p w14:paraId="3CDFC9C2" w14:textId="77777777" w:rsidR="00D0436B" w:rsidRPr="00D0436B" w:rsidRDefault="00D0436B" w:rsidP="00D0436B">
      <w:pPr>
        <w:pStyle w:val="Prrafodelista"/>
        <w:spacing w:before="120" w:after="120"/>
        <w:ind w:left="0"/>
        <w:jc w:val="both"/>
        <w:rPr>
          <w:color w:val="000000"/>
          <w:lang w:val="en-US"/>
        </w:rPr>
      </w:pPr>
      <w:r w:rsidRPr="00AD2954">
        <w:rPr>
          <w:lang w:val="en-US"/>
        </w:rPr>
        <w:t xml:space="preserve">The project was carried out during the 2014-2015, 2015-2016 </w:t>
      </w:r>
      <w:r>
        <w:rPr>
          <w:lang w:val="en-US"/>
        </w:rPr>
        <w:t>and</w:t>
      </w:r>
      <w:r w:rsidRPr="00AD2954">
        <w:rPr>
          <w:lang w:val="en-US"/>
        </w:rPr>
        <w:t xml:space="preserve"> 2016-2017 campaigns, </w:t>
      </w:r>
      <w:r>
        <w:rPr>
          <w:lang w:val="en-US"/>
        </w:rPr>
        <w:t>with the following phases</w:t>
      </w:r>
      <w:r w:rsidRPr="00AD2954">
        <w:rPr>
          <w:lang w:val="en-US"/>
        </w:rPr>
        <w:t>:</w:t>
      </w:r>
    </w:p>
    <w:p w14:paraId="704BEA92" w14:textId="77777777" w:rsidR="00D0436B" w:rsidRPr="00AD2954" w:rsidRDefault="00D0436B" w:rsidP="00D0436B">
      <w:pPr>
        <w:pStyle w:val="Prrafodelista"/>
        <w:spacing w:before="120" w:after="120"/>
        <w:ind w:left="0"/>
        <w:jc w:val="both"/>
        <w:rPr>
          <w:lang w:val="en-US"/>
        </w:rPr>
      </w:pPr>
      <w:r w:rsidRPr="00AD2954">
        <w:rPr>
          <w:lang w:val="en-US"/>
        </w:rPr>
        <w:t xml:space="preserve">Phase 1, 2014-2015 campaign: 65 m built on the beach and the </w:t>
      </w:r>
      <w:r>
        <w:rPr>
          <w:lang w:val="en-US"/>
        </w:rPr>
        <w:t>slope</w:t>
      </w:r>
      <w:r w:rsidRPr="00AD2954">
        <w:rPr>
          <w:lang w:val="en-US"/>
        </w:rPr>
        <w:t>.</w:t>
      </w:r>
    </w:p>
    <w:p w14:paraId="2B72CDBD" w14:textId="77777777" w:rsidR="00D0436B" w:rsidRPr="001230DE" w:rsidRDefault="00D0436B" w:rsidP="00D0436B">
      <w:pPr>
        <w:pStyle w:val="Prrafodelista"/>
        <w:spacing w:before="120" w:after="120"/>
        <w:ind w:left="0"/>
        <w:jc w:val="both"/>
        <w:rPr>
          <w:lang w:val="en-US"/>
        </w:rPr>
      </w:pPr>
      <w:r w:rsidRPr="001230DE">
        <w:rPr>
          <w:lang w:val="en-US"/>
        </w:rPr>
        <w:t xml:space="preserve">Phase 2, 2015-2016 campaign: 30 m built on the western side of the original </w:t>
      </w:r>
      <w:r>
        <w:rPr>
          <w:lang w:val="en-US"/>
        </w:rPr>
        <w:t>a</w:t>
      </w:r>
      <w:r w:rsidRPr="001230DE">
        <w:rPr>
          <w:lang w:val="en-US"/>
        </w:rPr>
        <w:t>ccess ramp.</w:t>
      </w:r>
    </w:p>
    <w:p w14:paraId="6E4B984F" w14:textId="77777777" w:rsidR="00D0436B" w:rsidRPr="001230DE" w:rsidRDefault="00D0436B" w:rsidP="00D0436B">
      <w:pPr>
        <w:pStyle w:val="Prrafodelista"/>
        <w:spacing w:before="120" w:after="120"/>
        <w:ind w:left="0"/>
        <w:jc w:val="both"/>
        <w:rPr>
          <w:lang w:val="en-US"/>
        </w:rPr>
      </w:pPr>
      <w:r w:rsidRPr="001230DE">
        <w:rPr>
          <w:lang w:val="en-US"/>
        </w:rPr>
        <w:t>Phase 3, 2016-2017 campaign: 33 m built on both sides of the ramp.</w:t>
      </w:r>
    </w:p>
    <w:p w14:paraId="651F07EE" w14:textId="77777777" w:rsidR="00D0436B" w:rsidRPr="001230DE" w:rsidRDefault="00D0436B" w:rsidP="00D0436B">
      <w:pPr>
        <w:pStyle w:val="Prrafodelista"/>
        <w:spacing w:before="120" w:after="120"/>
        <w:ind w:left="0"/>
        <w:jc w:val="both"/>
        <w:rPr>
          <w:lang w:val="en-US"/>
        </w:rPr>
      </w:pPr>
      <w:r w:rsidRPr="001230DE">
        <w:rPr>
          <w:lang w:val="en-US"/>
        </w:rPr>
        <w:t xml:space="preserve">Phase 4, 2017-2018 campaign: Expert evaluation, data collection and replacement of </w:t>
      </w:r>
      <w:r w:rsidRPr="00A7625A">
        <w:rPr>
          <w:lang w:val="en-US"/>
        </w:rPr>
        <w:t>deteriorated gabion baskets fro</w:t>
      </w:r>
      <w:r w:rsidRPr="001230DE">
        <w:rPr>
          <w:lang w:val="en-US"/>
        </w:rPr>
        <w:t>m previous phases.</w:t>
      </w:r>
    </w:p>
    <w:p w14:paraId="728031C4" w14:textId="77777777" w:rsidR="00D0436B" w:rsidRPr="001230DE" w:rsidRDefault="00D0436B" w:rsidP="00D0436B">
      <w:pPr>
        <w:pStyle w:val="Prrafodelista"/>
        <w:spacing w:before="120" w:after="120"/>
        <w:ind w:left="0"/>
        <w:jc w:val="both"/>
        <w:rPr>
          <w:lang w:val="en-US"/>
        </w:rPr>
      </w:pPr>
      <w:r w:rsidRPr="001230DE">
        <w:rPr>
          <w:lang w:val="en-US"/>
        </w:rPr>
        <w:t xml:space="preserve">Phase 5, 2018-2019 campaign: Expert evaluation, data collection and construction of 15 m of </w:t>
      </w:r>
      <w:r>
        <w:rPr>
          <w:lang w:val="en-US"/>
        </w:rPr>
        <w:t xml:space="preserve">gabion wall on the western </w:t>
      </w:r>
      <w:proofErr w:type="gramStart"/>
      <w:r>
        <w:rPr>
          <w:lang w:val="en-US"/>
        </w:rPr>
        <w:t>edge, and</w:t>
      </w:r>
      <w:proofErr w:type="gramEnd"/>
      <w:r>
        <w:rPr>
          <w:lang w:val="en-US"/>
        </w:rPr>
        <w:t xml:space="preserve"> shoring up of the gabion walls already built.</w:t>
      </w:r>
    </w:p>
    <w:p w14:paraId="3B021328" w14:textId="77777777" w:rsidR="00D0436B" w:rsidRPr="001230DE" w:rsidRDefault="00D0436B" w:rsidP="00D0436B">
      <w:pPr>
        <w:pStyle w:val="Prrafodelista"/>
        <w:spacing w:before="120" w:after="120"/>
        <w:ind w:left="0"/>
        <w:jc w:val="both"/>
        <w:rPr>
          <w:lang w:val="en-US"/>
        </w:rPr>
      </w:pPr>
      <w:r w:rsidRPr="001230DE">
        <w:rPr>
          <w:lang w:val="en-US"/>
        </w:rPr>
        <w:t xml:space="preserve">The technical projects carried out during the 2017-2018 and 2018-2019 campaigns contributed to a preliminary evaluation of the </w:t>
      </w:r>
      <w:r>
        <w:rPr>
          <w:lang w:val="en-US"/>
        </w:rPr>
        <w:t>civil engineering works, as well as providing data for determining the origin of the slope’s erosion.</w:t>
      </w:r>
    </w:p>
    <w:p w14:paraId="59A5AF2F" w14:textId="77777777" w:rsidR="00D0436B" w:rsidRPr="00D0436B" w:rsidRDefault="00D0436B" w:rsidP="00D0436B">
      <w:pPr>
        <w:pStyle w:val="Prrafodelista"/>
        <w:spacing w:before="120" w:after="120"/>
        <w:ind w:left="0"/>
        <w:jc w:val="both"/>
        <w:rPr>
          <w:color w:val="000000"/>
        </w:rPr>
      </w:pPr>
      <w:r w:rsidRPr="00D0436B">
        <w:rPr>
          <w:color w:val="000000"/>
        </w:rPr>
        <w:t>The conclusions were:</w:t>
      </w:r>
    </w:p>
    <w:p w14:paraId="443E8D1E" w14:textId="77777777" w:rsidR="00D0436B" w:rsidRPr="00D0436B" w:rsidRDefault="00D0436B" w:rsidP="00D0436B">
      <w:pPr>
        <w:pStyle w:val="Prrafodelista"/>
        <w:numPr>
          <w:ilvl w:val="0"/>
          <w:numId w:val="21"/>
        </w:numPr>
        <w:spacing w:before="120" w:after="120"/>
        <w:ind w:left="714" w:hanging="357"/>
        <w:jc w:val="both"/>
        <w:rPr>
          <w:color w:val="000000"/>
          <w:lang w:val="en-US"/>
        </w:rPr>
      </w:pPr>
      <w:r w:rsidRPr="00D0436B">
        <w:rPr>
          <w:color w:val="000000"/>
          <w:lang w:val="en-US"/>
        </w:rPr>
        <w:t>According to the data obtained, there was no evidence of slope shift. The gullies observed around the station seemed to form part of a generalized pattern throughout the area, which does not seem to be related to the human activity there and appears to be an intractable problem.</w:t>
      </w:r>
    </w:p>
    <w:p w14:paraId="2EB89915" w14:textId="77777777" w:rsidR="00D0436B" w:rsidRPr="00D0436B" w:rsidRDefault="00D0436B" w:rsidP="00D0436B">
      <w:pPr>
        <w:pStyle w:val="Prrafodelista"/>
        <w:numPr>
          <w:ilvl w:val="0"/>
          <w:numId w:val="21"/>
        </w:numPr>
        <w:spacing w:before="120" w:after="120"/>
        <w:ind w:left="714" w:hanging="357"/>
        <w:jc w:val="both"/>
        <w:rPr>
          <w:color w:val="000000"/>
          <w:lang w:val="en-US"/>
        </w:rPr>
      </w:pPr>
      <w:r w:rsidRPr="00D0436B">
        <w:rPr>
          <w:color w:val="000000"/>
          <w:lang w:val="en-US"/>
        </w:rPr>
        <w:t>A thickening of the active layer of permafrost has been observed throughout the Antarctic Peninsula. Consequently, the recommendation was to excavate and clear out the module foundations to allow an exchange of energy and avoid overheating the bottoms of the modules.</w:t>
      </w:r>
    </w:p>
    <w:p w14:paraId="7AD584A8" w14:textId="77777777" w:rsidR="00D0436B" w:rsidRPr="00D0436B" w:rsidRDefault="00D0436B" w:rsidP="00D0436B">
      <w:pPr>
        <w:pStyle w:val="Prrafodelista"/>
        <w:numPr>
          <w:ilvl w:val="0"/>
          <w:numId w:val="21"/>
        </w:numPr>
        <w:spacing w:before="120" w:after="120"/>
        <w:jc w:val="both"/>
        <w:rPr>
          <w:color w:val="000000"/>
          <w:lang w:val="en-US"/>
        </w:rPr>
      </w:pPr>
      <w:r w:rsidRPr="00D0436B">
        <w:rPr>
          <w:color w:val="000000"/>
          <w:lang w:val="en-US"/>
        </w:rPr>
        <w:t xml:space="preserve">The receding crest line of the slope was clearly </w:t>
      </w:r>
      <w:proofErr w:type="gramStart"/>
      <w:r w:rsidRPr="00D0436B">
        <w:rPr>
          <w:color w:val="000000"/>
          <w:lang w:val="en-US"/>
        </w:rPr>
        <w:t>evident, and</w:t>
      </w:r>
      <w:proofErr w:type="gramEnd"/>
      <w:r w:rsidRPr="00D0436B">
        <w:rPr>
          <w:color w:val="000000"/>
          <w:lang w:val="en-US"/>
        </w:rPr>
        <w:t xml:space="preserve"> quantified in the area around the station at approximately 9 m between 2001 and 2013. </w:t>
      </w:r>
    </w:p>
    <w:p w14:paraId="6C4F0C8D" w14:textId="77777777" w:rsidR="00D0436B" w:rsidRPr="00D0436B" w:rsidRDefault="00D0436B" w:rsidP="00D0436B">
      <w:pPr>
        <w:pStyle w:val="Prrafodelista"/>
        <w:numPr>
          <w:ilvl w:val="0"/>
          <w:numId w:val="21"/>
        </w:numPr>
        <w:spacing w:before="120" w:after="120"/>
        <w:jc w:val="both"/>
        <w:rPr>
          <w:color w:val="000000"/>
          <w:lang w:val="en-US"/>
        </w:rPr>
      </w:pPr>
      <w:r w:rsidRPr="00D0436B">
        <w:rPr>
          <w:color w:val="000000"/>
          <w:lang w:val="en-US"/>
        </w:rPr>
        <w:lastRenderedPageBreak/>
        <w:t>In the area where the gabion walls were built, the pace of shoreline erosion was observed to have diminished, although this was not enough to ensure the stability of the Gabriel de Castilla.</w:t>
      </w:r>
    </w:p>
    <w:p w14:paraId="2FA1703D" w14:textId="77777777" w:rsidR="00D0436B" w:rsidRPr="00D0436B" w:rsidRDefault="00D0436B" w:rsidP="00D0436B">
      <w:pPr>
        <w:pStyle w:val="Prrafodelista"/>
        <w:numPr>
          <w:ilvl w:val="0"/>
          <w:numId w:val="21"/>
        </w:numPr>
        <w:spacing w:before="120" w:after="120"/>
        <w:ind w:left="714" w:hanging="357"/>
        <w:jc w:val="both"/>
        <w:rPr>
          <w:color w:val="000000"/>
          <w:lang w:val="en-US"/>
        </w:rPr>
      </w:pPr>
      <w:r w:rsidRPr="00D0436B">
        <w:rPr>
          <w:color w:val="000000"/>
          <w:lang w:val="en-US"/>
        </w:rPr>
        <w:t>With a view to future replacement of the station’s modules, these new modules must be separated from each other as much as possible, with higher pylons to enable energy exchange with the atmosphere, lessening impact on the ground.</w:t>
      </w:r>
    </w:p>
    <w:p w14:paraId="5F5BA71B" w14:textId="77777777" w:rsidR="00D0436B" w:rsidRPr="00D0436B" w:rsidRDefault="00D0436B" w:rsidP="00D0436B">
      <w:pPr>
        <w:pStyle w:val="Prrafodelista"/>
        <w:numPr>
          <w:ilvl w:val="0"/>
          <w:numId w:val="21"/>
        </w:numPr>
        <w:jc w:val="both"/>
        <w:rPr>
          <w:color w:val="000000"/>
          <w:lang w:val="en-US"/>
        </w:rPr>
      </w:pPr>
      <w:r w:rsidRPr="00D0436B">
        <w:rPr>
          <w:color w:val="000000"/>
          <w:lang w:val="en-US"/>
        </w:rPr>
        <w:t xml:space="preserve">It will be necessary to initiate corrective measures for the receding crest line of the slope, using gabion baskets, given the insufficient results of the previous measures. This must include removing the gabions placed between 2014 and 2017, replacing them with new gabion walls more efficiently placed along the entire coastline, as well as relocating the access ramp from the beach to the station. </w:t>
      </w:r>
    </w:p>
    <w:p w14:paraId="5A269392" w14:textId="77777777" w:rsidR="00D0436B" w:rsidRPr="00F05211" w:rsidRDefault="00D0436B" w:rsidP="00D0436B">
      <w:pPr>
        <w:spacing w:before="240" w:after="120"/>
        <w:jc w:val="both"/>
        <w:rPr>
          <w:rFonts w:ascii="Arial" w:hAnsi="Arial" w:cs="Arial"/>
          <w:b/>
          <w:i/>
          <w:sz w:val="24"/>
        </w:rPr>
      </w:pPr>
      <w:r>
        <w:rPr>
          <w:rFonts w:ascii="Arial" w:hAnsi="Arial"/>
          <w:b/>
          <w:i/>
          <w:sz w:val="24"/>
        </w:rPr>
        <w:t>Works</w:t>
      </w:r>
      <w:r w:rsidRPr="00F05211">
        <w:rPr>
          <w:rFonts w:ascii="Arial" w:hAnsi="Arial"/>
          <w:b/>
          <w:i/>
          <w:sz w:val="24"/>
        </w:rPr>
        <w:t xml:space="preserve"> during the 2019-2020 campaign</w:t>
      </w:r>
    </w:p>
    <w:p w14:paraId="14F81CF0" w14:textId="77777777" w:rsidR="00D0436B" w:rsidRPr="00814F79" w:rsidRDefault="00D0436B" w:rsidP="00D0436B">
      <w:pPr>
        <w:spacing w:before="120" w:after="120"/>
        <w:jc w:val="both"/>
        <w:rPr>
          <w:szCs w:val="22"/>
        </w:rPr>
      </w:pPr>
      <w:r w:rsidRPr="00F05211">
        <w:rPr>
          <w:szCs w:val="22"/>
        </w:rPr>
        <w:t xml:space="preserve">Throughout </w:t>
      </w:r>
      <w:r w:rsidRPr="00276AFC">
        <w:rPr>
          <w:szCs w:val="22"/>
        </w:rPr>
        <w:t>2019, a preliminary environmental impact study was</w:t>
      </w:r>
      <w:r>
        <w:rPr>
          <w:szCs w:val="22"/>
        </w:rPr>
        <w:t xml:space="preserve"> carried out which determined that the activities would have a minimal or transitory impact, and therefore the activity was approved for execution during the </w:t>
      </w:r>
      <w:r w:rsidRPr="00F05211">
        <w:rPr>
          <w:szCs w:val="22"/>
        </w:rPr>
        <w:t xml:space="preserve">Antarctic summer of 2019-2020. </w:t>
      </w:r>
      <w:r w:rsidRPr="00814F79">
        <w:rPr>
          <w:szCs w:val="22"/>
        </w:rPr>
        <w:t xml:space="preserve">During that campaign, seven engineers from the Spanish Army were deployed to the BAE Gabriel de Castilla </w:t>
      </w:r>
      <w:r>
        <w:rPr>
          <w:szCs w:val="22"/>
        </w:rPr>
        <w:t>to build the gabion walls, as well as a platform for unloading material from the beach to the station.</w:t>
      </w:r>
    </w:p>
    <w:p w14:paraId="0D7ACEF3" w14:textId="77777777" w:rsidR="00D0436B" w:rsidRPr="00C0324E" w:rsidRDefault="00D0436B" w:rsidP="00D0436B">
      <w:pPr>
        <w:spacing w:before="120" w:after="120"/>
        <w:jc w:val="both"/>
        <w:rPr>
          <w:i/>
          <w:szCs w:val="22"/>
        </w:rPr>
      </w:pPr>
      <w:r w:rsidRPr="00C0324E">
        <w:rPr>
          <w:i/>
          <w:szCs w:val="22"/>
        </w:rPr>
        <w:t>Retaining wall</w:t>
      </w:r>
    </w:p>
    <w:p w14:paraId="3B61F6C0" w14:textId="77777777" w:rsidR="00D0436B" w:rsidRPr="0010038C" w:rsidRDefault="00D0436B" w:rsidP="00D0436B">
      <w:pPr>
        <w:spacing w:before="120" w:after="120"/>
        <w:jc w:val="both"/>
        <w:rPr>
          <w:szCs w:val="22"/>
        </w:rPr>
      </w:pPr>
      <w:r w:rsidRPr="00E16762">
        <w:rPr>
          <w:szCs w:val="22"/>
        </w:rPr>
        <w:t xml:space="preserve">A retaining wall 125 m long was built of gabion baskets, with three different heights—a 53-m section being the highest—adapting to the terrain on which the station is located. The wall was built of 1.1 x 1.4 x 1.1-m gabion baskets filled with material from the </w:t>
      </w:r>
      <w:proofErr w:type="gramStart"/>
      <w:r w:rsidRPr="00E16762">
        <w:rPr>
          <w:szCs w:val="22"/>
        </w:rPr>
        <w:t>area, and</w:t>
      </w:r>
      <w:proofErr w:type="gramEnd"/>
      <w:r w:rsidRPr="00E16762">
        <w:rPr>
          <w:szCs w:val="22"/>
        </w:rPr>
        <w:t xml:space="preserve"> shored up on its windward side with a foot-wide base unit made of cement paving slabs on the two lower levels, and a half-foot base at the highest level, to provide greater resistance to the effect of spring tides and winter ice floes. This system was reinforced on the</w:t>
      </w:r>
      <w:r>
        <w:rPr>
          <w:szCs w:val="22"/>
        </w:rPr>
        <w:t xml:space="preserve"> inside with 2-m stakes, to reduce the effect of the action of the sea. The entire wall has an inclination of 15º; it </w:t>
      </w:r>
      <w:proofErr w:type="spellStart"/>
      <w:r>
        <w:rPr>
          <w:szCs w:val="22"/>
        </w:rPr>
        <w:t>leans</w:t>
      </w:r>
      <w:proofErr w:type="spellEnd"/>
      <w:r>
        <w:rPr>
          <w:szCs w:val="22"/>
        </w:rPr>
        <w:t xml:space="preserve"> up against the </w:t>
      </w:r>
      <w:proofErr w:type="gramStart"/>
      <w:r>
        <w:rPr>
          <w:szCs w:val="22"/>
        </w:rPr>
        <w:t>slope, and</w:t>
      </w:r>
      <w:proofErr w:type="gramEnd"/>
      <w:r>
        <w:rPr>
          <w:szCs w:val="22"/>
        </w:rPr>
        <w:t xml:space="preserve"> was artificially backfilled. </w:t>
      </w:r>
      <w:r w:rsidRPr="0010038C">
        <w:rPr>
          <w:szCs w:val="22"/>
        </w:rPr>
        <w:t xml:space="preserve">Finally, </w:t>
      </w:r>
      <w:r>
        <w:rPr>
          <w:szCs w:val="22"/>
        </w:rPr>
        <w:t xml:space="preserve">as coping for the top of </w:t>
      </w:r>
      <w:r w:rsidRPr="0010038C">
        <w:rPr>
          <w:szCs w:val="22"/>
        </w:rPr>
        <w:t>the wall, 280 m</w:t>
      </w:r>
      <w:r w:rsidRPr="0010038C">
        <w:rPr>
          <w:szCs w:val="22"/>
          <w:vertAlign w:val="superscript"/>
        </w:rPr>
        <w:t>2</w:t>
      </w:r>
      <w:r w:rsidRPr="0010038C">
        <w:rPr>
          <w:szCs w:val="22"/>
        </w:rPr>
        <w:t xml:space="preserve"> of </w:t>
      </w:r>
      <w:r>
        <w:rPr>
          <w:szCs w:val="22"/>
        </w:rPr>
        <w:t>concrete</w:t>
      </w:r>
      <w:r w:rsidRPr="0010038C">
        <w:rPr>
          <w:szCs w:val="22"/>
        </w:rPr>
        <w:t xml:space="preserve"> blocks </w:t>
      </w:r>
      <w:r>
        <w:rPr>
          <w:szCs w:val="22"/>
        </w:rPr>
        <w:t>interlaced with stainless steel cable were installed to control erosion, minimizing the particles of terrain carried away by runoff waters.</w:t>
      </w:r>
    </w:p>
    <w:p w14:paraId="3843FF9D" w14:textId="77777777" w:rsidR="00D0436B" w:rsidRPr="00C0324E" w:rsidRDefault="00D0436B" w:rsidP="00D0436B">
      <w:pPr>
        <w:spacing w:before="120" w:after="120"/>
        <w:jc w:val="both"/>
        <w:rPr>
          <w:i/>
          <w:szCs w:val="22"/>
        </w:rPr>
      </w:pPr>
      <w:r w:rsidRPr="00C0324E">
        <w:rPr>
          <w:i/>
          <w:szCs w:val="22"/>
        </w:rPr>
        <w:t>Loading platform</w:t>
      </w:r>
    </w:p>
    <w:p w14:paraId="23B1F80A" w14:textId="77777777" w:rsidR="00D0436B" w:rsidRPr="00542666" w:rsidRDefault="00D0436B" w:rsidP="00D0436B">
      <w:pPr>
        <w:spacing w:before="120" w:after="120"/>
        <w:jc w:val="both"/>
        <w:rPr>
          <w:szCs w:val="22"/>
        </w:rPr>
      </w:pPr>
      <w:r w:rsidRPr="00542666">
        <w:rPr>
          <w:szCs w:val="22"/>
        </w:rPr>
        <w:t xml:space="preserve">A structure </w:t>
      </w:r>
      <w:r>
        <w:rPr>
          <w:szCs w:val="22"/>
        </w:rPr>
        <w:t xml:space="preserve">of </w:t>
      </w:r>
      <w:r w:rsidRPr="00542666">
        <w:rPr>
          <w:szCs w:val="22"/>
        </w:rPr>
        <w:t>approximately 38 m</w:t>
      </w:r>
      <w:r w:rsidRPr="00542666">
        <w:rPr>
          <w:szCs w:val="22"/>
          <w:vertAlign w:val="superscript"/>
        </w:rPr>
        <w:t xml:space="preserve">2 </w:t>
      </w:r>
      <w:r w:rsidRPr="00542666">
        <w:rPr>
          <w:szCs w:val="22"/>
        </w:rPr>
        <w:t xml:space="preserve">was </w:t>
      </w:r>
      <w:r>
        <w:rPr>
          <w:szCs w:val="22"/>
        </w:rPr>
        <w:t xml:space="preserve">built </w:t>
      </w:r>
      <w:r w:rsidRPr="00542666">
        <w:rPr>
          <w:szCs w:val="22"/>
        </w:rPr>
        <w:t xml:space="preserve">to facilitate the operation of the telescopic handlers necessary for transporting material from the </w:t>
      </w:r>
      <w:r>
        <w:rPr>
          <w:szCs w:val="22"/>
        </w:rPr>
        <w:t xml:space="preserve">beach area to the station. This installation comprised cages of </w:t>
      </w:r>
      <w:proofErr w:type="spellStart"/>
      <w:r>
        <w:rPr>
          <w:szCs w:val="22"/>
        </w:rPr>
        <w:t>electrowelded</w:t>
      </w:r>
      <w:proofErr w:type="spellEnd"/>
      <w:r>
        <w:rPr>
          <w:szCs w:val="22"/>
        </w:rPr>
        <w:t xml:space="preserve"> wire mesh filled with a layer of 0.4 </w:t>
      </w:r>
      <w:r w:rsidRPr="00542666">
        <w:rPr>
          <w:szCs w:val="22"/>
        </w:rPr>
        <w:t>x</w:t>
      </w:r>
      <w:r>
        <w:rPr>
          <w:szCs w:val="22"/>
        </w:rPr>
        <w:t xml:space="preserve"> </w:t>
      </w:r>
      <w:r w:rsidRPr="00542666">
        <w:rPr>
          <w:szCs w:val="22"/>
        </w:rPr>
        <w:t>0</w:t>
      </w:r>
      <w:r>
        <w:rPr>
          <w:szCs w:val="22"/>
        </w:rPr>
        <w:t>.</w:t>
      </w:r>
      <w:r w:rsidRPr="00542666">
        <w:rPr>
          <w:szCs w:val="22"/>
        </w:rPr>
        <w:t>4</w:t>
      </w:r>
      <w:r>
        <w:rPr>
          <w:szCs w:val="22"/>
        </w:rPr>
        <w:t xml:space="preserve"> </w:t>
      </w:r>
      <w:r w:rsidRPr="00542666">
        <w:rPr>
          <w:szCs w:val="22"/>
        </w:rPr>
        <w:t>x</w:t>
      </w:r>
      <w:r>
        <w:rPr>
          <w:szCs w:val="22"/>
        </w:rPr>
        <w:t xml:space="preserve"> </w:t>
      </w:r>
      <w:r w:rsidRPr="00542666">
        <w:rPr>
          <w:szCs w:val="22"/>
        </w:rPr>
        <w:t>0</w:t>
      </w:r>
      <w:r>
        <w:rPr>
          <w:szCs w:val="22"/>
        </w:rPr>
        <w:t>.</w:t>
      </w:r>
      <w:r w:rsidRPr="00542666">
        <w:rPr>
          <w:szCs w:val="22"/>
        </w:rPr>
        <w:t>2</w:t>
      </w:r>
      <w:r>
        <w:rPr>
          <w:szCs w:val="22"/>
        </w:rPr>
        <w:t>-</w:t>
      </w:r>
      <w:r w:rsidRPr="00542666">
        <w:rPr>
          <w:szCs w:val="22"/>
        </w:rPr>
        <w:t>m</w:t>
      </w:r>
      <w:r>
        <w:rPr>
          <w:szCs w:val="22"/>
        </w:rPr>
        <w:t xml:space="preserve"> concrete blocks with other material from the area, and another layer of </w:t>
      </w:r>
      <w:r w:rsidRPr="00542666">
        <w:rPr>
          <w:szCs w:val="22"/>
        </w:rPr>
        <w:t>0</w:t>
      </w:r>
      <w:r>
        <w:rPr>
          <w:szCs w:val="22"/>
        </w:rPr>
        <w:t>.</w:t>
      </w:r>
      <w:r w:rsidRPr="00542666">
        <w:rPr>
          <w:szCs w:val="22"/>
        </w:rPr>
        <w:t>2</w:t>
      </w:r>
      <w:r>
        <w:rPr>
          <w:szCs w:val="22"/>
        </w:rPr>
        <w:t xml:space="preserve"> </w:t>
      </w:r>
      <w:r w:rsidRPr="00542666">
        <w:rPr>
          <w:szCs w:val="22"/>
        </w:rPr>
        <w:t>x</w:t>
      </w:r>
      <w:r>
        <w:rPr>
          <w:szCs w:val="22"/>
        </w:rPr>
        <w:t xml:space="preserve"> 0.</w:t>
      </w:r>
      <w:r w:rsidRPr="00542666">
        <w:rPr>
          <w:szCs w:val="22"/>
        </w:rPr>
        <w:t>2</w:t>
      </w:r>
      <w:r>
        <w:rPr>
          <w:szCs w:val="22"/>
        </w:rPr>
        <w:t xml:space="preserve"> </w:t>
      </w:r>
      <w:r w:rsidRPr="00542666">
        <w:rPr>
          <w:szCs w:val="22"/>
        </w:rPr>
        <w:t>x</w:t>
      </w:r>
      <w:r>
        <w:rPr>
          <w:szCs w:val="22"/>
        </w:rPr>
        <w:t xml:space="preserve"> 0.1-</w:t>
      </w:r>
      <w:r w:rsidRPr="00542666">
        <w:rPr>
          <w:szCs w:val="22"/>
        </w:rPr>
        <w:t>m</w:t>
      </w:r>
      <w:r>
        <w:rPr>
          <w:szCs w:val="22"/>
        </w:rPr>
        <w:t xml:space="preserve"> concrete paving slabs. A </w:t>
      </w:r>
      <w:r w:rsidRPr="00542666">
        <w:rPr>
          <w:szCs w:val="22"/>
        </w:rPr>
        <w:t>45 m</w:t>
      </w:r>
      <w:r w:rsidRPr="00542666">
        <w:rPr>
          <w:szCs w:val="22"/>
          <w:vertAlign w:val="superscript"/>
        </w:rPr>
        <w:t>2</w:t>
      </w:r>
      <w:r w:rsidRPr="00542666">
        <w:rPr>
          <w:szCs w:val="22"/>
        </w:rPr>
        <w:t xml:space="preserve"> </w:t>
      </w:r>
      <w:r>
        <w:rPr>
          <w:szCs w:val="22"/>
        </w:rPr>
        <w:t xml:space="preserve">layer of concrete was laid on top of this structure, interlaced with stainless steel cables, giving the platform a total dimension of </w:t>
      </w:r>
      <w:r w:rsidRPr="00542666">
        <w:rPr>
          <w:szCs w:val="22"/>
        </w:rPr>
        <w:t>9 x 5 m.</w:t>
      </w:r>
    </w:p>
    <w:p w14:paraId="7D854E7A" w14:textId="77777777" w:rsidR="00D0436B" w:rsidRPr="00542666" w:rsidRDefault="00D0436B" w:rsidP="00D0436B">
      <w:pPr>
        <w:spacing w:before="240" w:after="120"/>
        <w:jc w:val="both"/>
        <w:rPr>
          <w:rFonts w:ascii="Arial" w:hAnsi="Arial"/>
          <w:b/>
          <w:i/>
          <w:sz w:val="24"/>
        </w:rPr>
      </w:pPr>
      <w:r w:rsidRPr="00542666">
        <w:rPr>
          <w:rFonts w:ascii="Arial" w:hAnsi="Arial"/>
          <w:b/>
          <w:i/>
          <w:sz w:val="24"/>
        </w:rPr>
        <w:t>Conclusions</w:t>
      </w:r>
    </w:p>
    <w:p w14:paraId="7E209D05" w14:textId="77777777" w:rsidR="00D0436B" w:rsidRDefault="00D0436B" w:rsidP="00D0436B">
      <w:pPr>
        <w:spacing w:before="120" w:after="120"/>
        <w:jc w:val="both"/>
        <w:rPr>
          <w:szCs w:val="22"/>
        </w:rPr>
      </w:pPr>
      <w:r w:rsidRPr="00542666">
        <w:rPr>
          <w:szCs w:val="22"/>
        </w:rPr>
        <w:t>The</w:t>
      </w:r>
      <w:r>
        <w:rPr>
          <w:szCs w:val="22"/>
        </w:rPr>
        <w:t xml:space="preserve"> project</w:t>
      </w:r>
      <w:r w:rsidRPr="00542666">
        <w:rPr>
          <w:szCs w:val="22"/>
        </w:rPr>
        <w:t xml:space="preserve"> was planned for two Antarctic campaigns,</w:t>
      </w:r>
      <w:r>
        <w:rPr>
          <w:szCs w:val="22"/>
        </w:rPr>
        <w:t xml:space="preserve"> but in the </w:t>
      </w:r>
      <w:proofErr w:type="gramStart"/>
      <w:r>
        <w:rPr>
          <w:szCs w:val="22"/>
        </w:rPr>
        <w:t>end</w:t>
      </w:r>
      <w:proofErr w:type="gramEnd"/>
      <w:r>
        <w:rPr>
          <w:szCs w:val="22"/>
        </w:rPr>
        <w:t xml:space="preserve"> it was possible to carry it out during a single campaign, that of </w:t>
      </w:r>
      <w:r w:rsidRPr="00542666">
        <w:rPr>
          <w:szCs w:val="22"/>
        </w:rPr>
        <w:t xml:space="preserve">2019-2020, </w:t>
      </w:r>
      <w:r>
        <w:rPr>
          <w:szCs w:val="22"/>
        </w:rPr>
        <w:t>with the exception of part of the coping on top of the wall and its backfill, since it was not feasible to include that material in this campaign. The proposed solution, it is hoped, will guarantee the slope’s stability for at least the next 15 years. It is important to indicate that both the retaining wall and the loading platform have been constructed in such a manner as to be removable at any time from the Antarctic Treaty area, as has been shown with previous actions.</w:t>
      </w:r>
    </w:p>
    <w:p w14:paraId="4434CF03" w14:textId="77777777" w:rsidR="00026826" w:rsidRDefault="00026826" w:rsidP="00026826"/>
    <w:sectPr w:rsidR="00026826" w:rsidSect="00026826">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57A84" w14:textId="77777777" w:rsidR="00026826" w:rsidRDefault="00026826">
      <w:r>
        <w:separator/>
      </w:r>
    </w:p>
  </w:endnote>
  <w:endnote w:type="continuationSeparator" w:id="0">
    <w:p w14:paraId="7BC7FFD1" w14:textId="77777777" w:rsidR="00026826" w:rsidRDefault="0002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9C3D" w14:textId="77777777" w:rsidR="00026826" w:rsidRDefault="00026826" w:rsidP="00026826">
    <w:pPr>
      <w:framePr w:wrap="around" w:vAnchor="text" w:hAnchor="margin" w:xAlign="right" w:y="1"/>
    </w:pPr>
    <w:r>
      <w:fldChar w:fldCharType="begin"/>
    </w:r>
    <w:r>
      <w:instrText xml:space="preserve">PAGE  </w:instrText>
    </w:r>
    <w:r>
      <w:fldChar w:fldCharType="separate"/>
    </w:r>
    <w:r>
      <w:fldChar w:fldCharType="end"/>
    </w:r>
  </w:p>
  <w:p w14:paraId="2705D4A3" w14:textId="77777777" w:rsidR="00026826" w:rsidRDefault="00026826" w:rsidP="0002682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62AA" w14:textId="77777777" w:rsidR="00026826" w:rsidRDefault="00026826" w:rsidP="00026826">
    <w:pPr>
      <w:framePr w:wrap="around" w:vAnchor="text" w:hAnchor="margin" w:xAlign="right" w:y="1"/>
    </w:pPr>
    <w:r>
      <w:fldChar w:fldCharType="begin"/>
    </w:r>
    <w:r>
      <w:instrText xml:space="preserve">PAGE  </w:instrText>
    </w:r>
    <w:r>
      <w:fldChar w:fldCharType="separate"/>
    </w:r>
    <w:r>
      <w:rPr>
        <w:noProof/>
      </w:rPr>
      <w:t>1</w:t>
    </w:r>
    <w:r>
      <w:fldChar w:fldCharType="end"/>
    </w:r>
  </w:p>
  <w:p w14:paraId="78B7D0F9" w14:textId="77777777" w:rsidR="00026826" w:rsidRDefault="00026826" w:rsidP="00D0436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4339" w14:textId="77777777" w:rsidR="00026826" w:rsidRDefault="00026826" w:rsidP="00026826">
    <w:pPr>
      <w:framePr w:wrap="around" w:vAnchor="text" w:hAnchor="margin" w:xAlign="right" w:y="1"/>
    </w:pPr>
    <w:r>
      <w:fldChar w:fldCharType="begin"/>
    </w:r>
    <w:r>
      <w:instrText xml:space="preserve">PAGE  </w:instrText>
    </w:r>
    <w:r>
      <w:fldChar w:fldCharType="separate"/>
    </w:r>
    <w:r>
      <w:rPr>
        <w:noProof/>
      </w:rPr>
      <w:t>3</w:t>
    </w:r>
    <w:r>
      <w:fldChar w:fldCharType="end"/>
    </w:r>
  </w:p>
  <w:p w14:paraId="540EBE94" w14:textId="77777777" w:rsidR="00026826" w:rsidRDefault="00026826" w:rsidP="00026826">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68C38" w14:textId="77777777" w:rsidR="00026826" w:rsidRDefault="00026826">
      <w:r>
        <w:separator/>
      </w:r>
    </w:p>
  </w:footnote>
  <w:footnote w:type="continuationSeparator" w:id="0">
    <w:p w14:paraId="497F8ACF" w14:textId="77777777" w:rsidR="00026826" w:rsidRDefault="00026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2977"/>
      <w:gridCol w:w="1276"/>
      <w:gridCol w:w="1134"/>
      <w:gridCol w:w="390"/>
    </w:tblGrid>
    <w:tr w:rsidR="00026826" w14:paraId="640832C7" w14:textId="77777777" w:rsidTr="00026826">
      <w:trPr>
        <w:trHeight w:val="344"/>
        <w:jc w:val="center"/>
      </w:trPr>
      <w:tc>
        <w:tcPr>
          <w:tcW w:w="5495" w:type="dxa"/>
        </w:tcPr>
        <w:p w14:paraId="24433FF3" w14:textId="77777777" w:rsidR="00026826" w:rsidRDefault="00026826" w:rsidP="00026826"/>
      </w:tc>
      <w:tc>
        <w:tcPr>
          <w:tcW w:w="4253" w:type="dxa"/>
          <w:gridSpan w:val="2"/>
        </w:tcPr>
        <w:p w14:paraId="42F919DB" w14:textId="77777777" w:rsidR="00026826" w:rsidRPr="00BD47E4" w:rsidRDefault="00026826" w:rsidP="00026826">
          <w:pPr>
            <w:jc w:val="right"/>
            <w:rPr>
              <w:b/>
              <w:sz w:val="32"/>
              <w:szCs w:val="32"/>
            </w:rPr>
          </w:pPr>
          <w:bookmarkStart w:id="2" w:name="type"/>
          <w:r w:rsidRPr="00BD47E4">
            <w:rPr>
              <w:b/>
              <w:sz w:val="32"/>
              <w:szCs w:val="32"/>
            </w:rPr>
            <w:t>IP</w:t>
          </w:r>
          <w:bookmarkEnd w:id="2"/>
        </w:p>
      </w:tc>
      <w:tc>
        <w:tcPr>
          <w:tcW w:w="1524" w:type="dxa"/>
          <w:gridSpan w:val="2"/>
        </w:tcPr>
        <w:p w14:paraId="6961B275" w14:textId="36FC4960" w:rsidR="00026826" w:rsidRPr="00BD47E4" w:rsidRDefault="0033726D" w:rsidP="00026826">
          <w:pPr>
            <w:rPr>
              <w:b/>
              <w:sz w:val="32"/>
              <w:szCs w:val="32"/>
            </w:rPr>
          </w:pPr>
          <w:r>
            <w:rPr>
              <w:b/>
              <w:sz w:val="32"/>
              <w:szCs w:val="32"/>
            </w:rPr>
            <w:t>56</w:t>
          </w:r>
        </w:p>
      </w:tc>
    </w:tr>
    <w:tr w:rsidR="00026826" w14:paraId="7C6EF156" w14:textId="77777777" w:rsidTr="00026826">
      <w:trPr>
        <w:trHeight w:val="1085"/>
        <w:jc w:val="center"/>
      </w:trPr>
      <w:tc>
        <w:tcPr>
          <w:tcW w:w="5495" w:type="dxa"/>
        </w:tcPr>
        <w:p w14:paraId="2990FB4C" w14:textId="526FF2EE" w:rsidR="00026826" w:rsidRPr="00EE4D48" w:rsidRDefault="0033726D" w:rsidP="00026826">
          <w:pPr>
            <w:rPr>
              <w:b/>
              <w:sz w:val="28"/>
              <w:szCs w:val="28"/>
            </w:rPr>
          </w:pPr>
          <w:r w:rsidRPr="0033726D">
            <w:rPr>
              <w:b/>
              <w:noProof/>
              <w:sz w:val="28"/>
              <w:szCs w:val="28"/>
            </w:rPr>
            <w:pict w14:anchorId="094C6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35.5pt;height:127.5pt;visibility:visible;mso-wrap-style:square">
                <v:imagedata r:id="rId1" o:title=""/>
              </v:shape>
            </w:pict>
          </w:r>
        </w:p>
      </w:tc>
      <w:tc>
        <w:tcPr>
          <w:tcW w:w="5777" w:type="dxa"/>
          <w:gridSpan w:val="4"/>
          <w:vMerge w:val="restart"/>
          <w:vAlign w:val="center"/>
        </w:tcPr>
        <w:p w14:paraId="3A0567E1" w14:textId="77777777" w:rsidR="00026826" w:rsidRPr="00FE5146" w:rsidRDefault="00026826" w:rsidP="00026826">
          <w:pPr>
            <w:jc w:val="right"/>
            <w:rPr>
              <w:sz w:val="144"/>
              <w:szCs w:val="144"/>
            </w:rPr>
          </w:pPr>
          <w:r w:rsidRPr="00FE5146">
            <w:rPr>
              <w:sz w:val="144"/>
              <w:szCs w:val="144"/>
            </w:rPr>
            <w:t>ENG</w:t>
          </w:r>
        </w:p>
      </w:tc>
    </w:tr>
    <w:tr w:rsidR="00026826" w14:paraId="28F0CC14" w14:textId="77777777" w:rsidTr="0033726D">
      <w:trPr>
        <w:trHeight w:val="900"/>
        <w:jc w:val="center"/>
      </w:trPr>
      <w:tc>
        <w:tcPr>
          <w:tcW w:w="5495" w:type="dxa"/>
        </w:tcPr>
        <w:p w14:paraId="472D5ED6" w14:textId="2BC782C2" w:rsidR="00026826" w:rsidRPr="003D6A9D" w:rsidRDefault="00026826" w:rsidP="00026826">
          <w:pPr>
            <w:rPr>
              <w:sz w:val="36"/>
              <w:szCs w:val="36"/>
            </w:rPr>
          </w:pPr>
        </w:p>
      </w:tc>
      <w:tc>
        <w:tcPr>
          <w:tcW w:w="5777" w:type="dxa"/>
          <w:gridSpan w:val="4"/>
          <w:vMerge/>
          <w:vAlign w:val="center"/>
        </w:tcPr>
        <w:p w14:paraId="329C157B" w14:textId="77777777" w:rsidR="00026826" w:rsidRPr="00FE5146" w:rsidRDefault="00026826" w:rsidP="00026826">
          <w:pPr>
            <w:jc w:val="right"/>
            <w:rPr>
              <w:sz w:val="144"/>
              <w:szCs w:val="144"/>
            </w:rPr>
          </w:pPr>
        </w:p>
      </w:tc>
    </w:tr>
    <w:tr w:rsidR="00026826" w14:paraId="51CD3F15" w14:textId="77777777" w:rsidTr="00026826">
      <w:trPr>
        <w:trHeight w:val="409"/>
        <w:jc w:val="center"/>
      </w:trPr>
      <w:tc>
        <w:tcPr>
          <w:tcW w:w="8472" w:type="dxa"/>
          <w:gridSpan w:val="2"/>
        </w:tcPr>
        <w:p w14:paraId="38D1DE2D" w14:textId="77777777" w:rsidR="00026826" w:rsidRDefault="00026826" w:rsidP="00026826">
          <w:pPr>
            <w:jc w:val="right"/>
          </w:pPr>
          <w:r>
            <w:t>Agenda Item:</w:t>
          </w:r>
        </w:p>
      </w:tc>
      <w:tc>
        <w:tcPr>
          <w:tcW w:w="2410" w:type="dxa"/>
          <w:gridSpan w:val="2"/>
        </w:tcPr>
        <w:p w14:paraId="6645460D" w14:textId="77777777" w:rsidR="00026826" w:rsidRDefault="00026826" w:rsidP="00026826">
          <w:pPr>
            <w:jc w:val="right"/>
          </w:pPr>
          <w:bookmarkStart w:id="3" w:name="agenda"/>
          <w:r>
            <w:t>ATCM 13</w:t>
          </w:r>
          <w:bookmarkEnd w:id="3"/>
        </w:p>
      </w:tc>
      <w:tc>
        <w:tcPr>
          <w:tcW w:w="390" w:type="dxa"/>
        </w:tcPr>
        <w:p w14:paraId="0A9D5B89" w14:textId="77777777" w:rsidR="00026826" w:rsidRDefault="00026826" w:rsidP="00026826">
          <w:pPr>
            <w:jc w:val="right"/>
          </w:pPr>
        </w:p>
      </w:tc>
    </w:tr>
    <w:tr w:rsidR="00026826" w14:paraId="758FEB26" w14:textId="77777777" w:rsidTr="00026826">
      <w:trPr>
        <w:trHeight w:val="397"/>
        <w:jc w:val="center"/>
      </w:trPr>
      <w:tc>
        <w:tcPr>
          <w:tcW w:w="8472" w:type="dxa"/>
          <w:gridSpan w:val="2"/>
        </w:tcPr>
        <w:p w14:paraId="49F9D7D4" w14:textId="77777777" w:rsidR="00026826" w:rsidRDefault="00026826" w:rsidP="00026826">
          <w:pPr>
            <w:jc w:val="right"/>
          </w:pPr>
          <w:r>
            <w:t>Presented by:</w:t>
          </w:r>
        </w:p>
      </w:tc>
      <w:tc>
        <w:tcPr>
          <w:tcW w:w="2410" w:type="dxa"/>
          <w:gridSpan w:val="2"/>
        </w:tcPr>
        <w:p w14:paraId="10D9B9A2" w14:textId="77777777" w:rsidR="00026826" w:rsidRDefault="00026826" w:rsidP="00026826">
          <w:pPr>
            <w:jc w:val="right"/>
          </w:pPr>
          <w:bookmarkStart w:id="4" w:name="party"/>
          <w:r>
            <w:t>Spain</w:t>
          </w:r>
          <w:bookmarkEnd w:id="4"/>
        </w:p>
      </w:tc>
      <w:tc>
        <w:tcPr>
          <w:tcW w:w="390" w:type="dxa"/>
        </w:tcPr>
        <w:p w14:paraId="0BB3389F" w14:textId="77777777" w:rsidR="00026826" w:rsidRDefault="00026826" w:rsidP="00026826">
          <w:pPr>
            <w:jc w:val="right"/>
          </w:pPr>
        </w:p>
      </w:tc>
    </w:tr>
    <w:tr w:rsidR="00026826" w14:paraId="47E7480F" w14:textId="77777777" w:rsidTr="00026826">
      <w:trPr>
        <w:trHeight w:val="409"/>
        <w:jc w:val="center"/>
      </w:trPr>
      <w:tc>
        <w:tcPr>
          <w:tcW w:w="8472" w:type="dxa"/>
          <w:gridSpan w:val="2"/>
        </w:tcPr>
        <w:p w14:paraId="2D3D0445" w14:textId="77777777" w:rsidR="00026826" w:rsidRDefault="00026826" w:rsidP="00026826">
          <w:pPr>
            <w:jc w:val="right"/>
          </w:pPr>
          <w:r>
            <w:t>Original:</w:t>
          </w:r>
        </w:p>
      </w:tc>
      <w:tc>
        <w:tcPr>
          <w:tcW w:w="2410" w:type="dxa"/>
          <w:gridSpan w:val="2"/>
        </w:tcPr>
        <w:p w14:paraId="18D9A176" w14:textId="77777777" w:rsidR="00026826" w:rsidRDefault="00026826" w:rsidP="00026826">
          <w:pPr>
            <w:jc w:val="right"/>
          </w:pPr>
          <w:bookmarkStart w:id="5" w:name="language"/>
          <w:r>
            <w:t>Spanish</w:t>
          </w:r>
          <w:bookmarkEnd w:id="5"/>
        </w:p>
      </w:tc>
      <w:tc>
        <w:tcPr>
          <w:tcW w:w="390" w:type="dxa"/>
        </w:tcPr>
        <w:p w14:paraId="7013EFE6" w14:textId="77777777" w:rsidR="00026826" w:rsidRDefault="00026826" w:rsidP="00026826">
          <w:pPr>
            <w:jc w:val="right"/>
          </w:pPr>
        </w:p>
      </w:tc>
    </w:tr>
    <w:tr w:rsidR="00026826" w14:paraId="612A6BFF" w14:textId="77777777" w:rsidTr="00026826">
      <w:trPr>
        <w:trHeight w:val="409"/>
        <w:jc w:val="center"/>
      </w:trPr>
      <w:tc>
        <w:tcPr>
          <w:tcW w:w="8472" w:type="dxa"/>
          <w:gridSpan w:val="2"/>
        </w:tcPr>
        <w:p w14:paraId="0EC44AE2" w14:textId="77777777" w:rsidR="00026826" w:rsidRDefault="00026826" w:rsidP="00026826">
          <w:pPr>
            <w:jc w:val="right"/>
          </w:pPr>
          <w:r>
            <w:t>Submitted:</w:t>
          </w:r>
        </w:p>
      </w:tc>
      <w:tc>
        <w:tcPr>
          <w:tcW w:w="2410" w:type="dxa"/>
          <w:gridSpan w:val="2"/>
        </w:tcPr>
        <w:p w14:paraId="1B797501" w14:textId="77777777" w:rsidR="00026826" w:rsidRDefault="00026826" w:rsidP="00026826">
          <w:pPr>
            <w:jc w:val="right"/>
          </w:pPr>
          <w:bookmarkStart w:id="6" w:name="date_submission"/>
          <w:r>
            <w:t>17/6/2020</w:t>
          </w:r>
          <w:bookmarkEnd w:id="6"/>
        </w:p>
      </w:tc>
      <w:tc>
        <w:tcPr>
          <w:tcW w:w="390" w:type="dxa"/>
        </w:tcPr>
        <w:p w14:paraId="1D8A63FC" w14:textId="77777777" w:rsidR="00026826" w:rsidRDefault="00026826" w:rsidP="00026826">
          <w:pPr>
            <w:jc w:val="right"/>
          </w:pPr>
        </w:p>
      </w:tc>
    </w:tr>
  </w:tbl>
  <w:p w14:paraId="337E1158" w14:textId="77777777" w:rsidR="00026826" w:rsidRDefault="000268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26826" w14:paraId="22B478A7" w14:textId="77777777">
      <w:trPr>
        <w:trHeight w:val="354"/>
        <w:jc w:val="center"/>
      </w:trPr>
      <w:tc>
        <w:tcPr>
          <w:tcW w:w="9694" w:type="dxa"/>
        </w:tcPr>
        <w:p w14:paraId="1DBD0CC6" w14:textId="77777777" w:rsidR="00026826" w:rsidRPr="00E16762" w:rsidRDefault="00026826" w:rsidP="00026826">
          <w:pPr>
            <w:jc w:val="right"/>
            <w:rPr>
              <w:b/>
              <w:sz w:val="32"/>
              <w:szCs w:val="32"/>
            </w:rPr>
          </w:pPr>
          <w:r w:rsidRPr="00E16762">
            <w:rPr>
              <w:b/>
              <w:sz w:val="32"/>
              <w:szCs w:val="32"/>
            </w:rPr>
            <w:t>IP</w:t>
          </w:r>
        </w:p>
      </w:tc>
      <w:tc>
        <w:tcPr>
          <w:tcW w:w="1332" w:type="dxa"/>
        </w:tcPr>
        <w:p w14:paraId="789FBA21" w14:textId="730B3627" w:rsidR="00026826" w:rsidRPr="00E16762" w:rsidRDefault="0033726D" w:rsidP="00026826">
          <w:pPr>
            <w:rPr>
              <w:b/>
              <w:sz w:val="32"/>
              <w:szCs w:val="32"/>
            </w:rPr>
          </w:pPr>
          <w:r>
            <w:rPr>
              <w:b/>
              <w:sz w:val="32"/>
              <w:szCs w:val="32"/>
            </w:rPr>
            <w:t>56</w:t>
          </w:r>
        </w:p>
      </w:tc>
    </w:tr>
  </w:tbl>
  <w:p w14:paraId="00857178" w14:textId="77777777" w:rsidR="00026826" w:rsidRDefault="000268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start w:val="1"/>
      <w:numFmt w:val="bullet"/>
      <w:pStyle w:val="ATSBullet1"/>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start w:val="1"/>
      <w:numFmt w:val="decimal"/>
      <w:lvlText w:val="%1)"/>
      <w:lvlJc w:val="left"/>
      <w:pPr>
        <w:tabs>
          <w:tab w:val="num" w:pos="340"/>
        </w:tabs>
        <w:ind w:left="340"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start w:val="1"/>
      <w:numFmt w:val="decimal"/>
      <w:lvlText w:val="%1."/>
      <w:lvlJc w:val="left"/>
      <w:pPr>
        <w:tabs>
          <w:tab w:val="num" w:pos="1057"/>
        </w:tabs>
        <w:ind w:left="1057" w:hanging="360"/>
      </w:pPr>
      <w:rPr>
        <w:rFonts w:hint="default"/>
      </w:rPr>
    </w:lvl>
    <w:lvl w:ilvl="1" w:tentative="1">
      <w:start w:val="1"/>
      <w:numFmt w:val="lowerLetter"/>
      <w:lvlText w:val="%2."/>
      <w:lvlJc w:val="left"/>
      <w:pPr>
        <w:tabs>
          <w:tab w:val="num" w:pos="2137"/>
        </w:tabs>
        <w:ind w:left="2137" w:hanging="360"/>
      </w:pPr>
    </w:lvl>
    <w:lvl w:ilvl="2" w:tentative="1">
      <w:start w:val="1"/>
      <w:numFmt w:val="lowerRoman"/>
      <w:lvlText w:val="%3."/>
      <w:lvlJc w:val="right"/>
      <w:pPr>
        <w:tabs>
          <w:tab w:val="num" w:pos="2857"/>
        </w:tabs>
        <w:ind w:left="2857" w:hanging="180"/>
      </w:pPr>
    </w:lvl>
    <w:lvl w:ilvl="3" w:tentative="1">
      <w:start w:val="1"/>
      <w:numFmt w:val="decimal"/>
      <w:lvlText w:val="%4."/>
      <w:lvlJc w:val="left"/>
      <w:pPr>
        <w:tabs>
          <w:tab w:val="num" w:pos="3577"/>
        </w:tabs>
        <w:ind w:left="3577" w:hanging="360"/>
      </w:pPr>
    </w:lvl>
    <w:lvl w:ilvl="4" w:tentative="1">
      <w:start w:val="1"/>
      <w:numFmt w:val="lowerLetter"/>
      <w:lvlText w:val="%5."/>
      <w:lvlJc w:val="left"/>
      <w:pPr>
        <w:tabs>
          <w:tab w:val="num" w:pos="4297"/>
        </w:tabs>
        <w:ind w:left="4297" w:hanging="360"/>
      </w:pPr>
    </w:lvl>
    <w:lvl w:ilvl="5" w:tentative="1">
      <w:start w:val="1"/>
      <w:numFmt w:val="lowerRoman"/>
      <w:lvlText w:val="%6."/>
      <w:lvlJc w:val="right"/>
      <w:pPr>
        <w:tabs>
          <w:tab w:val="num" w:pos="5017"/>
        </w:tabs>
        <w:ind w:left="5017" w:hanging="180"/>
      </w:pPr>
    </w:lvl>
    <w:lvl w:ilvl="6" w:tentative="1">
      <w:start w:val="1"/>
      <w:numFmt w:val="decimal"/>
      <w:lvlText w:val="%7."/>
      <w:lvlJc w:val="left"/>
      <w:pPr>
        <w:tabs>
          <w:tab w:val="num" w:pos="5737"/>
        </w:tabs>
        <w:ind w:left="5737" w:hanging="360"/>
      </w:pPr>
    </w:lvl>
    <w:lvl w:ilvl="7" w:tentative="1">
      <w:start w:val="1"/>
      <w:numFmt w:val="lowerLetter"/>
      <w:lvlText w:val="%8."/>
      <w:lvlJc w:val="left"/>
      <w:pPr>
        <w:tabs>
          <w:tab w:val="num" w:pos="6457"/>
        </w:tabs>
        <w:ind w:left="6457" w:hanging="360"/>
      </w:pPr>
    </w:lvl>
    <w:lvl w:ilvl="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start w:val="1"/>
      <w:numFmt w:val="decimal"/>
      <w:pStyle w:val="ATSNumber1"/>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entative="1">
      <w:start w:val="1"/>
      <w:numFmt w:val="bullet"/>
      <w:lvlText w:val="o"/>
      <w:lvlJc w:val="left"/>
      <w:pPr>
        <w:tabs>
          <w:tab w:val="num" w:pos="2517"/>
        </w:tabs>
        <w:ind w:left="2517" w:hanging="360"/>
      </w:pPr>
      <w:rPr>
        <w:rFonts w:ascii="Courier New" w:hAnsi="Courier New" w:cs="Courier New" w:hint="default"/>
      </w:rPr>
    </w:lvl>
    <w:lvl w:ilvl="2" w:tentative="1">
      <w:start w:val="1"/>
      <w:numFmt w:val="bullet"/>
      <w:lvlText w:val=""/>
      <w:lvlJc w:val="left"/>
      <w:pPr>
        <w:tabs>
          <w:tab w:val="num" w:pos="3237"/>
        </w:tabs>
        <w:ind w:left="3237" w:hanging="360"/>
      </w:pPr>
      <w:rPr>
        <w:rFonts w:ascii="Wingdings" w:hAnsi="Wingdings" w:hint="default"/>
      </w:rPr>
    </w:lvl>
    <w:lvl w:ilvl="3" w:tentative="1">
      <w:start w:val="1"/>
      <w:numFmt w:val="bullet"/>
      <w:lvlText w:val=""/>
      <w:lvlJc w:val="left"/>
      <w:pPr>
        <w:tabs>
          <w:tab w:val="num" w:pos="3957"/>
        </w:tabs>
        <w:ind w:left="3957" w:hanging="360"/>
      </w:pPr>
      <w:rPr>
        <w:rFonts w:ascii="Symbol" w:hAnsi="Symbol" w:hint="default"/>
      </w:rPr>
    </w:lvl>
    <w:lvl w:ilvl="4" w:tentative="1">
      <w:start w:val="1"/>
      <w:numFmt w:val="bullet"/>
      <w:lvlText w:val="o"/>
      <w:lvlJc w:val="left"/>
      <w:pPr>
        <w:tabs>
          <w:tab w:val="num" w:pos="4677"/>
        </w:tabs>
        <w:ind w:left="4677" w:hanging="360"/>
      </w:pPr>
      <w:rPr>
        <w:rFonts w:ascii="Courier New" w:hAnsi="Courier New" w:cs="Courier New" w:hint="default"/>
      </w:rPr>
    </w:lvl>
    <w:lvl w:ilvl="5" w:tentative="1">
      <w:start w:val="1"/>
      <w:numFmt w:val="bullet"/>
      <w:lvlText w:val=""/>
      <w:lvlJc w:val="left"/>
      <w:pPr>
        <w:tabs>
          <w:tab w:val="num" w:pos="5397"/>
        </w:tabs>
        <w:ind w:left="5397" w:hanging="360"/>
      </w:pPr>
      <w:rPr>
        <w:rFonts w:ascii="Wingdings" w:hAnsi="Wingdings" w:hint="default"/>
      </w:rPr>
    </w:lvl>
    <w:lvl w:ilvl="6" w:tentative="1">
      <w:start w:val="1"/>
      <w:numFmt w:val="bullet"/>
      <w:lvlText w:val=""/>
      <w:lvlJc w:val="left"/>
      <w:pPr>
        <w:tabs>
          <w:tab w:val="num" w:pos="6117"/>
        </w:tabs>
        <w:ind w:left="6117" w:hanging="360"/>
      </w:pPr>
      <w:rPr>
        <w:rFonts w:ascii="Symbol" w:hAnsi="Symbol" w:hint="default"/>
      </w:rPr>
    </w:lvl>
    <w:lvl w:ilvl="7" w:tentative="1">
      <w:start w:val="1"/>
      <w:numFmt w:val="bullet"/>
      <w:lvlText w:val="o"/>
      <w:lvlJc w:val="left"/>
      <w:pPr>
        <w:tabs>
          <w:tab w:val="num" w:pos="6837"/>
        </w:tabs>
        <w:ind w:left="6837" w:hanging="360"/>
      </w:pPr>
      <w:rPr>
        <w:rFonts w:ascii="Courier New" w:hAnsi="Courier New" w:cs="Courier New" w:hint="default"/>
      </w:rPr>
    </w:lvl>
    <w:lvl w:ilvl="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A876D2D"/>
    <w:multiLevelType w:val="hybridMultilevel"/>
    <w:tmpl w:val="641C0AAC"/>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7C866FC0"/>
    <w:multiLevelType w:val="hybridMultilevel"/>
    <w:tmpl w:val="57EA2900"/>
    <w:lvl w:ilvl="0">
      <w:start w:val="1"/>
      <w:numFmt w:val="decimal"/>
      <w:pStyle w:val="ATSNumber2"/>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35C7"/>
    <w:rsid w:val="00026826"/>
    <w:rsid w:val="0033726D"/>
    <w:rsid w:val="00D04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1CAA56"/>
  <w15:chartTrackingRefBased/>
  <w15:docId w15:val="{DDD76F61-1C80-49C4-8E9A-B34D2F9C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qFormat/>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3EA467-6F6A-4329-9741-B89FF19E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1054</Words>
  <Characters>5800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Pepe Agraz</dc:creator>
  <cp:keywords/>
  <dc:description/>
  <cp:lastModifiedBy>Jose Luis Agraz</cp:lastModifiedBy>
  <cp:revision>2</cp:revision>
  <cp:lastPrinted>2008-01-22T19:20:00Z</cp:lastPrinted>
  <dcterms:created xsi:type="dcterms:W3CDTF">2021-05-13T11:46:00Z</dcterms:created>
  <dcterms:modified xsi:type="dcterms:W3CDTF">2021-05-13T11:46:00Z</dcterms:modified>
</cp:coreProperties>
</file>