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E3FC4" w14:textId="77777777" w:rsidR="00297076" w:rsidRPr="00BF077B" w:rsidRDefault="00297076" w:rsidP="00297076">
      <w:pPr>
        <w:pStyle w:val="ATSNormal"/>
        <w:rPr>
          <w:rStyle w:val="Ttulodellibro"/>
        </w:rPr>
      </w:pPr>
    </w:p>
    <w:p w14:paraId="6DA10A95" w14:textId="77777777" w:rsidR="00297076" w:rsidRDefault="00297076" w:rsidP="00297076">
      <w:pPr>
        <w:rPr>
          <w:b/>
          <w:u w:val="single"/>
          <w:lang w:val="es-ES_tradnl"/>
        </w:rPr>
      </w:pPr>
    </w:p>
    <w:p w14:paraId="561FE1CD" w14:textId="77777777" w:rsidR="00297076" w:rsidRDefault="00297076" w:rsidP="00297076">
      <w:pPr>
        <w:rPr>
          <w:b/>
          <w:u w:val="single"/>
          <w:lang w:val="es-ES_tradnl"/>
        </w:rPr>
      </w:pPr>
    </w:p>
    <w:p w14:paraId="20265010" w14:textId="77777777" w:rsidR="00297076" w:rsidRDefault="00297076" w:rsidP="00297076">
      <w:pPr>
        <w:rPr>
          <w:b/>
          <w:u w:val="single"/>
          <w:lang w:val="es-ES_tradnl"/>
        </w:rPr>
      </w:pPr>
    </w:p>
    <w:p w14:paraId="78DA4070" w14:textId="77777777" w:rsidR="00297076" w:rsidRDefault="00297076" w:rsidP="00297076">
      <w:pPr>
        <w:rPr>
          <w:b/>
          <w:u w:val="single"/>
          <w:lang w:val="es-ES_tradnl"/>
        </w:rPr>
      </w:pPr>
    </w:p>
    <w:p w14:paraId="67E70597" w14:textId="77777777" w:rsidR="00297076" w:rsidRDefault="00297076" w:rsidP="00297076">
      <w:pPr>
        <w:rPr>
          <w:b/>
          <w:u w:val="single"/>
          <w:lang w:val="es-ES_tradnl"/>
        </w:rPr>
      </w:pPr>
    </w:p>
    <w:p w14:paraId="24CE6A44" w14:textId="77777777" w:rsidR="00297076" w:rsidRPr="0057246E" w:rsidRDefault="00297076" w:rsidP="00297076">
      <w:pPr>
        <w:pStyle w:val="ATSTitle"/>
      </w:pPr>
      <w:bookmarkStart w:id="0" w:name="name"/>
      <w:r>
        <w:t>Implementation of the IMO Polar Code in Spain</w:t>
      </w:r>
      <w:r w:rsidR="00AE4D09">
        <w:t>:</w:t>
      </w:r>
      <w:r>
        <w:t xml:space="preserve"> Certification of the Research Vessel (RV) </w:t>
      </w:r>
      <w:r w:rsidRPr="00AE4D09">
        <w:rPr>
          <w:i/>
          <w:iCs/>
        </w:rPr>
        <w:t xml:space="preserve">Sarmiento de </w:t>
      </w:r>
      <w:proofErr w:type="spellStart"/>
      <w:r w:rsidRPr="00AE4D09">
        <w:rPr>
          <w:i/>
          <w:iCs/>
        </w:rPr>
        <w:t>Gamboa</w:t>
      </w:r>
      <w:proofErr w:type="spellEnd"/>
    </w:p>
    <w:bookmarkEnd w:id="0"/>
    <w:p w14:paraId="1DCF8893" w14:textId="77777777" w:rsidR="00297076" w:rsidRDefault="00297076" w:rsidP="00297076">
      <w:pPr>
        <w:pStyle w:val="ATSTitle"/>
      </w:pPr>
    </w:p>
    <w:p w14:paraId="3DB72906" w14:textId="77777777" w:rsidR="00297076" w:rsidRPr="0057246E" w:rsidRDefault="00297076" w:rsidP="00297076">
      <w:pPr>
        <w:jc w:val="center"/>
      </w:pPr>
    </w:p>
    <w:p w14:paraId="36AD98CE" w14:textId="77777777" w:rsidR="00297076" w:rsidRPr="002F0A13" w:rsidRDefault="00297076" w:rsidP="00297076"/>
    <w:p w14:paraId="3CCBF792" w14:textId="77777777" w:rsidR="00297076" w:rsidRDefault="00297076" w:rsidP="00297076">
      <w:pPr>
        <w:jc w:val="center"/>
      </w:pPr>
      <w:bookmarkStart w:id="1" w:name="memo"/>
      <w:r w:rsidRPr="00724FFB">
        <w:t xml:space="preserve">English translation provided by the </w:t>
      </w:r>
      <w:proofErr w:type="gramStart"/>
      <w:r w:rsidRPr="00724FFB">
        <w:t>author</w:t>
      </w:r>
      <w:bookmarkEnd w:id="1"/>
      <w:proofErr w:type="gramEnd"/>
    </w:p>
    <w:p w14:paraId="77E5629E" w14:textId="77777777" w:rsidR="00297076" w:rsidRDefault="00297076" w:rsidP="00297076">
      <w:pPr>
        <w:jc w:val="center"/>
      </w:pPr>
    </w:p>
    <w:p w14:paraId="36054BA6" w14:textId="77777777" w:rsidR="00297076" w:rsidRDefault="00297076" w:rsidP="00297076">
      <w:pPr>
        <w:jc w:val="center"/>
      </w:pPr>
    </w:p>
    <w:p w14:paraId="0433E9B6" w14:textId="77777777" w:rsidR="00297076" w:rsidRDefault="00297076" w:rsidP="00297076">
      <w:pPr>
        <w:jc w:val="center"/>
      </w:pPr>
    </w:p>
    <w:p w14:paraId="5699ACC1" w14:textId="77777777" w:rsidR="00297076" w:rsidRPr="00C26F2D" w:rsidRDefault="00297076" w:rsidP="00297076">
      <w:pPr>
        <w:jc w:val="center"/>
      </w:pPr>
    </w:p>
    <w:p w14:paraId="60854672" w14:textId="77777777" w:rsidR="00297076" w:rsidRPr="0057246E" w:rsidRDefault="00297076" w:rsidP="00297076"/>
    <w:p w14:paraId="73EC778D" w14:textId="77777777" w:rsidR="00297076" w:rsidRDefault="00297076" w:rsidP="00297076">
      <w:pPr>
        <w:sectPr w:rsidR="00297076" w:rsidSect="00297076">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51B34AE4" w14:textId="77777777" w:rsidR="00297076" w:rsidRDefault="00297076" w:rsidP="00297076"/>
    <w:p w14:paraId="664CF19B" w14:textId="77777777" w:rsidR="00AE4D09" w:rsidRPr="002D2BA9" w:rsidRDefault="00AE4D09" w:rsidP="00AE4D09">
      <w:pPr>
        <w:spacing w:before="360" w:after="360"/>
        <w:jc w:val="center"/>
        <w:rPr>
          <w:b/>
          <w:sz w:val="36"/>
          <w:szCs w:val="36"/>
        </w:rPr>
      </w:pPr>
      <w:r w:rsidRPr="0094119A">
        <w:rPr>
          <w:rFonts w:ascii="Arial" w:hAnsi="Arial"/>
          <w:b/>
          <w:bCs/>
          <w:sz w:val="36"/>
          <w:szCs w:val="36"/>
        </w:rPr>
        <w:t>Implementation of the IMO Polar Code in Spain</w:t>
      </w:r>
      <w:r>
        <w:rPr>
          <w:rFonts w:ascii="Arial" w:hAnsi="Arial"/>
          <w:b/>
          <w:bCs/>
          <w:sz w:val="36"/>
          <w:szCs w:val="36"/>
        </w:rPr>
        <w:t>:</w:t>
      </w:r>
      <w:r w:rsidRPr="00262AF0">
        <w:t xml:space="preserve"> </w:t>
      </w:r>
      <w:r w:rsidRPr="00262AF0">
        <w:rPr>
          <w:rFonts w:ascii="Arial" w:hAnsi="Arial"/>
          <w:b/>
          <w:bCs/>
          <w:sz w:val="36"/>
          <w:szCs w:val="36"/>
        </w:rPr>
        <w:t xml:space="preserve"> Certification of the Research Vessel (RV) </w:t>
      </w:r>
      <w:r w:rsidRPr="00262AF0">
        <w:rPr>
          <w:rFonts w:ascii="Arial" w:hAnsi="Arial"/>
          <w:b/>
          <w:bCs/>
          <w:i/>
          <w:iCs/>
          <w:sz w:val="36"/>
          <w:szCs w:val="36"/>
        </w:rPr>
        <w:t xml:space="preserve">Sarmiento de </w:t>
      </w:r>
      <w:proofErr w:type="spellStart"/>
      <w:r w:rsidRPr="00262AF0">
        <w:rPr>
          <w:rFonts w:ascii="Arial" w:hAnsi="Arial"/>
          <w:b/>
          <w:bCs/>
          <w:i/>
          <w:iCs/>
          <w:sz w:val="36"/>
          <w:szCs w:val="36"/>
        </w:rPr>
        <w:t>Gamboa</w:t>
      </w:r>
      <w:proofErr w:type="spellEnd"/>
    </w:p>
    <w:p w14:paraId="30DDACEA" w14:textId="77777777" w:rsidR="00AE4D09" w:rsidRPr="002D2BA9" w:rsidRDefault="00AE4D09" w:rsidP="00AE4D09">
      <w:pPr>
        <w:spacing w:before="480" w:after="120"/>
        <w:jc w:val="center"/>
        <w:rPr>
          <w:rFonts w:ascii="Arial" w:hAnsi="Arial" w:cs="Arial"/>
          <w:b/>
          <w:i/>
          <w:sz w:val="24"/>
        </w:rPr>
      </w:pPr>
      <w:r w:rsidRPr="0094119A">
        <w:rPr>
          <w:rFonts w:ascii="Arial" w:hAnsi="Arial" w:cs="Arial"/>
          <w:b/>
          <w:bCs/>
          <w:i/>
          <w:iCs/>
          <w:sz w:val="24"/>
        </w:rPr>
        <w:t xml:space="preserve">Information </w:t>
      </w:r>
      <w:r>
        <w:rPr>
          <w:rFonts w:ascii="Arial" w:hAnsi="Arial" w:cs="Arial"/>
          <w:b/>
          <w:bCs/>
          <w:i/>
          <w:iCs/>
          <w:sz w:val="24"/>
        </w:rPr>
        <w:t>Paper</w:t>
      </w:r>
      <w:r w:rsidRPr="0094119A">
        <w:rPr>
          <w:rFonts w:ascii="Arial" w:hAnsi="Arial" w:cs="Arial"/>
          <w:b/>
          <w:bCs/>
          <w:i/>
          <w:iCs/>
          <w:sz w:val="24"/>
        </w:rPr>
        <w:t xml:space="preserve"> presented by </w:t>
      </w:r>
      <w:proofErr w:type="gramStart"/>
      <w:r w:rsidRPr="0094119A">
        <w:rPr>
          <w:rFonts w:ascii="Arial" w:hAnsi="Arial" w:cs="Arial"/>
          <w:b/>
          <w:bCs/>
          <w:i/>
          <w:iCs/>
          <w:sz w:val="24"/>
        </w:rPr>
        <w:t>Spain</w:t>
      </w:r>
      <w:proofErr w:type="gramEnd"/>
    </w:p>
    <w:p w14:paraId="433F4C2C" w14:textId="77777777" w:rsidR="00AE4D09" w:rsidRPr="002D2BA9" w:rsidRDefault="00AE4D09" w:rsidP="00AE4D09">
      <w:pPr>
        <w:spacing w:before="240" w:after="120"/>
        <w:jc w:val="both"/>
        <w:rPr>
          <w:sz w:val="24"/>
        </w:rPr>
      </w:pPr>
      <w:r w:rsidRPr="0094119A">
        <w:rPr>
          <w:b/>
          <w:bCs/>
          <w:i/>
          <w:iCs/>
          <w:sz w:val="24"/>
        </w:rPr>
        <w:t>Summary</w:t>
      </w:r>
    </w:p>
    <w:p w14:paraId="6E5A128B" w14:textId="77777777" w:rsidR="00AE4D09" w:rsidRPr="002D2BA9" w:rsidRDefault="00AE4D09" w:rsidP="00AE4D09">
      <w:pPr>
        <w:spacing w:before="240" w:after="120"/>
        <w:jc w:val="both"/>
        <w:rPr>
          <w:szCs w:val="22"/>
        </w:rPr>
      </w:pPr>
      <w:r w:rsidRPr="00A15631">
        <w:rPr>
          <w:szCs w:val="22"/>
        </w:rPr>
        <w:t xml:space="preserve">The entry into force on 1 January 2017 of the </w:t>
      </w:r>
      <w:r w:rsidRPr="00EA4523">
        <w:rPr>
          <w:szCs w:val="22"/>
        </w:rPr>
        <w:t>International Code for Ships Operating in Polar Waters (Polar Code) adopted by the International Maritime Organization (IMO)</w:t>
      </w:r>
      <w:r w:rsidRPr="00A15631">
        <w:rPr>
          <w:szCs w:val="22"/>
        </w:rPr>
        <w:t xml:space="preserve"> necessitated its incorporation into Spanish </w:t>
      </w:r>
      <w:r>
        <w:rPr>
          <w:szCs w:val="22"/>
        </w:rPr>
        <w:t>law</w:t>
      </w:r>
      <w:r w:rsidRPr="00A15631">
        <w:rPr>
          <w:szCs w:val="22"/>
        </w:rPr>
        <w:t xml:space="preserve">. To date, the Spanish </w:t>
      </w:r>
      <w:r>
        <w:rPr>
          <w:szCs w:val="22"/>
        </w:rPr>
        <w:t>M</w:t>
      </w:r>
      <w:r w:rsidRPr="00AF289E">
        <w:rPr>
          <w:szCs w:val="22"/>
        </w:rPr>
        <w:t xml:space="preserve">aritime </w:t>
      </w:r>
      <w:r>
        <w:rPr>
          <w:szCs w:val="22"/>
        </w:rPr>
        <w:t>A</w:t>
      </w:r>
      <w:r w:rsidRPr="00AF289E">
        <w:rPr>
          <w:szCs w:val="22"/>
        </w:rPr>
        <w:t>dministration</w:t>
      </w:r>
      <w:r w:rsidRPr="00A15631">
        <w:rPr>
          <w:szCs w:val="22"/>
        </w:rPr>
        <w:t xml:space="preserve">, due to the characteristics of the fleet operating under its flag and </w:t>
      </w:r>
      <w:r>
        <w:rPr>
          <w:szCs w:val="22"/>
        </w:rPr>
        <w:t xml:space="preserve">of </w:t>
      </w:r>
      <w:r w:rsidRPr="00A15631">
        <w:rPr>
          <w:szCs w:val="22"/>
        </w:rPr>
        <w:t xml:space="preserve">the zones where it </w:t>
      </w:r>
      <w:r>
        <w:rPr>
          <w:szCs w:val="22"/>
        </w:rPr>
        <w:t xml:space="preserve">operates, has only certified one </w:t>
      </w:r>
      <w:r w:rsidRPr="00195253">
        <w:rPr>
          <w:szCs w:val="22"/>
        </w:rPr>
        <w:t>ship</w:t>
      </w:r>
      <w:r>
        <w:rPr>
          <w:szCs w:val="22"/>
        </w:rPr>
        <w:t>, the</w:t>
      </w:r>
      <w:r w:rsidRPr="00A15631">
        <w:rPr>
          <w:szCs w:val="22"/>
        </w:rPr>
        <w:t xml:space="preserve"> Research Vessel (RV) </w:t>
      </w:r>
      <w:r w:rsidRPr="00A15631">
        <w:rPr>
          <w:i/>
          <w:iCs/>
          <w:szCs w:val="22"/>
        </w:rPr>
        <w:t xml:space="preserve">Sarmiento de </w:t>
      </w:r>
      <w:proofErr w:type="spellStart"/>
      <w:r w:rsidRPr="00A15631">
        <w:rPr>
          <w:i/>
          <w:iCs/>
          <w:szCs w:val="22"/>
        </w:rPr>
        <w:t>Gamboa</w:t>
      </w:r>
      <w:proofErr w:type="spellEnd"/>
      <w:r w:rsidRPr="00A15631">
        <w:rPr>
          <w:i/>
          <w:iCs/>
          <w:szCs w:val="22"/>
        </w:rPr>
        <w:t>.</w:t>
      </w:r>
      <w:r w:rsidRPr="00A15631">
        <w:rPr>
          <w:szCs w:val="22"/>
        </w:rPr>
        <w:t xml:space="preserve"> This document details the principal aspects of the P</w:t>
      </w:r>
      <w:r>
        <w:rPr>
          <w:szCs w:val="22"/>
        </w:rPr>
        <w:t xml:space="preserve">olar </w:t>
      </w:r>
      <w:r w:rsidRPr="00A15631">
        <w:rPr>
          <w:szCs w:val="22"/>
        </w:rPr>
        <w:t>C</w:t>
      </w:r>
      <w:r>
        <w:rPr>
          <w:szCs w:val="22"/>
        </w:rPr>
        <w:t>ode’s</w:t>
      </w:r>
      <w:r w:rsidRPr="00A15631">
        <w:rPr>
          <w:szCs w:val="22"/>
        </w:rPr>
        <w:t xml:space="preserve"> implementation, </w:t>
      </w:r>
      <w:r>
        <w:rPr>
          <w:szCs w:val="22"/>
        </w:rPr>
        <w:t xml:space="preserve">as well as </w:t>
      </w:r>
      <w:r w:rsidRPr="00A15631">
        <w:rPr>
          <w:szCs w:val="22"/>
        </w:rPr>
        <w:t xml:space="preserve">the </w:t>
      </w:r>
      <w:r>
        <w:rPr>
          <w:szCs w:val="22"/>
        </w:rPr>
        <w:t xml:space="preserve">most </w:t>
      </w:r>
      <w:r w:rsidRPr="00A15631">
        <w:rPr>
          <w:szCs w:val="22"/>
        </w:rPr>
        <w:t xml:space="preserve">salient aspects of the </w:t>
      </w:r>
      <w:r>
        <w:rPr>
          <w:szCs w:val="22"/>
        </w:rPr>
        <w:t>ship’s</w:t>
      </w:r>
      <w:r w:rsidRPr="00A15631">
        <w:rPr>
          <w:szCs w:val="22"/>
        </w:rPr>
        <w:t xml:space="preserve"> certification process.</w:t>
      </w:r>
    </w:p>
    <w:p w14:paraId="1086412E" w14:textId="77777777" w:rsidR="00AE4D09" w:rsidRPr="002D2BA9" w:rsidRDefault="00AE4D09" w:rsidP="00AE4D09">
      <w:pPr>
        <w:spacing w:before="240" w:after="120"/>
        <w:jc w:val="both"/>
        <w:rPr>
          <w:b/>
          <w:i/>
          <w:sz w:val="24"/>
        </w:rPr>
      </w:pPr>
      <w:r w:rsidRPr="0094119A">
        <w:rPr>
          <w:b/>
          <w:bCs/>
          <w:i/>
          <w:iCs/>
          <w:sz w:val="24"/>
        </w:rPr>
        <w:t>Implementation of the IMO Polar Code in Spain</w:t>
      </w:r>
    </w:p>
    <w:p w14:paraId="097F3DBB" w14:textId="77777777" w:rsidR="00AE4D09" w:rsidRPr="002D2BA9" w:rsidRDefault="00AE4D09" w:rsidP="00AE4D09">
      <w:pPr>
        <w:spacing w:before="240" w:after="120"/>
        <w:jc w:val="both"/>
        <w:rPr>
          <w:i/>
          <w:szCs w:val="22"/>
        </w:rPr>
      </w:pPr>
      <w:r w:rsidRPr="00A06D11">
        <w:rPr>
          <w:i/>
          <w:iCs/>
          <w:szCs w:val="22"/>
          <w:u w:val="single"/>
        </w:rPr>
        <w:t xml:space="preserve">Incorporation of the Polar Code into Spanish </w:t>
      </w:r>
      <w:r>
        <w:rPr>
          <w:i/>
          <w:iCs/>
          <w:szCs w:val="22"/>
          <w:u w:val="single"/>
        </w:rPr>
        <w:t>law</w:t>
      </w:r>
    </w:p>
    <w:p w14:paraId="716FF55D" w14:textId="77777777" w:rsidR="00AE4D09" w:rsidRPr="002D2BA9" w:rsidRDefault="00AE4D09" w:rsidP="00AE4D09">
      <w:pPr>
        <w:spacing w:before="240" w:after="120"/>
        <w:jc w:val="both"/>
        <w:rPr>
          <w:szCs w:val="22"/>
        </w:rPr>
      </w:pPr>
      <w:r w:rsidRPr="001E3E10">
        <w:rPr>
          <w:szCs w:val="22"/>
        </w:rPr>
        <w:t xml:space="preserve">The </w:t>
      </w:r>
      <w:r>
        <w:rPr>
          <w:szCs w:val="22"/>
        </w:rPr>
        <w:t xml:space="preserve">Kingdom of Spain tacitly accepted the </w:t>
      </w:r>
      <w:r w:rsidRPr="00017184">
        <w:rPr>
          <w:szCs w:val="22"/>
        </w:rPr>
        <w:t>R</w:t>
      </w:r>
      <w:r w:rsidRPr="00AF289E">
        <w:rPr>
          <w:szCs w:val="22"/>
        </w:rPr>
        <w:t>esolutions to</w:t>
      </w:r>
      <w:r w:rsidRPr="001E3E10">
        <w:rPr>
          <w:szCs w:val="22"/>
        </w:rPr>
        <w:t xml:space="preserve"> amend the </w:t>
      </w:r>
      <w:r w:rsidRPr="00195253">
        <w:rPr>
          <w:rStyle w:val="st"/>
        </w:rPr>
        <w:t xml:space="preserve">International Convention for the Safety of Life at Sea </w:t>
      </w:r>
      <w:r w:rsidRPr="00017184">
        <w:rPr>
          <w:rStyle w:val="st"/>
        </w:rPr>
        <w:t>(</w:t>
      </w:r>
      <w:r w:rsidRPr="00017184">
        <w:rPr>
          <w:szCs w:val="22"/>
        </w:rPr>
        <w:t>SOLAS) (MSC.386(94));</w:t>
      </w:r>
      <w:r>
        <w:rPr>
          <w:szCs w:val="22"/>
        </w:rPr>
        <w:t xml:space="preserve"> the </w:t>
      </w:r>
      <w:r w:rsidRPr="00195253">
        <w:rPr>
          <w:rStyle w:val="st"/>
        </w:rPr>
        <w:t>International Convention for the Prevention of Pollution from Ships</w:t>
      </w:r>
      <w:r w:rsidRPr="00017184">
        <w:rPr>
          <w:rStyle w:val="st"/>
        </w:rPr>
        <w:t xml:space="preserve"> (</w:t>
      </w:r>
      <w:r w:rsidRPr="00017184">
        <w:rPr>
          <w:szCs w:val="22"/>
        </w:rPr>
        <w:t>MARPOL) (MEPC.265(68));</w:t>
      </w:r>
      <w:r w:rsidRPr="001E3E10">
        <w:rPr>
          <w:szCs w:val="22"/>
        </w:rPr>
        <w:t xml:space="preserve"> </w:t>
      </w:r>
      <w:r>
        <w:rPr>
          <w:szCs w:val="22"/>
        </w:rPr>
        <w:t xml:space="preserve">the </w:t>
      </w:r>
      <w:r w:rsidRPr="00195253">
        <w:rPr>
          <w:szCs w:val="22"/>
        </w:rPr>
        <w:t>International Convention on Standards of Training, Certification and Watchkeeping for Seafarers</w:t>
      </w:r>
      <w:r w:rsidRPr="00017184">
        <w:rPr>
          <w:szCs w:val="22"/>
        </w:rPr>
        <w:t xml:space="preserve"> (S</w:t>
      </w:r>
      <w:r>
        <w:rPr>
          <w:szCs w:val="22"/>
        </w:rPr>
        <w:t>TCW)</w:t>
      </w:r>
      <w:r w:rsidRPr="001E3E10">
        <w:rPr>
          <w:szCs w:val="22"/>
        </w:rPr>
        <w:t xml:space="preserve"> (MSC.416(97))</w:t>
      </w:r>
      <w:r>
        <w:rPr>
          <w:szCs w:val="22"/>
        </w:rPr>
        <w:t>;</w:t>
      </w:r>
      <w:r w:rsidRPr="001E3E10">
        <w:rPr>
          <w:szCs w:val="22"/>
        </w:rPr>
        <w:t xml:space="preserve"> </w:t>
      </w:r>
      <w:r>
        <w:rPr>
          <w:szCs w:val="22"/>
        </w:rPr>
        <w:t>and the STCW Code</w:t>
      </w:r>
      <w:r w:rsidRPr="005633E8">
        <w:rPr>
          <w:szCs w:val="22"/>
        </w:rPr>
        <w:t xml:space="preserve"> (MSC.417(97)).</w:t>
      </w:r>
      <w:r>
        <w:rPr>
          <w:szCs w:val="22"/>
        </w:rPr>
        <w:t xml:space="preserve"> T</w:t>
      </w:r>
      <w:r w:rsidRPr="001E3E10">
        <w:rPr>
          <w:szCs w:val="22"/>
        </w:rPr>
        <w:t>herefore, due to the need to c</w:t>
      </w:r>
      <w:r>
        <w:rPr>
          <w:szCs w:val="22"/>
        </w:rPr>
        <w:t xml:space="preserve">omply </w:t>
      </w:r>
      <w:proofErr w:type="gramStart"/>
      <w:r>
        <w:rPr>
          <w:szCs w:val="22"/>
        </w:rPr>
        <w:t>with  Resolutions</w:t>
      </w:r>
      <w:proofErr w:type="gramEnd"/>
      <w:r>
        <w:rPr>
          <w:szCs w:val="22"/>
        </w:rPr>
        <w:t xml:space="preserve"> MSC.385</w:t>
      </w:r>
      <w:r w:rsidRPr="001E3E10">
        <w:rPr>
          <w:szCs w:val="22"/>
        </w:rPr>
        <w:t>(94) and MEPC.264(68) adopting different parts of the P</w:t>
      </w:r>
      <w:r>
        <w:rPr>
          <w:szCs w:val="22"/>
        </w:rPr>
        <w:t xml:space="preserve">olar </w:t>
      </w:r>
      <w:r w:rsidRPr="001E3E10">
        <w:rPr>
          <w:szCs w:val="22"/>
        </w:rPr>
        <w:t>C</w:t>
      </w:r>
      <w:r>
        <w:rPr>
          <w:szCs w:val="22"/>
        </w:rPr>
        <w:t>ode</w:t>
      </w:r>
      <w:r w:rsidRPr="001E3E10">
        <w:rPr>
          <w:szCs w:val="22"/>
        </w:rPr>
        <w:t xml:space="preserve">, the </w:t>
      </w:r>
      <w:r w:rsidRPr="00697A53">
        <w:rPr>
          <w:szCs w:val="22"/>
        </w:rPr>
        <w:t>Minister of Foreign Affairs and Cooperation</w:t>
      </w:r>
      <w:r w:rsidRPr="001E3E10">
        <w:rPr>
          <w:szCs w:val="22"/>
        </w:rPr>
        <w:t>, at the request of the Ministry of Transport, Mobility and the Urba</w:t>
      </w:r>
      <w:r>
        <w:rPr>
          <w:szCs w:val="22"/>
        </w:rPr>
        <w:t>n Agenda (MITMA</w:t>
      </w:r>
      <w:r w:rsidRPr="001E3E10">
        <w:rPr>
          <w:szCs w:val="22"/>
        </w:rPr>
        <w:t xml:space="preserve">), </w:t>
      </w:r>
      <w:r>
        <w:rPr>
          <w:szCs w:val="22"/>
        </w:rPr>
        <w:t xml:space="preserve">subsequently </w:t>
      </w:r>
      <w:r w:rsidRPr="001E3E10">
        <w:rPr>
          <w:szCs w:val="22"/>
        </w:rPr>
        <w:t xml:space="preserve">sent the texts of </w:t>
      </w:r>
      <w:r>
        <w:rPr>
          <w:szCs w:val="22"/>
        </w:rPr>
        <w:t>the amending</w:t>
      </w:r>
      <w:r w:rsidRPr="001E3E10">
        <w:rPr>
          <w:szCs w:val="22"/>
        </w:rPr>
        <w:t xml:space="preserve"> </w:t>
      </w:r>
      <w:r>
        <w:rPr>
          <w:szCs w:val="22"/>
        </w:rPr>
        <w:t>R</w:t>
      </w:r>
      <w:r w:rsidRPr="001E3E10">
        <w:rPr>
          <w:szCs w:val="22"/>
        </w:rPr>
        <w:t>esolutions to th</w:t>
      </w:r>
      <w:r>
        <w:rPr>
          <w:szCs w:val="22"/>
        </w:rPr>
        <w:t>e Council of Ministers for their information</w:t>
      </w:r>
      <w:r w:rsidRPr="001E3E10">
        <w:rPr>
          <w:szCs w:val="22"/>
        </w:rPr>
        <w:t>, pursuant to article 36.2 b) of Act 25/2014 of 27 November</w:t>
      </w:r>
      <w:r>
        <w:rPr>
          <w:szCs w:val="22"/>
        </w:rPr>
        <w:t>,</w:t>
      </w:r>
      <w:r w:rsidRPr="001E3E10">
        <w:rPr>
          <w:szCs w:val="22"/>
        </w:rPr>
        <w:t xml:space="preserve"> on Treaties and other International Agreements. </w:t>
      </w:r>
    </w:p>
    <w:p w14:paraId="6F24E718" w14:textId="77777777" w:rsidR="00AE4D09" w:rsidRPr="002D2BA9" w:rsidRDefault="00AE4D09" w:rsidP="00AE4D09">
      <w:pPr>
        <w:spacing w:before="240" w:after="120"/>
        <w:jc w:val="both"/>
        <w:rPr>
          <w:szCs w:val="22"/>
        </w:rPr>
      </w:pPr>
      <w:r w:rsidRPr="00E71AF4">
        <w:rPr>
          <w:szCs w:val="22"/>
        </w:rPr>
        <w:t>Thereafter</w:t>
      </w:r>
      <w:r>
        <w:rPr>
          <w:szCs w:val="22"/>
        </w:rPr>
        <w:t>,</w:t>
      </w:r>
      <w:r w:rsidRPr="00E71AF4">
        <w:rPr>
          <w:szCs w:val="22"/>
        </w:rPr>
        <w:t xml:space="preserve"> the texts were published in the Official State Gazette (BOE) of 5 May 2017, and on 1 January 2017 they entered into force</w:t>
      </w:r>
      <w:r>
        <w:rPr>
          <w:szCs w:val="22"/>
        </w:rPr>
        <w:t>,</w:t>
      </w:r>
      <w:r w:rsidRPr="00E71AF4">
        <w:rPr>
          <w:szCs w:val="22"/>
        </w:rPr>
        <w:t xml:space="preserve"> and the P</w:t>
      </w:r>
      <w:r>
        <w:rPr>
          <w:szCs w:val="22"/>
        </w:rPr>
        <w:t xml:space="preserve">olar </w:t>
      </w:r>
      <w:r w:rsidRPr="00E71AF4">
        <w:rPr>
          <w:szCs w:val="22"/>
        </w:rPr>
        <w:t>C</w:t>
      </w:r>
      <w:r>
        <w:rPr>
          <w:szCs w:val="22"/>
        </w:rPr>
        <w:t>ode</w:t>
      </w:r>
      <w:r w:rsidRPr="00E71AF4">
        <w:rPr>
          <w:szCs w:val="22"/>
        </w:rPr>
        <w:t xml:space="preserve"> was incorporated into Spanish </w:t>
      </w:r>
      <w:r>
        <w:rPr>
          <w:szCs w:val="22"/>
        </w:rPr>
        <w:t>law</w:t>
      </w:r>
      <w:r w:rsidRPr="00E71AF4">
        <w:rPr>
          <w:szCs w:val="22"/>
        </w:rPr>
        <w:t>.</w:t>
      </w:r>
    </w:p>
    <w:p w14:paraId="75C27CBA" w14:textId="77777777" w:rsidR="00AE4D09" w:rsidRPr="002D2BA9" w:rsidRDefault="00AE4D09" w:rsidP="00AE4D09">
      <w:pPr>
        <w:spacing w:before="240" w:after="120"/>
        <w:jc w:val="both"/>
        <w:rPr>
          <w:i/>
          <w:szCs w:val="22"/>
          <w:u w:val="single"/>
        </w:rPr>
      </w:pPr>
      <w:r w:rsidRPr="00A06D11">
        <w:rPr>
          <w:i/>
          <w:iCs/>
          <w:szCs w:val="22"/>
          <w:u w:val="single"/>
        </w:rPr>
        <w:t xml:space="preserve">Necessary steps for an </w:t>
      </w:r>
      <w:r w:rsidRPr="00460BEA">
        <w:rPr>
          <w:i/>
          <w:iCs/>
          <w:szCs w:val="22"/>
          <w:u w:val="single"/>
        </w:rPr>
        <w:t>existing ship</w:t>
      </w:r>
      <w:r w:rsidRPr="00A06D11">
        <w:rPr>
          <w:i/>
          <w:iCs/>
          <w:szCs w:val="22"/>
          <w:u w:val="single"/>
        </w:rPr>
        <w:t xml:space="preserve"> under the Spanish flag to be certified in </w:t>
      </w:r>
      <w:proofErr w:type="gramStart"/>
      <w:r w:rsidRPr="00A06D11">
        <w:rPr>
          <w:i/>
          <w:iCs/>
          <w:szCs w:val="22"/>
          <w:u w:val="single"/>
        </w:rPr>
        <w:t>Spain</w:t>
      </w:r>
      <w:proofErr w:type="gramEnd"/>
    </w:p>
    <w:p w14:paraId="4137D2E6" w14:textId="77777777" w:rsidR="00AE4D09" w:rsidRPr="002D2BA9" w:rsidRDefault="00AE4D09" w:rsidP="00AE4D09">
      <w:pPr>
        <w:spacing w:before="240" w:after="120"/>
        <w:jc w:val="both"/>
        <w:rPr>
          <w:szCs w:val="22"/>
        </w:rPr>
      </w:pPr>
      <w:r w:rsidRPr="00627796">
        <w:rPr>
          <w:szCs w:val="22"/>
        </w:rPr>
        <w:t xml:space="preserve">In Spain, the State has sole jurisdiction over the certification of ships, which is carried out by the </w:t>
      </w:r>
      <w:r>
        <w:rPr>
          <w:szCs w:val="22"/>
        </w:rPr>
        <w:t>M</w:t>
      </w:r>
      <w:r w:rsidRPr="00AF289E">
        <w:rPr>
          <w:szCs w:val="22"/>
        </w:rPr>
        <w:t xml:space="preserve">aritime </w:t>
      </w:r>
      <w:r>
        <w:rPr>
          <w:szCs w:val="22"/>
        </w:rPr>
        <w:t>A</w:t>
      </w:r>
      <w:r w:rsidRPr="00AF289E">
        <w:rPr>
          <w:szCs w:val="22"/>
        </w:rPr>
        <w:t>dministration</w:t>
      </w:r>
      <w:r w:rsidRPr="00627796">
        <w:rPr>
          <w:szCs w:val="22"/>
        </w:rPr>
        <w:t xml:space="preserve"> through the Directorate-General for the Merchant Marine (DGMM), a management body under the aegis of MITMA</w:t>
      </w:r>
      <w:r>
        <w:rPr>
          <w:szCs w:val="22"/>
        </w:rPr>
        <w:t xml:space="preserve"> that sets forth and imparts </w:t>
      </w:r>
      <w:r w:rsidRPr="00627796">
        <w:rPr>
          <w:szCs w:val="22"/>
        </w:rPr>
        <w:t xml:space="preserve">guidelines to the Maritime Authorities, which constitute the local </w:t>
      </w:r>
      <w:r>
        <w:rPr>
          <w:szCs w:val="22"/>
        </w:rPr>
        <w:t>M</w:t>
      </w:r>
      <w:r w:rsidRPr="00627796">
        <w:rPr>
          <w:szCs w:val="22"/>
        </w:rPr>
        <w:t xml:space="preserve">aritime </w:t>
      </w:r>
      <w:r>
        <w:rPr>
          <w:szCs w:val="22"/>
        </w:rPr>
        <w:t>A</w:t>
      </w:r>
      <w:r w:rsidRPr="00627796">
        <w:rPr>
          <w:szCs w:val="22"/>
        </w:rPr>
        <w:t>dministration network.</w:t>
      </w:r>
    </w:p>
    <w:p w14:paraId="15A2879E" w14:textId="77777777" w:rsidR="00AE4D09" w:rsidRPr="002D2BA9" w:rsidRDefault="00AE4D09" w:rsidP="00AE4D09">
      <w:pPr>
        <w:spacing w:before="240" w:after="120"/>
        <w:jc w:val="both"/>
        <w:rPr>
          <w:szCs w:val="22"/>
        </w:rPr>
      </w:pPr>
      <w:r w:rsidRPr="00627796">
        <w:rPr>
          <w:szCs w:val="22"/>
        </w:rPr>
        <w:t>Requests for certification and the general procedures for it are available to interested parties at all administrative offices and online.</w:t>
      </w:r>
    </w:p>
    <w:p w14:paraId="17396582" w14:textId="77777777" w:rsidR="00AE4D09" w:rsidRPr="002D2BA9" w:rsidRDefault="00AE4D09" w:rsidP="00AE4D09">
      <w:pPr>
        <w:spacing w:before="240" w:after="120"/>
        <w:jc w:val="both"/>
        <w:rPr>
          <w:szCs w:val="22"/>
        </w:rPr>
      </w:pPr>
      <w:r>
        <w:rPr>
          <w:szCs w:val="22"/>
        </w:rPr>
        <w:t xml:space="preserve">In </w:t>
      </w:r>
      <w:r w:rsidRPr="00627796">
        <w:rPr>
          <w:szCs w:val="22"/>
        </w:rPr>
        <w:t xml:space="preserve">the particular case of </w:t>
      </w:r>
      <w:r>
        <w:rPr>
          <w:szCs w:val="22"/>
        </w:rPr>
        <w:t xml:space="preserve">the </w:t>
      </w:r>
      <w:r w:rsidRPr="00627796">
        <w:rPr>
          <w:szCs w:val="22"/>
        </w:rPr>
        <w:t>polar certification</w:t>
      </w:r>
      <w:r>
        <w:rPr>
          <w:szCs w:val="22"/>
        </w:rPr>
        <w:t xml:space="preserve"> of an existing ship</w:t>
      </w:r>
      <w:r w:rsidRPr="00627796">
        <w:rPr>
          <w:szCs w:val="22"/>
        </w:rPr>
        <w:t xml:space="preserve">, the technical department of the </w:t>
      </w:r>
      <w:r w:rsidRPr="00195253">
        <w:rPr>
          <w:szCs w:val="22"/>
        </w:rPr>
        <w:t>shipowner</w:t>
      </w:r>
      <w:r w:rsidRPr="00C76BBE">
        <w:rPr>
          <w:szCs w:val="22"/>
        </w:rPr>
        <w:t>/</w:t>
      </w:r>
      <w:r w:rsidRPr="00195253">
        <w:rPr>
          <w:szCs w:val="22"/>
        </w:rPr>
        <w:t>operator</w:t>
      </w:r>
      <w:r w:rsidRPr="00C76BBE">
        <w:rPr>
          <w:szCs w:val="22"/>
        </w:rPr>
        <w:t>, should</w:t>
      </w:r>
      <w:r>
        <w:rPr>
          <w:szCs w:val="22"/>
        </w:rPr>
        <w:t xml:space="preserve"> there be</w:t>
      </w:r>
      <w:r w:rsidRPr="00627796">
        <w:rPr>
          <w:szCs w:val="22"/>
        </w:rPr>
        <w:t xml:space="preserve"> any doubts </w:t>
      </w:r>
      <w:r>
        <w:rPr>
          <w:szCs w:val="22"/>
        </w:rPr>
        <w:t>regarding how to proceed, may assess—</w:t>
      </w:r>
      <w:r w:rsidRPr="00627796">
        <w:rPr>
          <w:szCs w:val="22"/>
        </w:rPr>
        <w:t xml:space="preserve">together with the inspection service of the </w:t>
      </w:r>
      <w:r>
        <w:rPr>
          <w:szCs w:val="22"/>
        </w:rPr>
        <w:t>M</w:t>
      </w:r>
      <w:r w:rsidRPr="00AF289E">
        <w:rPr>
          <w:szCs w:val="22"/>
        </w:rPr>
        <w:t xml:space="preserve">aritime </w:t>
      </w:r>
      <w:r>
        <w:rPr>
          <w:szCs w:val="22"/>
        </w:rPr>
        <w:t>A</w:t>
      </w:r>
      <w:r w:rsidRPr="00AF289E">
        <w:rPr>
          <w:szCs w:val="22"/>
        </w:rPr>
        <w:t>dministration</w:t>
      </w:r>
      <w:r>
        <w:rPr>
          <w:szCs w:val="22"/>
        </w:rPr>
        <w:t>—w</w:t>
      </w:r>
      <w:r w:rsidRPr="00627796">
        <w:rPr>
          <w:szCs w:val="22"/>
        </w:rPr>
        <w:t>hether the certification</w:t>
      </w:r>
      <w:r>
        <w:rPr>
          <w:szCs w:val="22"/>
        </w:rPr>
        <w:t xml:space="preserve"> </w:t>
      </w:r>
      <w:r w:rsidRPr="00627796">
        <w:rPr>
          <w:szCs w:val="22"/>
        </w:rPr>
        <w:t xml:space="preserve">will </w:t>
      </w:r>
      <w:r>
        <w:rPr>
          <w:szCs w:val="22"/>
        </w:rPr>
        <w:t xml:space="preserve">entail </w:t>
      </w:r>
      <w:r w:rsidRPr="00627796">
        <w:rPr>
          <w:szCs w:val="22"/>
        </w:rPr>
        <w:t>carrying out renovations and therefore require technical plans which must be submitted for prior authorization, or whether this certification will only involve brin</w:t>
      </w:r>
      <w:r>
        <w:rPr>
          <w:szCs w:val="22"/>
        </w:rPr>
        <w:t>g</w:t>
      </w:r>
      <w:r w:rsidRPr="00627796">
        <w:rPr>
          <w:szCs w:val="22"/>
        </w:rPr>
        <w:t>ing aboard additional equipm</w:t>
      </w:r>
      <w:r>
        <w:rPr>
          <w:szCs w:val="22"/>
        </w:rPr>
        <w:t>ent and/or adapting the ship’s</w:t>
      </w:r>
      <w:r w:rsidRPr="00627796">
        <w:rPr>
          <w:szCs w:val="22"/>
        </w:rPr>
        <w:t xml:space="preserve"> operational procedures regarding safety and the prevention of </w:t>
      </w:r>
      <w:r>
        <w:rPr>
          <w:szCs w:val="22"/>
        </w:rPr>
        <w:t>pollution</w:t>
      </w:r>
      <w:r w:rsidRPr="00627796">
        <w:rPr>
          <w:szCs w:val="22"/>
        </w:rPr>
        <w:t xml:space="preserve"> of the marine environment.</w:t>
      </w:r>
    </w:p>
    <w:p w14:paraId="0FF7ED0B" w14:textId="77777777" w:rsidR="00AE4D09" w:rsidRPr="002D2BA9" w:rsidRDefault="00AE4D09" w:rsidP="00AE4D09">
      <w:pPr>
        <w:spacing w:before="240" w:after="120"/>
        <w:jc w:val="both"/>
        <w:rPr>
          <w:szCs w:val="22"/>
        </w:rPr>
      </w:pPr>
      <w:r>
        <w:rPr>
          <w:szCs w:val="22"/>
        </w:rPr>
        <w:t xml:space="preserve">The administrative steps to be followed for polar certification, whether of a new or an existing ship, are no different from those to be followed for any other certification.  </w:t>
      </w:r>
    </w:p>
    <w:p w14:paraId="354D770B" w14:textId="77777777" w:rsidR="00AE4D09" w:rsidRPr="002D2BA9" w:rsidRDefault="00AE4D09" w:rsidP="00AE4D09">
      <w:pPr>
        <w:spacing w:before="240" w:after="120"/>
        <w:jc w:val="both"/>
        <w:rPr>
          <w:szCs w:val="22"/>
        </w:rPr>
      </w:pPr>
    </w:p>
    <w:p w14:paraId="77DCB5BD" w14:textId="77777777" w:rsidR="00AE4D09" w:rsidRPr="002D2BA9" w:rsidRDefault="00AE4D09" w:rsidP="00AE4D09">
      <w:pPr>
        <w:spacing w:before="240" w:after="120"/>
        <w:jc w:val="both"/>
        <w:rPr>
          <w:szCs w:val="22"/>
        </w:rPr>
      </w:pPr>
      <w:r>
        <w:rPr>
          <w:i/>
          <w:iCs/>
          <w:szCs w:val="22"/>
          <w:u w:val="single"/>
        </w:rPr>
        <w:t xml:space="preserve">Management facilities made available to shipowners/operators to attain the Polar </w:t>
      </w:r>
      <w:proofErr w:type="gramStart"/>
      <w:r>
        <w:rPr>
          <w:i/>
          <w:iCs/>
          <w:szCs w:val="22"/>
          <w:u w:val="single"/>
        </w:rPr>
        <w:t>Certificate</w:t>
      </w:r>
      <w:proofErr w:type="gramEnd"/>
    </w:p>
    <w:p w14:paraId="6934FE35" w14:textId="77777777" w:rsidR="00AE4D09" w:rsidRPr="002D2BA9" w:rsidRDefault="00AE4D09" w:rsidP="00AE4D09">
      <w:pPr>
        <w:spacing w:before="240" w:after="120"/>
        <w:jc w:val="both"/>
        <w:rPr>
          <w:szCs w:val="22"/>
        </w:rPr>
      </w:pPr>
      <w:r w:rsidRPr="003B5D84">
        <w:rPr>
          <w:szCs w:val="22"/>
        </w:rPr>
        <w:t xml:space="preserve">The DGMM has procedures, manuals (some currently being drafted) and other working documents for use </w:t>
      </w:r>
      <w:r>
        <w:rPr>
          <w:szCs w:val="22"/>
        </w:rPr>
        <w:t xml:space="preserve">by </w:t>
      </w:r>
      <w:r w:rsidRPr="003B5D84">
        <w:rPr>
          <w:szCs w:val="22"/>
        </w:rPr>
        <w:t xml:space="preserve">the Maritime Authorities, which are responsible for making shipboard certification visits and for providing any </w:t>
      </w:r>
      <w:r>
        <w:rPr>
          <w:szCs w:val="22"/>
        </w:rPr>
        <w:t xml:space="preserve">necessary </w:t>
      </w:r>
      <w:r w:rsidRPr="003B5D84">
        <w:rPr>
          <w:szCs w:val="22"/>
        </w:rPr>
        <w:t xml:space="preserve">assistance or management support </w:t>
      </w:r>
      <w:r>
        <w:rPr>
          <w:szCs w:val="22"/>
        </w:rPr>
        <w:t xml:space="preserve">to </w:t>
      </w:r>
      <w:r w:rsidRPr="003B5D84">
        <w:rPr>
          <w:szCs w:val="22"/>
        </w:rPr>
        <w:t xml:space="preserve">interested parties. </w:t>
      </w:r>
    </w:p>
    <w:p w14:paraId="31091C7C" w14:textId="77777777" w:rsidR="00AE4D09" w:rsidRPr="002D2BA9" w:rsidRDefault="00AE4D09" w:rsidP="00AE4D09">
      <w:pPr>
        <w:spacing w:before="240" w:after="120"/>
        <w:jc w:val="both"/>
        <w:rPr>
          <w:szCs w:val="22"/>
        </w:rPr>
      </w:pPr>
      <w:r>
        <w:rPr>
          <w:szCs w:val="22"/>
        </w:rPr>
        <w:t>T</w:t>
      </w:r>
      <w:r w:rsidRPr="003B5D84">
        <w:rPr>
          <w:szCs w:val="22"/>
        </w:rPr>
        <w:t>he DGMM Training Plan</w:t>
      </w:r>
      <w:r>
        <w:rPr>
          <w:szCs w:val="22"/>
        </w:rPr>
        <w:t xml:space="preserve"> includes </w:t>
      </w:r>
      <w:r w:rsidRPr="003B5D84">
        <w:rPr>
          <w:szCs w:val="22"/>
        </w:rPr>
        <w:t xml:space="preserve">a specific module on polar certification, </w:t>
      </w:r>
      <w:r>
        <w:rPr>
          <w:szCs w:val="22"/>
        </w:rPr>
        <w:t xml:space="preserve">with an </w:t>
      </w:r>
      <w:r w:rsidRPr="00E723DD">
        <w:rPr>
          <w:szCs w:val="22"/>
        </w:rPr>
        <w:t>annex</w:t>
      </w:r>
      <w:r>
        <w:rPr>
          <w:szCs w:val="22"/>
        </w:rPr>
        <w:t xml:space="preserve"> containing</w:t>
      </w:r>
      <w:r w:rsidRPr="003B5D84">
        <w:rPr>
          <w:szCs w:val="22"/>
        </w:rPr>
        <w:t xml:space="preserve"> a checklist for polar certification. </w:t>
      </w:r>
    </w:p>
    <w:p w14:paraId="459683BC" w14:textId="77777777" w:rsidR="00AE4D09" w:rsidRPr="002D2BA9" w:rsidRDefault="00AE4D09" w:rsidP="00AE4D09">
      <w:pPr>
        <w:spacing w:before="240" w:after="120"/>
        <w:jc w:val="both"/>
        <w:rPr>
          <w:b/>
          <w:i/>
          <w:szCs w:val="22"/>
        </w:rPr>
      </w:pPr>
      <w:r>
        <w:rPr>
          <w:szCs w:val="22"/>
        </w:rPr>
        <w:t>For</w:t>
      </w:r>
      <w:r w:rsidRPr="003B5D84">
        <w:rPr>
          <w:szCs w:val="22"/>
        </w:rPr>
        <w:t xml:space="preserve"> the certification of the RV </w:t>
      </w:r>
      <w:r w:rsidRPr="00143ABD">
        <w:rPr>
          <w:i/>
          <w:szCs w:val="22"/>
        </w:rPr>
        <w:t xml:space="preserve">Sarmiento de </w:t>
      </w:r>
      <w:proofErr w:type="spellStart"/>
      <w:r w:rsidRPr="00143ABD">
        <w:rPr>
          <w:i/>
          <w:szCs w:val="22"/>
        </w:rPr>
        <w:t>Gamboa</w:t>
      </w:r>
      <w:proofErr w:type="spellEnd"/>
      <w:r w:rsidRPr="003B5D84">
        <w:rPr>
          <w:szCs w:val="22"/>
        </w:rPr>
        <w:t xml:space="preserve">, this checklist was provided to the operator in advance so that a prior assessment could be made of the scope of the work that would be </w:t>
      </w:r>
      <w:r>
        <w:rPr>
          <w:szCs w:val="22"/>
        </w:rPr>
        <w:t xml:space="preserve">required for the ship to </w:t>
      </w:r>
      <w:r w:rsidRPr="003B5D84">
        <w:rPr>
          <w:szCs w:val="22"/>
        </w:rPr>
        <w:t>attain certification as a polar vessel.</w:t>
      </w:r>
    </w:p>
    <w:p w14:paraId="3A489019" w14:textId="77777777" w:rsidR="00AE4D09" w:rsidRPr="002D2BA9" w:rsidRDefault="00AE4D09" w:rsidP="00AE4D09">
      <w:pPr>
        <w:spacing w:before="240" w:after="120"/>
        <w:jc w:val="both"/>
        <w:rPr>
          <w:b/>
          <w:i/>
          <w:sz w:val="24"/>
        </w:rPr>
      </w:pPr>
      <w:r>
        <w:rPr>
          <w:b/>
          <w:bCs/>
          <w:i/>
          <w:iCs/>
          <w:sz w:val="24"/>
        </w:rPr>
        <w:t xml:space="preserve">Experience of the Spanish </w:t>
      </w:r>
      <w:r w:rsidRPr="00EA249E">
        <w:rPr>
          <w:b/>
          <w:bCs/>
          <w:i/>
          <w:iCs/>
          <w:sz w:val="24"/>
        </w:rPr>
        <w:t>Maritime Administration:</w:t>
      </w:r>
      <w:r>
        <w:rPr>
          <w:b/>
          <w:bCs/>
          <w:i/>
          <w:iCs/>
          <w:sz w:val="24"/>
        </w:rPr>
        <w:t xml:space="preserve"> Certification of the RV Sarmiento de </w:t>
      </w:r>
      <w:proofErr w:type="spellStart"/>
      <w:r>
        <w:rPr>
          <w:b/>
          <w:bCs/>
          <w:i/>
          <w:iCs/>
          <w:sz w:val="24"/>
        </w:rPr>
        <w:t>Gamboa</w:t>
      </w:r>
      <w:proofErr w:type="spellEnd"/>
    </w:p>
    <w:p w14:paraId="0CCCEFE5" w14:textId="77777777" w:rsidR="00AE4D09" w:rsidRPr="002D2BA9" w:rsidRDefault="00AE4D09" w:rsidP="00AE4D09">
      <w:pPr>
        <w:spacing w:before="240" w:after="120"/>
        <w:jc w:val="both"/>
      </w:pPr>
      <w:r w:rsidRPr="00C16E37">
        <w:t xml:space="preserve">To date, Spain, as a Flag State, has only certified </w:t>
      </w:r>
      <w:r>
        <w:t xml:space="preserve">one ship, </w:t>
      </w:r>
      <w:r w:rsidRPr="00C16E37">
        <w:t xml:space="preserve">the RV </w:t>
      </w:r>
      <w:r w:rsidRPr="00651143">
        <w:rPr>
          <w:i/>
        </w:rPr>
        <w:t xml:space="preserve">Sarmiento de </w:t>
      </w:r>
      <w:proofErr w:type="spellStart"/>
      <w:r w:rsidRPr="00651143">
        <w:rPr>
          <w:i/>
        </w:rPr>
        <w:t>Gamboa</w:t>
      </w:r>
      <w:proofErr w:type="spellEnd"/>
      <w:r>
        <w:rPr>
          <w:i/>
        </w:rPr>
        <w:t>,</w:t>
      </w:r>
      <w:r w:rsidRPr="00C16E37">
        <w:t xml:space="preserve"> </w:t>
      </w:r>
      <w:r>
        <w:t xml:space="preserve">under </w:t>
      </w:r>
      <w:r w:rsidRPr="00C16E37">
        <w:t>Category C of the Polar Code.</w:t>
      </w:r>
    </w:p>
    <w:p w14:paraId="2D1BCB61" w14:textId="77777777" w:rsidR="00AE4D09" w:rsidRPr="002D2BA9" w:rsidRDefault="00AE4D09" w:rsidP="00AE4D09">
      <w:pPr>
        <w:spacing w:before="240" w:after="120"/>
        <w:jc w:val="both"/>
      </w:pPr>
      <w:r w:rsidRPr="00C16E37">
        <w:t xml:space="preserve">The </w:t>
      </w:r>
      <w:r w:rsidRPr="00651143">
        <w:rPr>
          <w:i/>
        </w:rPr>
        <w:t xml:space="preserve">Sarmiento de </w:t>
      </w:r>
      <w:proofErr w:type="spellStart"/>
      <w:r w:rsidRPr="00651143">
        <w:rPr>
          <w:i/>
        </w:rPr>
        <w:t>Gamboa</w:t>
      </w:r>
      <w:proofErr w:type="spellEnd"/>
      <w:r w:rsidRPr="00C16E37">
        <w:t xml:space="preserve"> was delivered in 2008 by the Freire Shipyard in Vigo; </w:t>
      </w:r>
      <w:r>
        <w:t>this ship</w:t>
      </w:r>
      <w:r w:rsidRPr="00C16E37">
        <w:t xml:space="preserve"> belongs to and is operated by the Spanish National Research Council (CSIC), affiliated with the Ministry of Science and Innovation.</w:t>
      </w:r>
    </w:p>
    <w:p w14:paraId="1E562201" w14:textId="77777777" w:rsidR="00AE4D09" w:rsidRPr="002D2BA9" w:rsidRDefault="00AE4D09" w:rsidP="00AE4D09">
      <w:pPr>
        <w:spacing w:before="240" w:after="120"/>
        <w:jc w:val="both"/>
      </w:pPr>
      <w:r w:rsidRPr="00C16E37">
        <w:t>The</w:t>
      </w:r>
      <w:r>
        <w:t xml:space="preserve"> ship</w:t>
      </w:r>
      <w:r w:rsidRPr="00C16E37">
        <w:t xml:space="preserve"> was designed and built as a multidisciplinary scientific platform, and originally certified by the </w:t>
      </w:r>
      <w:r w:rsidRPr="005D7BED">
        <w:t>Spanish Maritime Administration</w:t>
      </w:r>
      <w:r w:rsidRPr="00C16E37">
        <w:t xml:space="preserve"> under </w:t>
      </w:r>
      <w:r>
        <w:t>S</w:t>
      </w:r>
      <w:r w:rsidRPr="00C16E37">
        <w:t xml:space="preserve">OLAS as a cargo ship and as a ship for special purposes, becoming the most high-powered research vessel among those ships managed under the aegis of the Ministry of Science and Innovation. </w:t>
      </w:r>
    </w:p>
    <w:p w14:paraId="69634B11" w14:textId="77777777" w:rsidR="00AE4D09" w:rsidRPr="002D2BA9" w:rsidRDefault="00AE4D09" w:rsidP="00AE4D09">
      <w:pPr>
        <w:spacing w:before="240" w:after="120"/>
        <w:jc w:val="both"/>
      </w:pPr>
      <w:r w:rsidRPr="00C16E37">
        <w:t xml:space="preserve">Since the entry into force of the Polar Code, and to expand Spanish research activities in the Antarctic, it was decided to certify the </w:t>
      </w:r>
      <w:r w:rsidRPr="00651143">
        <w:rPr>
          <w:i/>
        </w:rPr>
        <w:t xml:space="preserve">Sarmiento de </w:t>
      </w:r>
      <w:proofErr w:type="spellStart"/>
      <w:r w:rsidRPr="00651143">
        <w:rPr>
          <w:i/>
        </w:rPr>
        <w:t>Gamboa</w:t>
      </w:r>
      <w:proofErr w:type="spellEnd"/>
      <w:r w:rsidRPr="00C16E37">
        <w:t xml:space="preserve"> </w:t>
      </w:r>
      <w:r>
        <w:t>under that Code</w:t>
      </w:r>
      <w:r w:rsidRPr="00C16E37">
        <w:t>, taking advantage</w:t>
      </w:r>
      <w:r>
        <w:t xml:space="preserve"> of its flexibility and</w:t>
      </w:r>
      <w:r w:rsidRPr="00C16E37">
        <w:t xml:space="preserve"> </w:t>
      </w:r>
      <w:r w:rsidRPr="000E2A21">
        <w:t>goal-based</w:t>
      </w:r>
      <w:r w:rsidRPr="00C16E37">
        <w:t xml:space="preserve"> focus. This certification was carried out in 2018, enabling the</w:t>
      </w:r>
      <w:r>
        <w:t xml:space="preserve"> ship</w:t>
      </w:r>
      <w:r w:rsidRPr="00C16E37">
        <w:t xml:space="preserve"> to go </w:t>
      </w:r>
      <w:r w:rsidRPr="000E2A21">
        <w:t>on oceanographic campaigns</w:t>
      </w:r>
      <w:r w:rsidRPr="00C16E37">
        <w:t xml:space="preserve"> within the area of Spai</w:t>
      </w:r>
      <w:r>
        <w:t>n’</w:t>
      </w:r>
      <w:r w:rsidRPr="00C16E37">
        <w:t xml:space="preserve">s Antarctic bases, around the South Shetland Islands. </w:t>
      </w:r>
    </w:p>
    <w:p w14:paraId="2143A8B0" w14:textId="77777777" w:rsidR="00AE4D09" w:rsidRDefault="00AE4D09" w:rsidP="00AE4D09">
      <w:pPr>
        <w:spacing w:before="240" w:after="120"/>
        <w:jc w:val="both"/>
      </w:pPr>
      <w:r>
        <w:t xml:space="preserve">Due to its structure and design, the </w:t>
      </w:r>
      <w:r w:rsidRPr="00651143">
        <w:rPr>
          <w:i/>
        </w:rPr>
        <w:t xml:space="preserve">Sarmiento de </w:t>
      </w:r>
      <w:proofErr w:type="spellStart"/>
      <w:r w:rsidRPr="00651143">
        <w:rPr>
          <w:i/>
        </w:rPr>
        <w:t>Gamboa</w:t>
      </w:r>
      <w:proofErr w:type="spellEnd"/>
      <w:r>
        <w:t xml:space="preserve"> meets the requirements for operating, within certain </w:t>
      </w:r>
      <w:r w:rsidRPr="00107DB4">
        <w:t>limitations</w:t>
      </w:r>
      <w:r>
        <w:t xml:space="preserve">, in the zones covered by the Code, such that the ship’s Polar Certificate confines operations in the Antarctic to the area north of 63ºS, during the Antarctic summer. The </w:t>
      </w:r>
      <w:r w:rsidRPr="00E81641">
        <w:rPr>
          <w:i/>
          <w:iCs/>
        </w:rPr>
        <w:t xml:space="preserve">Sarmiento de </w:t>
      </w:r>
      <w:proofErr w:type="spellStart"/>
      <w:r w:rsidRPr="00E81641">
        <w:rPr>
          <w:i/>
          <w:iCs/>
        </w:rPr>
        <w:t>Gamboa</w:t>
      </w:r>
      <w:proofErr w:type="spellEnd"/>
      <w:r>
        <w:t xml:space="preserve"> is only authorized to sail in ice-free </w:t>
      </w:r>
      <w:proofErr w:type="gramStart"/>
      <w:r>
        <w:t>waters, and</w:t>
      </w:r>
      <w:proofErr w:type="gramEnd"/>
      <w:r>
        <w:t xml:space="preserve"> is not authorized to sail at low air temperatures nor at high latitudes; under these authorized conditions, the ship’s stability and the functioning of equipment on board will not be compromised, and will comply with the Polar Code.  </w:t>
      </w:r>
    </w:p>
    <w:p w14:paraId="3BAB35CA" w14:textId="77777777" w:rsidR="00AE4D09" w:rsidRPr="002D2BA9" w:rsidRDefault="00AE4D09" w:rsidP="00AE4D09">
      <w:pPr>
        <w:spacing w:before="240" w:after="120"/>
        <w:jc w:val="both"/>
        <w:rPr>
          <w:color w:val="000000"/>
        </w:rPr>
      </w:pPr>
      <w:r>
        <w:rPr>
          <w:color w:val="000000"/>
        </w:rPr>
        <w:t xml:space="preserve">Since the ship’s construction, the </w:t>
      </w:r>
      <w:r w:rsidRPr="00651143">
        <w:rPr>
          <w:i/>
        </w:rPr>
        <w:t xml:space="preserve">Sarmiento de </w:t>
      </w:r>
      <w:proofErr w:type="spellStart"/>
      <w:r w:rsidRPr="00651143">
        <w:rPr>
          <w:i/>
        </w:rPr>
        <w:t>Gamboa</w:t>
      </w:r>
      <w:proofErr w:type="spellEnd"/>
      <w:r>
        <w:rPr>
          <w:color w:val="000000"/>
        </w:rPr>
        <w:t xml:space="preserve"> has complied with all MARPOL provisions, having the relevant </w:t>
      </w:r>
      <w:r w:rsidRPr="00195253">
        <w:rPr>
          <w:color w:val="000000"/>
        </w:rPr>
        <w:t>International Oil Pollution Prevention (IOPP), International Air Pollution Prevention (IAPP) and International Sewage Pollution Prevention (ISPP)</w:t>
      </w:r>
      <w:r w:rsidRPr="006A2B66">
        <w:rPr>
          <w:color w:val="000000"/>
        </w:rPr>
        <w:t xml:space="preserve"> certificates</w:t>
      </w:r>
      <w:r>
        <w:rPr>
          <w:color w:val="000000"/>
        </w:rPr>
        <w:t xml:space="preserve">, </w:t>
      </w:r>
      <w:proofErr w:type="spellStart"/>
      <w:r>
        <w:rPr>
          <w:color w:val="000000"/>
        </w:rPr>
        <w:t>inu</w:t>
      </w:r>
      <w:proofErr w:type="spellEnd"/>
      <w:r>
        <w:rPr>
          <w:color w:val="000000"/>
        </w:rPr>
        <w:t xml:space="preserve"> addition to complying with the provisions on the prevention of </w:t>
      </w:r>
      <w:r w:rsidRPr="00195253">
        <w:rPr>
          <w:color w:val="000000"/>
        </w:rPr>
        <w:t>garbage pollution</w:t>
      </w:r>
      <w:r w:rsidRPr="006A2B66">
        <w:rPr>
          <w:color w:val="000000"/>
        </w:rPr>
        <w:t>.</w:t>
      </w:r>
    </w:p>
    <w:p w14:paraId="323B55A8" w14:textId="77777777" w:rsidR="00AE4D09" w:rsidRPr="002D2BA9" w:rsidRDefault="00AE4D09" w:rsidP="00AE4D09">
      <w:pPr>
        <w:spacing w:before="240" w:after="120"/>
        <w:jc w:val="both"/>
        <w:rPr>
          <w:i/>
          <w:szCs w:val="22"/>
          <w:u w:val="single"/>
        </w:rPr>
      </w:pPr>
      <w:r w:rsidRPr="00D57111">
        <w:rPr>
          <w:i/>
          <w:iCs/>
          <w:szCs w:val="22"/>
          <w:u w:val="single"/>
        </w:rPr>
        <w:t xml:space="preserve">Most controversial </w:t>
      </w:r>
      <w:r>
        <w:rPr>
          <w:i/>
          <w:iCs/>
          <w:szCs w:val="22"/>
          <w:u w:val="single"/>
        </w:rPr>
        <w:t xml:space="preserve">aspects of </w:t>
      </w:r>
      <w:r w:rsidRPr="00D57111">
        <w:rPr>
          <w:i/>
          <w:iCs/>
          <w:szCs w:val="22"/>
          <w:u w:val="single"/>
        </w:rPr>
        <w:t xml:space="preserve">the certification of the </w:t>
      </w:r>
      <w:r w:rsidRPr="00D57111">
        <w:rPr>
          <w:szCs w:val="22"/>
          <w:u w:val="single"/>
        </w:rPr>
        <w:t xml:space="preserve">Sarmiento de </w:t>
      </w:r>
      <w:proofErr w:type="spellStart"/>
      <w:r w:rsidRPr="00D57111">
        <w:rPr>
          <w:szCs w:val="22"/>
          <w:u w:val="single"/>
        </w:rPr>
        <w:t>Gamboa</w:t>
      </w:r>
      <w:proofErr w:type="spellEnd"/>
    </w:p>
    <w:p w14:paraId="2951EE9E" w14:textId="77777777" w:rsidR="00AE4D09" w:rsidRPr="001E3E10" w:rsidRDefault="00AE4D09" w:rsidP="00AE4D09">
      <w:pPr>
        <w:numPr>
          <w:ilvl w:val="0"/>
          <w:numId w:val="21"/>
        </w:numPr>
        <w:spacing w:before="240" w:after="120"/>
        <w:jc w:val="both"/>
        <w:rPr>
          <w:color w:val="000000"/>
        </w:rPr>
      </w:pPr>
      <w:r w:rsidRPr="001E3E10">
        <w:rPr>
          <w:color w:val="000000"/>
        </w:rPr>
        <w:t>Goal-</w:t>
      </w:r>
      <w:r>
        <w:rPr>
          <w:color w:val="000000"/>
        </w:rPr>
        <w:t>b</w:t>
      </w:r>
      <w:r w:rsidRPr="001E3E10">
        <w:rPr>
          <w:color w:val="000000"/>
        </w:rPr>
        <w:t xml:space="preserve">ased </w:t>
      </w:r>
      <w:r>
        <w:rPr>
          <w:color w:val="000000"/>
        </w:rPr>
        <w:t>s</w:t>
      </w:r>
      <w:r w:rsidRPr="001E3E10">
        <w:rPr>
          <w:color w:val="000000"/>
        </w:rPr>
        <w:t>tandards</w:t>
      </w:r>
      <w:r>
        <w:rPr>
          <w:color w:val="000000"/>
        </w:rPr>
        <w:t xml:space="preserve"> </w:t>
      </w:r>
    </w:p>
    <w:p w14:paraId="473BDC0B" w14:textId="77777777" w:rsidR="00AE4D09" w:rsidRPr="002D2BA9" w:rsidRDefault="00AE4D09" w:rsidP="00AE4D09">
      <w:pPr>
        <w:spacing w:before="240" w:after="120"/>
        <w:ind w:left="720"/>
        <w:jc w:val="both"/>
        <w:rPr>
          <w:color w:val="000000"/>
        </w:rPr>
      </w:pPr>
      <w:r w:rsidRPr="001E3E10">
        <w:rPr>
          <w:color w:val="000000"/>
        </w:rPr>
        <w:t>The Polar Code has four chapters (</w:t>
      </w:r>
      <w:r>
        <w:rPr>
          <w:color w:val="000000"/>
        </w:rPr>
        <w:t>Ship S</w:t>
      </w:r>
      <w:r w:rsidRPr="001E3E10">
        <w:rPr>
          <w:color w:val="000000"/>
        </w:rPr>
        <w:t xml:space="preserve">tructure, </w:t>
      </w:r>
      <w:r>
        <w:rPr>
          <w:color w:val="000000"/>
        </w:rPr>
        <w:t>M</w:t>
      </w:r>
      <w:r w:rsidRPr="001E3E10">
        <w:rPr>
          <w:color w:val="000000"/>
        </w:rPr>
        <w:t>achinery</w:t>
      </w:r>
      <w:r>
        <w:rPr>
          <w:color w:val="000000"/>
        </w:rPr>
        <w:t xml:space="preserve"> </w:t>
      </w:r>
      <w:r w:rsidRPr="0096133E">
        <w:rPr>
          <w:color w:val="000000"/>
        </w:rPr>
        <w:t>Installations, Fire Safety/</w:t>
      </w:r>
      <w:r>
        <w:rPr>
          <w:color w:val="000000"/>
        </w:rPr>
        <w:t>Protection</w:t>
      </w:r>
      <w:r w:rsidRPr="001E3E10">
        <w:rPr>
          <w:color w:val="000000"/>
        </w:rPr>
        <w:t xml:space="preserve"> and </w:t>
      </w:r>
      <w:r>
        <w:rPr>
          <w:color w:val="000000"/>
        </w:rPr>
        <w:t>L</w:t>
      </w:r>
      <w:r w:rsidRPr="001E3E10">
        <w:rPr>
          <w:color w:val="000000"/>
        </w:rPr>
        <w:t>ife-</w:t>
      </w:r>
      <w:r>
        <w:rPr>
          <w:color w:val="000000"/>
        </w:rPr>
        <w:t>S</w:t>
      </w:r>
      <w:r w:rsidRPr="001E3E10">
        <w:rPr>
          <w:color w:val="000000"/>
        </w:rPr>
        <w:t xml:space="preserve">aving </w:t>
      </w:r>
      <w:r>
        <w:rPr>
          <w:color w:val="000000"/>
        </w:rPr>
        <w:t>Appliances and A</w:t>
      </w:r>
      <w:r w:rsidRPr="001E3E10">
        <w:rPr>
          <w:color w:val="000000"/>
        </w:rPr>
        <w:t xml:space="preserve">rrangements) which may be applied not </w:t>
      </w:r>
      <w:r>
        <w:rPr>
          <w:color w:val="000000"/>
        </w:rPr>
        <w:t xml:space="preserve">by </w:t>
      </w:r>
      <w:r w:rsidRPr="001E3E10">
        <w:rPr>
          <w:color w:val="000000"/>
        </w:rPr>
        <w:t xml:space="preserve">complying with their associated </w:t>
      </w:r>
      <w:r>
        <w:rPr>
          <w:color w:val="000000"/>
        </w:rPr>
        <w:t xml:space="preserve">regulations </w:t>
      </w:r>
      <w:r w:rsidRPr="001E3E10">
        <w:rPr>
          <w:color w:val="000000"/>
        </w:rPr>
        <w:t xml:space="preserve">but </w:t>
      </w:r>
      <w:r>
        <w:rPr>
          <w:color w:val="000000"/>
        </w:rPr>
        <w:t xml:space="preserve">rather with </w:t>
      </w:r>
      <w:r w:rsidRPr="001E3E10">
        <w:rPr>
          <w:color w:val="000000"/>
        </w:rPr>
        <w:t xml:space="preserve">their functional </w:t>
      </w:r>
      <w:r>
        <w:rPr>
          <w:color w:val="000000"/>
        </w:rPr>
        <w:t xml:space="preserve">requirements </w:t>
      </w:r>
      <w:r w:rsidRPr="00EA249E">
        <w:rPr>
          <w:color w:val="000000"/>
        </w:rPr>
        <w:t>through an alternative project</w:t>
      </w:r>
      <w:r w:rsidRPr="001E3E10">
        <w:rPr>
          <w:color w:val="000000"/>
        </w:rPr>
        <w:t xml:space="preserve">. This is the main difference between the application of this Code compared with </w:t>
      </w:r>
      <w:r>
        <w:rPr>
          <w:color w:val="000000"/>
        </w:rPr>
        <w:t xml:space="preserve">that of </w:t>
      </w:r>
      <w:r w:rsidRPr="001E3E10">
        <w:rPr>
          <w:color w:val="000000"/>
        </w:rPr>
        <w:t>other standards with which we are more familiar.</w:t>
      </w:r>
    </w:p>
    <w:p w14:paraId="5E75781F" w14:textId="77777777" w:rsidR="00AE4D09" w:rsidRPr="002D2BA9" w:rsidRDefault="00AE4D09" w:rsidP="00AE4D09">
      <w:pPr>
        <w:spacing w:before="240" w:after="120"/>
        <w:ind w:left="720"/>
        <w:jc w:val="both"/>
        <w:rPr>
          <w:color w:val="000000"/>
        </w:rPr>
      </w:pPr>
      <w:r w:rsidRPr="001E3E10">
        <w:rPr>
          <w:color w:val="000000"/>
        </w:rPr>
        <w:lastRenderedPageBreak/>
        <w:t xml:space="preserve">In the case of the </w:t>
      </w:r>
      <w:r>
        <w:rPr>
          <w:color w:val="000000"/>
        </w:rPr>
        <w:t xml:space="preserve">RV </w:t>
      </w:r>
      <w:r w:rsidRPr="001E3E10">
        <w:rPr>
          <w:i/>
          <w:iCs/>
          <w:color w:val="000000"/>
        </w:rPr>
        <w:t xml:space="preserve">Sarmiento de </w:t>
      </w:r>
      <w:proofErr w:type="spellStart"/>
      <w:r w:rsidRPr="001E3E10">
        <w:rPr>
          <w:i/>
          <w:iCs/>
          <w:color w:val="000000"/>
        </w:rPr>
        <w:t>Gamboa</w:t>
      </w:r>
      <w:proofErr w:type="spellEnd"/>
      <w:r w:rsidRPr="001E3E10">
        <w:rPr>
          <w:color w:val="000000"/>
        </w:rPr>
        <w:t xml:space="preserve">, </w:t>
      </w:r>
      <w:r w:rsidRPr="00EA249E">
        <w:rPr>
          <w:color w:val="000000"/>
        </w:rPr>
        <w:t xml:space="preserve">functional </w:t>
      </w:r>
      <w:r>
        <w:rPr>
          <w:color w:val="000000"/>
        </w:rPr>
        <w:t>criteria</w:t>
      </w:r>
      <w:r w:rsidRPr="001E3E10">
        <w:rPr>
          <w:color w:val="000000"/>
        </w:rPr>
        <w:t xml:space="preserve"> were not used; rather, operational limits were established, which facilitated the process.</w:t>
      </w:r>
    </w:p>
    <w:p w14:paraId="5B8E2D34" w14:textId="77777777" w:rsidR="00AE4D09" w:rsidRPr="002D2BA9" w:rsidRDefault="00AE4D09" w:rsidP="00AE4D09">
      <w:pPr>
        <w:numPr>
          <w:ilvl w:val="0"/>
          <w:numId w:val="21"/>
        </w:numPr>
        <w:spacing w:before="240" w:after="120"/>
        <w:jc w:val="both"/>
        <w:rPr>
          <w:bCs/>
          <w:color w:val="000000"/>
        </w:rPr>
      </w:pPr>
      <w:r w:rsidRPr="00135B75">
        <w:rPr>
          <w:bCs/>
          <w:color w:val="000000"/>
        </w:rPr>
        <w:t>Polar Service Temperature</w:t>
      </w:r>
      <w:r>
        <w:rPr>
          <w:bCs/>
          <w:color w:val="000000"/>
        </w:rPr>
        <w:t xml:space="preserve"> requirements</w:t>
      </w:r>
    </w:p>
    <w:p w14:paraId="78690BF7" w14:textId="77777777" w:rsidR="00AE4D09" w:rsidRPr="002D2BA9" w:rsidRDefault="00AE4D09" w:rsidP="00AE4D09">
      <w:pPr>
        <w:spacing w:before="240" w:after="120"/>
        <w:ind w:left="720"/>
        <w:jc w:val="both"/>
        <w:rPr>
          <w:color w:val="000000"/>
        </w:rPr>
      </w:pPr>
      <w:r w:rsidRPr="00174C6B">
        <w:rPr>
          <w:color w:val="000000"/>
        </w:rPr>
        <w:t xml:space="preserve">The Polar Service Temperature (PST) is a determining factor due to its crucial importance </w:t>
      </w:r>
      <w:r>
        <w:rPr>
          <w:color w:val="000000"/>
        </w:rPr>
        <w:t>to the</w:t>
      </w:r>
      <w:r w:rsidRPr="00174C6B">
        <w:rPr>
          <w:color w:val="000000"/>
        </w:rPr>
        <w:t xml:space="preserve"> appl</w:t>
      </w:r>
      <w:r>
        <w:rPr>
          <w:color w:val="000000"/>
        </w:rPr>
        <w:t>ication of</w:t>
      </w:r>
      <w:r w:rsidRPr="00174C6B">
        <w:rPr>
          <w:color w:val="000000"/>
        </w:rPr>
        <w:t xml:space="preserve"> the </w:t>
      </w:r>
      <w:r>
        <w:rPr>
          <w:color w:val="000000"/>
        </w:rPr>
        <w:t xml:space="preserve">Polar </w:t>
      </w:r>
      <w:proofErr w:type="gramStart"/>
      <w:r w:rsidRPr="00174C6B">
        <w:rPr>
          <w:color w:val="000000"/>
        </w:rPr>
        <w:t>Code, and</w:t>
      </w:r>
      <w:proofErr w:type="gramEnd"/>
      <w:r w:rsidRPr="00174C6B">
        <w:rPr>
          <w:color w:val="000000"/>
        </w:rPr>
        <w:t xml:space="preserve"> is calculated using the temperature data set</w:t>
      </w:r>
      <w:r>
        <w:rPr>
          <w:color w:val="000000"/>
        </w:rPr>
        <w:t xml:space="preserve"> from the past 10 years in the </w:t>
      </w:r>
      <w:r w:rsidRPr="00174C6B">
        <w:rPr>
          <w:color w:val="000000"/>
        </w:rPr>
        <w:t xml:space="preserve">zone of operation during the months of operation. </w:t>
      </w:r>
    </w:p>
    <w:p w14:paraId="70FCE808" w14:textId="77777777" w:rsidR="00AE4D09" w:rsidRPr="002D2BA9" w:rsidRDefault="00AE4D09" w:rsidP="00AE4D09">
      <w:pPr>
        <w:pStyle w:val="NormalWeb"/>
        <w:spacing w:before="0" w:beforeAutospacing="0" w:after="0" w:afterAutospacing="0"/>
        <w:ind w:left="708"/>
        <w:rPr>
          <w:rFonts w:ascii="Arial" w:hAnsi="Arial" w:cs="Arial"/>
          <w:color w:val="000000"/>
          <w:lang w:val="en-US" w:eastAsia="es-ES_tradnl"/>
        </w:rPr>
      </w:pPr>
      <w:r w:rsidRPr="001E3E10">
        <w:rPr>
          <w:color w:val="000000"/>
          <w:sz w:val="22"/>
          <w:lang w:val="en-GB"/>
        </w:rPr>
        <w:t xml:space="preserve">In the case of the </w:t>
      </w:r>
      <w:r>
        <w:rPr>
          <w:color w:val="000000"/>
          <w:sz w:val="22"/>
          <w:lang w:val="en-GB"/>
        </w:rPr>
        <w:t xml:space="preserve">RV </w:t>
      </w:r>
      <w:r w:rsidRPr="001E3E10">
        <w:rPr>
          <w:i/>
          <w:iCs/>
          <w:color w:val="000000"/>
          <w:sz w:val="22"/>
          <w:lang w:val="en-GB"/>
        </w:rPr>
        <w:t xml:space="preserve">Sarmiento de </w:t>
      </w:r>
      <w:proofErr w:type="spellStart"/>
      <w:r w:rsidRPr="001E3E10">
        <w:rPr>
          <w:i/>
          <w:iCs/>
          <w:color w:val="000000"/>
          <w:sz w:val="22"/>
          <w:lang w:val="en-GB"/>
        </w:rPr>
        <w:t>Gamboa</w:t>
      </w:r>
      <w:proofErr w:type="spellEnd"/>
      <w:r w:rsidRPr="001E3E10">
        <w:rPr>
          <w:color w:val="000000"/>
          <w:sz w:val="22"/>
          <w:lang w:val="en-GB"/>
        </w:rPr>
        <w:t>, the calculations we</w:t>
      </w:r>
      <w:r>
        <w:rPr>
          <w:color w:val="000000"/>
          <w:sz w:val="22"/>
          <w:lang w:val="en-GB"/>
        </w:rPr>
        <w:t>re based on a report from Spain’</w:t>
      </w:r>
      <w:r w:rsidRPr="001E3E10">
        <w:rPr>
          <w:color w:val="000000"/>
          <w:sz w:val="22"/>
          <w:lang w:val="en-GB"/>
        </w:rPr>
        <w:t xml:space="preserve">s National Meteorological Agency (AEMET), which is </w:t>
      </w:r>
      <w:r>
        <w:rPr>
          <w:color w:val="000000"/>
          <w:sz w:val="22"/>
          <w:lang w:val="en-GB"/>
        </w:rPr>
        <w:t xml:space="preserve">responsible for </w:t>
      </w:r>
      <w:r w:rsidRPr="001E3E10">
        <w:rPr>
          <w:color w:val="000000"/>
          <w:sz w:val="22"/>
          <w:lang w:val="en-GB"/>
        </w:rPr>
        <w:t xml:space="preserve">the development, </w:t>
      </w:r>
      <w:proofErr w:type="gramStart"/>
      <w:r w:rsidRPr="001E3E10">
        <w:rPr>
          <w:color w:val="000000"/>
          <w:sz w:val="22"/>
          <w:lang w:val="en-GB"/>
        </w:rPr>
        <w:t>implementation</w:t>
      </w:r>
      <w:proofErr w:type="gramEnd"/>
      <w:r w:rsidRPr="001E3E10">
        <w:rPr>
          <w:color w:val="000000"/>
          <w:sz w:val="22"/>
          <w:lang w:val="en-GB"/>
        </w:rPr>
        <w:t xml:space="preserve"> and provision of the meteorological services of the Spanish State and which, furthermore, has for the past 25 years operated and maintained weather stations of reference </w:t>
      </w:r>
      <w:r>
        <w:rPr>
          <w:color w:val="000000"/>
          <w:sz w:val="22"/>
          <w:lang w:val="en-GB"/>
        </w:rPr>
        <w:t>at</w:t>
      </w:r>
      <w:r w:rsidRPr="001E3E10">
        <w:rPr>
          <w:color w:val="000000"/>
          <w:sz w:val="22"/>
          <w:lang w:val="en-GB"/>
        </w:rPr>
        <w:t xml:space="preserve"> </w:t>
      </w:r>
      <w:r>
        <w:rPr>
          <w:color w:val="000000"/>
          <w:sz w:val="22"/>
          <w:lang w:val="en-GB"/>
        </w:rPr>
        <w:t>Spain’s</w:t>
      </w:r>
      <w:r w:rsidRPr="001E3E10">
        <w:rPr>
          <w:color w:val="000000"/>
          <w:sz w:val="22"/>
          <w:lang w:val="en-GB"/>
        </w:rPr>
        <w:t xml:space="preserve"> Antarctic bases.</w:t>
      </w:r>
    </w:p>
    <w:p w14:paraId="315E6AED" w14:textId="77777777" w:rsidR="00AE4D09" w:rsidRPr="002D2BA9" w:rsidRDefault="00AE4D09" w:rsidP="00AE4D09">
      <w:pPr>
        <w:spacing w:before="240" w:after="120"/>
        <w:ind w:left="720"/>
        <w:jc w:val="both"/>
        <w:rPr>
          <w:color w:val="000000"/>
        </w:rPr>
      </w:pPr>
      <w:r w:rsidRPr="00C80EDA">
        <w:rPr>
          <w:color w:val="000000"/>
        </w:rPr>
        <w:t xml:space="preserve">Since the navigable routes necessarily run through zones in which there is no data from direct temperature measurement, it is necessary to extrapolate the data taken from these stations based on the applicable environmental conditions, establishing a temperature map that makes it possible to select those of interest. </w:t>
      </w:r>
      <w:r w:rsidRPr="00EA249E">
        <w:rPr>
          <w:color w:val="000000"/>
        </w:rPr>
        <w:t>Th</w:t>
      </w:r>
      <w:r>
        <w:rPr>
          <w:color w:val="000000"/>
        </w:rPr>
        <w:t>e Code specifications should be implemented in this manner</w:t>
      </w:r>
      <w:r w:rsidRPr="00E81641">
        <w:rPr>
          <w:color w:val="000000"/>
        </w:rPr>
        <w:t>, and it should be made clear which extrapolation models are considered acceptable.</w:t>
      </w:r>
      <w:r w:rsidRPr="00174C6B">
        <w:rPr>
          <w:color w:val="000000"/>
        </w:rPr>
        <w:t xml:space="preserve"> </w:t>
      </w:r>
    </w:p>
    <w:p w14:paraId="0E38CEDB" w14:textId="77777777" w:rsidR="00AE4D09" w:rsidRPr="002D2BA9" w:rsidRDefault="00AE4D09" w:rsidP="00AE4D09">
      <w:pPr>
        <w:numPr>
          <w:ilvl w:val="0"/>
          <w:numId w:val="21"/>
        </w:numPr>
        <w:spacing w:before="240" w:after="120"/>
        <w:jc w:val="both"/>
        <w:rPr>
          <w:bCs/>
          <w:color w:val="000000"/>
        </w:rPr>
      </w:pPr>
      <w:r w:rsidRPr="00383162">
        <w:rPr>
          <w:bCs/>
          <w:color w:val="000000"/>
        </w:rPr>
        <w:t xml:space="preserve">Operational assessment. Development of risk assessment models </w:t>
      </w:r>
    </w:p>
    <w:p w14:paraId="34646959" w14:textId="77777777" w:rsidR="00AE4D09" w:rsidRPr="002D2BA9" w:rsidRDefault="00AE4D09" w:rsidP="00AE4D09">
      <w:pPr>
        <w:spacing w:before="240" w:after="120"/>
        <w:ind w:left="720"/>
        <w:jc w:val="both"/>
        <w:rPr>
          <w:color w:val="000000"/>
        </w:rPr>
      </w:pPr>
      <w:r w:rsidRPr="00174C6B">
        <w:rPr>
          <w:color w:val="000000"/>
        </w:rPr>
        <w:t xml:space="preserve">The operational assessment set forth in </w:t>
      </w:r>
      <w:r>
        <w:rPr>
          <w:color w:val="000000"/>
        </w:rPr>
        <w:t>Section</w:t>
      </w:r>
      <w:r w:rsidRPr="00174C6B">
        <w:rPr>
          <w:color w:val="000000"/>
        </w:rPr>
        <w:t xml:space="preserve"> 1.5 of Chapter 1 of Part I-A is considered a core issue in the </w:t>
      </w:r>
      <w:r>
        <w:rPr>
          <w:color w:val="000000"/>
        </w:rPr>
        <w:t xml:space="preserve">Polar </w:t>
      </w:r>
      <w:r w:rsidRPr="00174C6B">
        <w:rPr>
          <w:color w:val="000000"/>
        </w:rPr>
        <w:t xml:space="preserve">Code. </w:t>
      </w:r>
    </w:p>
    <w:p w14:paraId="0B2A413E" w14:textId="77777777" w:rsidR="00AE4D09" w:rsidRPr="002D2BA9" w:rsidRDefault="00AE4D09" w:rsidP="00AE4D09">
      <w:pPr>
        <w:spacing w:before="240" w:after="120"/>
        <w:ind w:left="720"/>
        <w:jc w:val="both"/>
        <w:rPr>
          <w:color w:val="000000"/>
        </w:rPr>
      </w:pPr>
      <w:r>
        <w:rPr>
          <w:color w:val="000000"/>
        </w:rPr>
        <w:t xml:space="preserve">The RV </w:t>
      </w:r>
      <w:r>
        <w:rPr>
          <w:i/>
          <w:iCs/>
          <w:color w:val="000000"/>
        </w:rPr>
        <w:t xml:space="preserve">Sarmiento de </w:t>
      </w:r>
      <w:proofErr w:type="spellStart"/>
      <w:r>
        <w:rPr>
          <w:i/>
          <w:iCs/>
          <w:color w:val="000000"/>
        </w:rPr>
        <w:t>Gamboa</w:t>
      </w:r>
      <w:proofErr w:type="spellEnd"/>
      <w:r>
        <w:rPr>
          <w:i/>
          <w:iCs/>
          <w:color w:val="000000"/>
        </w:rPr>
        <w:t xml:space="preserve"> </w:t>
      </w:r>
      <w:r>
        <w:rPr>
          <w:color w:val="000000"/>
        </w:rPr>
        <w:t>is an existing ship that was not designed for polar navigation and, as has already been stated, its certification necessarily entailed the establishment of a number of operational limits to preclude the risks inherent in polar navigation (</w:t>
      </w:r>
      <w:proofErr w:type="gramStart"/>
      <w:r>
        <w:rPr>
          <w:color w:val="000000"/>
        </w:rPr>
        <w:t>e.g.</w:t>
      </w:r>
      <w:proofErr w:type="gramEnd"/>
      <w:r>
        <w:rPr>
          <w:color w:val="000000"/>
        </w:rPr>
        <w:t xml:space="preserve"> ice, low temperatures, high latitudes), and it was therefore unnecessary to carry out the risk assessments, </w:t>
      </w:r>
      <w:r w:rsidRPr="006175B8">
        <w:rPr>
          <w:color w:val="000000"/>
        </w:rPr>
        <w:t xml:space="preserve">the lack of models </w:t>
      </w:r>
      <w:r w:rsidRPr="00EA249E">
        <w:rPr>
          <w:color w:val="000000"/>
        </w:rPr>
        <w:t xml:space="preserve">for which has been </w:t>
      </w:r>
      <w:r w:rsidRPr="006175B8">
        <w:rPr>
          <w:color w:val="000000"/>
        </w:rPr>
        <w:t>commented on.</w:t>
      </w:r>
    </w:p>
    <w:p w14:paraId="6F15AD0E" w14:textId="77777777" w:rsidR="00AE4D09" w:rsidRPr="002D2BA9" w:rsidRDefault="00AE4D09" w:rsidP="00AE4D09">
      <w:pPr>
        <w:spacing w:before="240" w:after="120"/>
        <w:ind w:left="720"/>
        <w:jc w:val="both"/>
        <w:rPr>
          <w:color w:val="000000"/>
        </w:rPr>
      </w:pPr>
      <w:r w:rsidRPr="00174C6B">
        <w:rPr>
          <w:color w:val="000000"/>
        </w:rPr>
        <w:t xml:space="preserve">The problem is that to date, and based on Spain's experience, </w:t>
      </w:r>
      <w:proofErr w:type="gramStart"/>
      <w:r w:rsidRPr="00174C6B">
        <w:rPr>
          <w:color w:val="000000"/>
        </w:rPr>
        <w:t>with regard to</w:t>
      </w:r>
      <w:proofErr w:type="gramEnd"/>
      <w:r w:rsidRPr="00174C6B">
        <w:rPr>
          <w:color w:val="000000"/>
        </w:rPr>
        <w:t xml:space="preserve"> </w:t>
      </w:r>
      <w:r w:rsidRPr="00CA75E4">
        <w:rPr>
          <w:color w:val="000000"/>
        </w:rPr>
        <w:t xml:space="preserve">the </w:t>
      </w:r>
      <w:r w:rsidRPr="001F5A09">
        <w:rPr>
          <w:color w:val="000000"/>
        </w:rPr>
        <w:t>hazards</w:t>
      </w:r>
      <w:r w:rsidRPr="00174C6B">
        <w:rPr>
          <w:color w:val="000000"/>
        </w:rPr>
        <w:t xml:space="preserve"> listed</w:t>
      </w:r>
      <w:r>
        <w:rPr>
          <w:color w:val="000000"/>
        </w:rPr>
        <w:t xml:space="preserve"> in Section 3 of the Polar Code’</w:t>
      </w:r>
      <w:r w:rsidRPr="00174C6B">
        <w:rPr>
          <w:color w:val="000000"/>
        </w:rPr>
        <w:t xml:space="preserve">s </w:t>
      </w:r>
      <w:r w:rsidRPr="006175B8">
        <w:rPr>
          <w:color w:val="000000"/>
        </w:rPr>
        <w:t xml:space="preserve">Introduction </w:t>
      </w:r>
      <w:r>
        <w:rPr>
          <w:color w:val="000000"/>
        </w:rPr>
        <w:t xml:space="preserve">and </w:t>
      </w:r>
      <w:r w:rsidRPr="00EA249E">
        <w:rPr>
          <w:color w:val="000000"/>
        </w:rPr>
        <w:t>requiring study</w:t>
      </w:r>
      <w:r w:rsidRPr="00174C6B">
        <w:rPr>
          <w:color w:val="000000"/>
        </w:rPr>
        <w:t xml:space="preserve">, the only risk assessment model that has been implemented is that </w:t>
      </w:r>
      <w:r>
        <w:rPr>
          <w:color w:val="000000"/>
        </w:rPr>
        <w:t>for</w:t>
      </w:r>
      <w:r w:rsidRPr="00174C6B">
        <w:rPr>
          <w:color w:val="000000"/>
        </w:rPr>
        <w:t xml:space="preserve"> ice hazards (</w:t>
      </w:r>
      <w:r>
        <w:rPr>
          <w:rStyle w:val="st"/>
        </w:rPr>
        <w:t xml:space="preserve">Polar Operational Limit Assessment Risk Indexing System, or </w:t>
      </w:r>
      <w:r w:rsidRPr="00174C6B">
        <w:rPr>
          <w:color w:val="000000"/>
        </w:rPr>
        <w:t>POLARIS</w:t>
      </w:r>
      <w:r>
        <w:rPr>
          <w:color w:val="000000"/>
        </w:rPr>
        <w:t>,</w:t>
      </w:r>
      <w:r w:rsidRPr="00174C6B">
        <w:rPr>
          <w:color w:val="000000"/>
        </w:rPr>
        <w:t xml:space="preserve"> in MSC.1/Circ.1519). </w:t>
      </w:r>
    </w:p>
    <w:p w14:paraId="2D9CE181" w14:textId="77777777" w:rsidR="00AE4D09" w:rsidRPr="002D2BA9" w:rsidRDefault="00AE4D09" w:rsidP="00AE4D09">
      <w:pPr>
        <w:spacing w:before="240" w:after="120"/>
        <w:ind w:left="720"/>
        <w:jc w:val="both"/>
        <w:rPr>
          <w:color w:val="000000"/>
        </w:rPr>
      </w:pPr>
      <w:r w:rsidRPr="00157C43">
        <w:rPr>
          <w:color w:val="000000"/>
        </w:rPr>
        <w:t>Without a standard assessment model for the other hazards (</w:t>
      </w:r>
      <w:proofErr w:type="gramStart"/>
      <w:r w:rsidRPr="00157C43">
        <w:rPr>
          <w:color w:val="000000"/>
        </w:rPr>
        <w:t>e.g.</w:t>
      </w:r>
      <w:proofErr w:type="gramEnd"/>
      <w:r w:rsidRPr="00157C43">
        <w:rPr>
          <w:color w:val="000000"/>
        </w:rPr>
        <w:t xml:space="preserve"> low temperature</w:t>
      </w:r>
      <w:r>
        <w:rPr>
          <w:color w:val="000000"/>
        </w:rPr>
        <w:t>s</w:t>
      </w:r>
      <w:r w:rsidRPr="00157C43">
        <w:rPr>
          <w:color w:val="000000"/>
        </w:rPr>
        <w:t>, high latitudes) it can be very difficult for operators to carry out risk assessment</w:t>
      </w:r>
      <w:r>
        <w:rPr>
          <w:color w:val="000000"/>
        </w:rPr>
        <w:t>s</w:t>
      </w:r>
      <w:r w:rsidRPr="00157C43">
        <w:rPr>
          <w:color w:val="000000"/>
        </w:rPr>
        <w:t xml:space="preserve"> and for the relevant administrations to analy</w:t>
      </w:r>
      <w:r>
        <w:rPr>
          <w:color w:val="000000"/>
        </w:rPr>
        <w:t>s</w:t>
      </w:r>
      <w:r w:rsidRPr="00157C43">
        <w:rPr>
          <w:color w:val="000000"/>
        </w:rPr>
        <w:t xml:space="preserve">e them, considering that the second </w:t>
      </w:r>
      <w:r>
        <w:rPr>
          <w:color w:val="000000"/>
        </w:rPr>
        <w:t xml:space="preserve">greatest </w:t>
      </w:r>
      <w:r w:rsidRPr="00157C43">
        <w:rPr>
          <w:color w:val="000000"/>
        </w:rPr>
        <w:t>hazard would be that of sailing in zones with low air temperatures</w:t>
      </w:r>
      <w:r>
        <w:rPr>
          <w:color w:val="000000"/>
        </w:rPr>
        <w:t>,</w:t>
      </w:r>
      <w:r w:rsidRPr="00157C43">
        <w:rPr>
          <w:color w:val="000000"/>
        </w:rPr>
        <w:t xml:space="preserve"> due to their implications for the ship</w:t>
      </w:r>
      <w:r>
        <w:rPr>
          <w:color w:val="000000"/>
        </w:rPr>
        <w:t>’s</w:t>
      </w:r>
      <w:r w:rsidRPr="00157C43">
        <w:rPr>
          <w:color w:val="000000"/>
        </w:rPr>
        <w:t xml:space="preserve"> structure.  </w:t>
      </w:r>
    </w:p>
    <w:p w14:paraId="7683EF98" w14:textId="77777777" w:rsidR="00AE4D09" w:rsidRPr="002D2BA9" w:rsidRDefault="00AE4D09" w:rsidP="00AE4D09">
      <w:pPr>
        <w:numPr>
          <w:ilvl w:val="0"/>
          <w:numId w:val="21"/>
        </w:numPr>
        <w:spacing w:before="240" w:after="120"/>
        <w:jc w:val="both"/>
        <w:rPr>
          <w:bCs/>
          <w:color w:val="000000"/>
        </w:rPr>
      </w:pPr>
      <w:r w:rsidRPr="00383162">
        <w:rPr>
          <w:bCs/>
          <w:color w:val="000000"/>
        </w:rPr>
        <w:t xml:space="preserve">Certification </w:t>
      </w:r>
      <w:r w:rsidRPr="00D70591">
        <w:rPr>
          <w:bCs/>
          <w:color w:val="000000"/>
        </w:rPr>
        <w:t xml:space="preserve">of </w:t>
      </w:r>
      <w:r w:rsidRPr="001F5A09">
        <w:rPr>
          <w:bCs/>
          <w:color w:val="000000"/>
        </w:rPr>
        <w:t xml:space="preserve">life-saving </w:t>
      </w:r>
      <w:r>
        <w:rPr>
          <w:bCs/>
          <w:color w:val="000000"/>
        </w:rPr>
        <w:t>equipment</w:t>
      </w:r>
      <w:r w:rsidRPr="001F5A09">
        <w:rPr>
          <w:bCs/>
          <w:color w:val="000000"/>
        </w:rPr>
        <w:t xml:space="preserve"> and </w:t>
      </w:r>
      <w:r w:rsidRPr="00EA249E">
        <w:rPr>
          <w:bCs/>
          <w:color w:val="000000"/>
        </w:rPr>
        <w:t>arrangements</w:t>
      </w:r>
      <w:r w:rsidRPr="00383162">
        <w:rPr>
          <w:bCs/>
          <w:color w:val="000000"/>
        </w:rPr>
        <w:t xml:space="preserve"> for polar conditions </w:t>
      </w:r>
    </w:p>
    <w:p w14:paraId="3E8BA357" w14:textId="77777777" w:rsidR="00AE4D09" w:rsidRPr="002D2BA9" w:rsidRDefault="00AE4D09" w:rsidP="00AE4D09">
      <w:pPr>
        <w:spacing w:before="240" w:after="120"/>
        <w:ind w:left="720"/>
        <w:jc w:val="both"/>
        <w:rPr>
          <w:color w:val="000000"/>
        </w:rPr>
      </w:pPr>
      <w:r w:rsidRPr="00174C6B">
        <w:rPr>
          <w:color w:val="000000"/>
        </w:rPr>
        <w:t xml:space="preserve">The Polar Code requires that life-saving </w:t>
      </w:r>
      <w:r w:rsidRPr="00B5211E">
        <w:rPr>
          <w:color w:val="000000"/>
        </w:rPr>
        <w:t>equipment and systems</w:t>
      </w:r>
      <w:r w:rsidRPr="00174C6B">
        <w:rPr>
          <w:color w:val="000000"/>
        </w:rPr>
        <w:t xml:space="preserve"> be fully operational at the PST during the </w:t>
      </w:r>
      <w:r w:rsidRPr="001F5A09">
        <w:rPr>
          <w:color w:val="000000"/>
        </w:rPr>
        <w:t>maximum expected rescue time (never less than 5 days</w:t>
      </w:r>
      <w:r w:rsidRPr="00D70591">
        <w:rPr>
          <w:color w:val="000000"/>
        </w:rPr>
        <w:t>).</w:t>
      </w:r>
      <w:r w:rsidRPr="00174C6B">
        <w:rPr>
          <w:color w:val="000000"/>
        </w:rPr>
        <w:t xml:space="preserve"> </w:t>
      </w:r>
    </w:p>
    <w:p w14:paraId="0E0603AB" w14:textId="77777777" w:rsidR="00AE4D09" w:rsidRPr="002D2BA9" w:rsidRDefault="00AE4D09" w:rsidP="00AE4D09">
      <w:pPr>
        <w:spacing w:before="240" w:after="120"/>
        <w:ind w:left="720"/>
        <w:jc w:val="both"/>
        <w:rPr>
          <w:color w:val="000000"/>
        </w:rPr>
      </w:pPr>
      <w:r w:rsidRPr="00383162">
        <w:rPr>
          <w:color w:val="000000"/>
        </w:rPr>
        <w:t xml:space="preserve">The problem </w:t>
      </w:r>
      <w:r w:rsidRPr="00047E2B">
        <w:rPr>
          <w:color w:val="000000"/>
        </w:rPr>
        <w:t>with this equipment is the lack of corresponding testing standards under these conditions. Moreover, the certificates for conventional equipment do</w:t>
      </w:r>
      <w:r>
        <w:rPr>
          <w:color w:val="000000"/>
        </w:rPr>
        <w:t xml:space="preserve"> not </w:t>
      </w:r>
      <w:r w:rsidRPr="00383162">
        <w:rPr>
          <w:color w:val="000000"/>
        </w:rPr>
        <w:t>indicate the tem</w:t>
      </w:r>
      <w:r>
        <w:rPr>
          <w:color w:val="000000"/>
        </w:rPr>
        <w:t>perature limits for the product’</w:t>
      </w:r>
      <w:r w:rsidRPr="00383162">
        <w:rPr>
          <w:color w:val="000000"/>
        </w:rPr>
        <w:t xml:space="preserve">s use, the conclusion being that very few current standards guarantee that they would be operational at the PST. </w:t>
      </w:r>
    </w:p>
    <w:p w14:paraId="17C78067" w14:textId="77777777" w:rsidR="00AE4D09" w:rsidRPr="002D2BA9" w:rsidRDefault="00AE4D09" w:rsidP="00AE4D09">
      <w:pPr>
        <w:spacing w:before="240" w:after="120"/>
        <w:ind w:left="720"/>
        <w:jc w:val="both"/>
        <w:rPr>
          <w:color w:val="000000"/>
        </w:rPr>
      </w:pPr>
      <w:r>
        <w:rPr>
          <w:color w:val="000000"/>
        </w:rPr>
        <w:t>It would be desirable to link the Polar Code to testing standards that could serve as a benchmark so that it would be possible to find equipment on the market with a clear range of applicability, based on a temperature and a time.</w:t>
      </w:r>
    </w:p>
    <w:p w14:paraId="5B95BB9E" w14:textId="77777777" w:rsidR="00AE4D09" w:rsidRPr="002D2BA9" w:rsidRDefault="00AE4D09" w:rsidP="00AE4D09">
      <w:pPr>
        <w:spacing w:before="240" w:after="120"/>
        <w:ind w:left="720"/>
        <w:jc w:val="both"/>
        <w:rPr>
          <w:color w:val="000000"/>
        </w:rPr>
      </w:pPr>
      <w:r>
        <w:rPr>
          <w:color w:val="000000"/>
        </w:rPr>
        <w:t xml:space="preserve">The </w:t>
      </w:r>
      <w:r w:rsidRPr="00903CC0">
        <w:rPr>
          <w:color w:val="000000"/>
        </w:rPr>
        <w:t xml:space="preserve">RV </w:t>
      </w:r>
      <w:r w:rsidRPr="00903CC0">
        <w:rPr>
          <w:i/>
          <w:iCs/>
          <w:color w:val="000000"/>
        </w:rPr>
        <w:t xml:space="preserve">Sarmiento de </w:t>
      </w:r>
      <w:proofErr w:type="spellStart"/>
      <w:r w:rsidRPr="00903CC0">
        <w:rPr>
          <w:i/>
          <w:iCs/>
          <w:color w:val="000000"/>
        </w:rPr>
        <w:t>Gamboa</w:t>
      </w:r>
      <w:proofErr w:type="spellEnd"/>
      <w:r w:rsidRPr="00903CC0">
        <w:rPr>
          <w:i/>
          <w:iCs/>
          <w:color w:val="000000"/>
        </w:rPr>
        <w:t xml:space="preserve">, </w:t>
      </w:r>
      <w:r w:rsidRPr="00903CC0">
        <w:rPr>
          <w:color w:val="000000"/>
        </w:rPr>
        <w:t xml:space="preserve">does not operate at low temperatures, </w:t>
      </w:r>
      <w:r>
        <w:rPr>
          <w:color w:val="000000"/>
        </w:rPr>
        <w:t xml:space="preserve">and therefore the ship’s </w:t>
      </w:r>
      <w:r w:rsidRPr="00903CC0">
        <w:rPr>
          <w:color w:val="000000"/>
        </w:rPr>
        <w:t xml:space="preserve">PST is never below the temperature limit </w:t>
      </w:r>
      <w:r>
        <w:rPr>
          <w:color w:val="000000"/>
        </w:rPr>
        <w:t>f</w:t>
      </w:r>
      <w:r w:rsidRPr="00903CC0">
        <w:rPr>
          <w:color w:val="000000"/>
        </w:rPr>
        <w:t>o</w:t>
      </w:r>
      <w:r>
        <w:rPr>
          <w:color w:val="000000"/>
        </w:rPr>
        <w:t>r</w:t>
      </w:r>
      <w:r w:rsidRPr="00903CC0">
        <w:rPr>
          <w:color w:val="000000"/>
        </w:rPr>
        <w:t xml:space="preserve"> conventional </w:t>
      </w:r>
      <w:r>
        <w:rPr>
          <w:color w:val="000000"/>
        </w:rPr>
        <w:t>equipment</w:t>
      </w:r>
      <w:r w:rsidRPr="00903CC0">
        <w:rPr>
          <w:color w:val="000000"/>
        </w:rPr>
        <w:t xml:space="preserve"> testing.</w:t>
      </w:r>
    </w:p>
    <w:p w14:paraId="1A4B9230" w14:textId="77777777" w:rsidR="00AE4D09" w:rsidRPr="002D2BA9" w:rsidRDefault="00AE4D09" w:rsidP="00AE4D09">
      <w:pPr>
        <w:spacing w:before="240" w:after="120"/>
        <w:jc w:val="both"/>
        <w:rPr>
          <w:i/>
          <w:szCs w:val="22"/>
          <w:u w:val="single"/>
        </w:rPr>
      </w:pPr>
      <w:r w:rsidRPr="00F7786A">
        <w:rPr>
          <w:i/>
          <w:iCs/>
          <w:szCs w:val="22"/>
          <w:u w:val="single"/>
        </w:rPr>
        <w:lastRenderedPageBreak/>
        <w:t xml:space="preserve">Comparison of requirements for </w:t>
      </w:r>
      <w:r w:rsidRPr="001E6684">
        <w:rPr>
          <w:i/>
          <w:iCs/>
          <w:szCs w:val="22"/>
          <w:u w:val="single"/>
        </w:rPr>
        <w:t>ships classified as Category</w:t>
      </w:r>
      <w:r w:rsidRPr="00F7786A">
        <w:rPr>
          <w:i/>
          <w:iCs/>
          <w:szCs w:val="22"/>
          <w:u w:val="single"/>
        </w:rPr>
        <w:t xml:space="preserve"> C, which has much lower requirements </w:t>
      </w:r>
      <w:proofErr w:type="gramStart"/>
      <w:r w:rsidRPr="00F7786A">
        <w:rPr>
          <w:i/>
          <w:iCs/>
          <w:szCs w:val="22"/>
          <w:u w:val="single"/>
        </w:rPr>
        <w:t xml:space="preserve">with </w:t>
      </w:r>
      <w:r>
        <w:rPr>
          <w:i/>
          <w:iCs/>
          <w:szCs w:val="22"/>
          <w:u w:val="single"/>
        </w:rPr>
        <w:t>regard to</w:t>
      </w:r>
      <w:proofErr w:type="gramEnd"/>
      <w:r>
        <w:rPr>
          <w:i/>
          <w:iCs/>
          <w:szCs w:val="22"/>
          <w:u w:val="single"/>
        </w:rPr>
        <w:t xml:space="preserve"> </w:t>
      </w:r>
      <w:r w:rsidRPr="00F7786A">
        <w:rPr>
          <w:i/>
          <w:iCs/>
          <w:szCs w:val="22"/>
          <w:u w:val="single"/>
        </w:rPr>
        <w:t>times and needs</w:t>
      </w:r>
      <w:r>
        <w:rPr>
          <w:i/>
          <w:iCs/>
          <w:szCs w:val="22"/>
          <w:u w:val="single"/>
        </w:rPr>
        <w:t>,</w:t>
      </w:r>
      <w:r w:rsidRPr="00F7786A">
        <w:rPr>
          <w:i/>
          <w:iCs/>
          <w:szCs w:val="22"/>
          <w:u w:val="single"/>
        </w:rPr>
        <w:t xml:space="preserve"> very different from </w:t>
      </w:r>
      <w:r>
        <w:rPr>
          <w:i/>
          <w:iCs/>
          <w:szCs w:val="22"/>
          <w:u w:val="single"/>
        </w:rPr>
        <w:t xml:space="preserve">those </w:t>
      </w:r>
      <w:r w:rsidRPr="00F7786A">
        <w:rPr>
          <w:i/>
          <w:iCs/>
          <w:szCs w:val="22"/>
          <w:u w:val="single"/>
        </w:rPr>
        <w:t>ship</w:t>
      </w:r>
      <w:r>
        <w:rPr>
          <w:i/>
          <w:iCs/>
          <w:szCs w:val="22"/>
          <w:u w:val="single"/>
        </w:rPr>
        <w:t>s</w:t>
      </w:r>
      <w:r w:rsidRPr="00F7786A">
        <w:rPr>
          <w:i/>
          <w:iCs/>
          <w:szCs w:val="22"/>
          <w:u w:val="single"/>
        </w:rPr>
        <w:t xml:space="preserve"> to be classified as Category A </w:t>
      </w:r>
    </w:p>
    <w:p w14:paraId="60340398" w14:textId="77777777" w:rsidR="00AE4D09" w:rsidRPr="00B5211E" w:rsidRDefault="00AE4D09" w:rsidP="00AE4D09">
      <w:pPr>
        <w:spacing w:before="240" w:after="120"/>
        <w:jc w:val="both"/>
      </w:pPr>
      <w:r w:rsidRPr="00F7786A">
        <w:t>Category C ship</w:t>
      </w:r>
      <w:r>
        <w:t>s</w:t>
      </w:r>
      <w:r w:rsidRPr="00F7786A">
        <w:t xml:space="preserve"> ma</w:t>
      </w:r>
      <w:r>
        <w:t>y</w:t>
      </w:r>
      <w:r w:rsidRPr="00F7786A">
        <w:t xml:space="preserve"> </w:t>
      </w:r>
      <w:r>
        <w:t>essentially</w:t>
      </w:r>
      <w:r w:rsidRPr="00F7786A">
        <w:t xml:space="preserve"> have vari</w:t>
      </w:r>
      <w:r>
        <w:t>able requirements based on the eight</w:t>
      </w:r>
      <w:r w:rsidRPr="00F7786A">
        <w:t xml:space="preserve"> different kinds of waters included in </w:t>
      </w:r>
      <w:r>
        <w:t xml:space="preserve">this </w:t>
      </w:r>
      <w:r w:rsidRPr="00F7786A">
        <w:t xml:space="preserve">category (risk of </w:t>
      </w:r>
      <w:r w:rsidRPr="001F5A09">
        <w:t>ice impact</w:t>
      </w:r>
      <w:r w:rsidRPr="00F7786A">
        <w:t xml:space="preserve">), PST, and latitude of operations. </w:t>
      </w:r>
      <w:r>
        <w:t>C</w:t>
      </w:r>
      <w:r w:rsidRPr="00F7786A">
        <w:t xml:space="preserve">ertification therefore, </w:t>
      </w:r>
      <w:r>
        <w:t xml:space="preserve">may </w:t>
      </w:r>
      <w:r w:rsidRPr="00F7786A">
        <w:t>range from a document review</w:t>
      </w:r>
      <w:r>
        <w:t>—</w:t>
      </w:r>
      <w:r w:rsidRPr="00F7786A">
        <w:t xml:space="preserve">when </w:t>
      </w:r>
      <w:r>
        <w:t xml:space="preserve">the establishment of </w:t>
      </w:r>
      <w:r w:rsidRPr="00F7786A">
        <w:t>operational limits mitigate</w:t>
      </w:r>
      <w:r>
        <w:t>s</w:t>
      </w:r>
      <w:r w:rsidRPr="00F7786A">
        <w:t xml:space="preserve"> all hazards inherent </w:t>
      </w:r>
      <w:r>
        <w:t xml:space="preserve">in </w:t>
      </w:r>
      <w:r w:rsidRPr="00F7786A">
        <w:t>polar navigation</w:t>
      </w:r>
      <w:r>
        <w:t xml:space="preserve"> (</w:t>
      </w:r>
      <w:r w:rsidRPr="00F7786A">
        <w:t xml:space="preserve">which could </w:t>
      </w:r>
      <w:r>
        <w:t xml:space="preserve">extend to </w:t>
      </w:r>
      <w:r w:rsidRPr="00F7786A">
        <w:t xml:space="preserve">practically </w:t>
      </w:r>
      <w:r>
        <w:t xml:space="preserve">every </w:t>
      </w:r>
      <w:r w:rsidRPr="00F7786A">
        <w:t>steel-hulled ship with an average construction standard</w:t>
      </w:r>
      <w:r>
        <w:t>)—</w:t>
      </w:r>
      <w:r w:rsidRPr="00F7786A">
        <w:t xml:space="preserve">to much higher certification levels </w:t>
      </w:r>
      <w:r>
        <w:t xml:space="preserve">entailing the </w:t>
      </w:r>
      <w:r w:rsidRPr="00F7786A">
        <w:t>verif</w:t>
      </w:r>
      <w:r>
        <w:t>ication of</w:t>
      </w:r>
      <w:r w:rsidRPr="00F7786A">
        <w:t xml:space="preserve"> the </w:t>
      </w:r>
      <w:r w:rsidRPr="001F5A09">
        <w:t>hull scantling,</w:t>
      </w:r>
      <w:r w:rsidRPr="00A63E5B">
        <w:t xml:space="preserve"> </w:t>
      </w:r>
      <w:r w:rsidRPr="001F5A09">
        <w:t>ice strengthening</w:t>
      </w:r>
      <w:r w:rsidRPr="00A63E5B">
        <w:t xml:space="preserve">, </w:t>
      </w:r>
      <w:r w:rsidRPr="001F5A09">
        <w:t>suction</w:t>
      </w:r>
      <w:r>
        <w:t xml:space="preserve"> design, materials and operational temperature limit of motor fluids in essential systems depending on the PST, the installation of appliances to prevent essential systems and equipment from freezing, as well as the carrying of the </w:t>
      </w:r>
      <w:r w:rsidRPr="001F5A09">
        <w:t>Polar Water Operational Manual (PWOM)</w:t>
      </w:r>
      <w:r w:rsidRPr="00A63E5B">
        <w:t xml:space="preserve"> and other related documents.</w:t>
      </w:r>
    </w:p>
    <w:p w14:paraId="467AB4FC" w14:textId="77777777" w:rsidR="00AE4D09" w:rsidRPr="002D2BA9" w:rsidRDefault="00AE4D09" w:rsidP="00AE4D09">
      <w:pPr>
        <w:spacing w:before="240" w:after="120"/>
        <w:jc w:val="both"/>
        <w:rPr>
          <w:i/>
          <w:szCs w:val="22"/>
          <w:u w:val="single"/>
        </w:rPr>
      </w:pPr>
      <w:r w:rsidRPr="00C936A1">
        <w:rPr>
          <w:i/>
          <w:iCs/>
          <w:szCs w:val="22"/>
          <w:u w:val="single"/>
        </w:rPr>
        <w:t>Necessary modifications, life</w:t>
      </w:r>
      <w:r>
        <w:rPr>
          <w:i/>
          <w:iCs/>
          <w:szCs w:val="22"/>
          <w:u w:val="single"/>
        </w:rPr>
        <w:t>-</w:t>
      </w:r>
      <w:r w:rsidRPr="00C936A1">
        <w:rPr>
          <w:i/>
          <w:iCs/>
          <w:szCs w:val="22"/>
          <w:u w:val="single"/>
        </w:rPr>
        <w:t>saving equipment acquired</w:t>
      </w:r>
      <w:r>
        <w:rPr>
          <w:i/>
          <w:iCs/>
          <w:szCs w:val="22"/>
          <w:u w:val="single"/>
        </w:rPr>
        <w:t xml:space="preserve">, how </w:t>
      </w:r>
      <w:r w:rsidRPr="00C936A1">
        <w:rPr>
          <w:i/>
          <w:iCs/>
          <w:szCs w:val="22"/>
          <w:u w:val="single"/>
        </w:rPr>
        <w:t>operation</w:t>
      </w:r>
      <w:r>
        <w:rPr>
          <w:i/>
          <w:iCs/>
          <w:szCs w:val="22"/>
          <w:u w:val="single"/>
        </w:rPr>
        <w:t>s</w:t>
      </w:r>
      <w:r w:rsidRPr="00C936A1">
        <w:rPr>
          <w:i/>
          <w:iCs/>
          <w:szCs w:val="22"/>
          <w:u w:val="single"/>
        </w:rPr>
        <w:t xml:space="preserve"> for the Antarctic campaign </w:t>
      </w:r>
      <w:r>
        <w:rPr>
          <w:i/>
          <w:iCs/>
          <w:szCs w:val="22"/>
          <w:u w:val="single"/>
        </w:rPr>
        <w:t xml:space="preserve">are </w:t>
      </w:r>
      <w:r w:rsidRPr="00C936A1">
        <w:rPr>
          <w:i/>
          <w:iCs/>
          <w:szCs w:val="22"/>
          <w:u w:val="single"/>
        </w:rPr>
        <w:t xml:space="preserve">reflected in the PWOM, etc. </w:t>
      </w:r>
    </w:p>
    <w:p w14:paraId="6C7E0E6C" w14:textId="77777777" w:rsidR="00AE4D09" w:rsidRDefault="00AE4D09" w:rsidP="00AE4D09">
      <w:pPr>
        <w:spacing w:before="240" w:after="120"/>
        <w:jc w:val="both"/>
        <w:rPr>
          <w:color w:val="000000"/>
        </w:rPr>
      </w:pPr>
      <w:r w:rsidRPr="009E6BC6">
        <w:rPr>
          <w:color w:val="000000"/>
        </w:rPr>
        <w:t xml:space="preserve">The </w:t>
      </w:r>
      <w:r w:rsidRPr="009E6BC6">
        <w:rPr>
          <w:i/>
          <w:color w:val="000000"/>
        </w:rPr>
        <w:t xml:space="preserve">Sarmiento de </w:t>
      </w:r>
      <w:proofErr w:type="spellStart"/>
      <w:r w:rsidRPr="009E6BC6">
        <w:rPr>
          <w:i/>
          <w:color w:val="000000"/>
        </w:rPr>
        <w:t>Gamboa</w:t>
      </w:r>
      <w:proofErr w:type="spellEnd"/>
      <w:r w:rsidRPr="009E6BC6">
        <w:rPr>
          <w:color w:val="000000"/>
        </w:rPr>
        <w:t xml:space="preserve"> is an example of a conventional ship</w:t>
      </w:r>
      <w:r>
        <w:rPr>
          <w:color w:val="000000"/>
        </w:rPr>
        <w:t xml:space="preserve"> </w:t>
      </w:r>
      <w:r w:rsidRPr="00047E2B">
        <w:rPr>
          <w:color w:val="000000"/>
        </w:rPr>
        <w:t xml:space="preserve">certified for polar navigation in which the mitigation of risk is absolute due to the operational limits established: the ship may only sail in the Antarctic to the north of 63ºS, during the Antarctic summer, in ice-free </w:t>
      </w:r>
      <w:proofErr w:type="gramStart"/>
      <w:r w:rsidRPr="00047E2B">
        <w:rPr>
          <w:color w:val="000000"/>
        </w:rPr>
        <w:t>waters;</w:t>
      </w:r>
      <w:proofErr w:type="gramEnd"/>
      <w:r w:rsidRPr="00047E2B">
        <w:rPr>
          <w:color w:val="000000"/>
        </w:rPr>
        <w:t xml:space="preserve"> i.e.</w:t>
      </w:r>
      <w:r>
        <w:rPr>
          <w:color w:val="000000"/>
        </w:rPr>
        <w:t xml:space="preserve"> </w:t>
      </w:r>
      <w:r w:rsidRPr="00047E2B">
        <w:rPr>
          <w:color w:val="000000"/>
        </w:rPr>
        <w:t xml:space="preserve">restricted to lower latitudes, outside of low temperature zones, and where there is no possibility of encountering ice. The equipment that had to be brought on board included </w:t>
      </w:r>
      <w:proofErr w:type="spellStart"/>
      <w:r w:rsidRPr="00047E2B">
        <w:rPr>
          <w:color w:val="000000"/>
        </w:rPr>
        <w:t>liferafts</w:t>
      </w:r>
      <w:proofErr w:type="spellEnd"/>
      <w:r w:rsidRPr="00047E2B">
        <w:rPr>
          <w:color w:val="000000"/>
        </w:rPr>
        <w:t xml:space="preserve"> that were specially designed to</w:t>
      </w:r>
      <w:r>
        <w:rPr>
          <w:color w:val="000000"/>
        </w:rPr>
        <w:t xml:space="preserve"> ensure the launch mechanisms will not freeze, personal survival kits, and </w:t>
      </w:r>
      <w:r w:rsidRPr="001F5A09">
        <w:rPr>
          <w:color w:val="000000"/>
        </w:rPr>
        <w:t>equipment for communications with aircraft</w:t>
      </w:r>
      <w:r w:rsidRPr="00195253">
        <w:rPr>
          <w:color w:val="000000"/>
        </w:rPr>
        <w:t>.</w:t>
      </w:r>
      <w:r>
        <w:rPr>
          <w:color w:val="000000"/>
        </w:rPr>
        <w:t xml:space="preserve"> Moreover, a PWOM had to be drafted, and the MARPOL procedures with which the ship already complied had to be adapted to a polar environment.</w:t>
      </w:r>
    </w:p>
    <w:p w14:paraId="3AFC2E22" w14:textId="77777777" w:rsidR="00AE4D09" w:rsidRPr="000E11E0" w:rsidRDefault="00AE4D09" w:rsidP="00AE4D09">
      <w:pPr>
        <w:spacing w:before="240" w:after="120"/>
        <w:jc w:val="both"/>
        <w:rPr>
          <w:i/>
          <w:szCs w:val="22"/>
          <w:u w:val="single"/>
        </w:rPr>
      </w:pPr>
      <w:r w:rsidRPr="00C936A1">
        <w:rPr>
          <w:i/>
          <w:iCs/>
          <w:szCs w:val="22"/>
          <w:u w:val="single"/>
        </w:rPr>
        <w:t>Training</w:t>
      </w:r>
      <w:r>
        <w:rPr>
          <w:i/>
          <w:iCs/>
          <w:szCs w:val="22"/>
          <w:u w:val="single"/>
        </w:rPr>
        <w:t xml:space="preserve"> of onboard </w:t>
      </w:r>
      <w:r w:rsidRPr="001F5A09">
        <w:rPr>
          <w:i/>
          <w:iCs/>
          <w:szCs w:val="22"/>
          <w:u w:val="single"/>
        </w:rPr>
        <w:t>personnel</w:t>
      </w:r>
    </w:p>
    <w:p w14:paraId="7782B394" w14:textId="77777777" w:rsidR="00AE4D09" w:rsidRPr="00072004" w:rsidRDefault="00AE4D09" w:rsidP="00AE4D09">
      <w:pPr>
        <w:spacing w:before="240" w:after="120"/>
        <w:jc w:val="both"/>
        <w:rPr>
          <w:color w:val="000000"/>
        </w:rPr>
      </w:pPr>
      <w:r>
        <w:rPr>
          <w:color w:val="000000"/>
        </w:rPr>
        <w:t xml:space="preserve">In the case of the RV </w:t>
      </w:r>
      <w:r>
        <w:rPr>
          <w:i/>
          <w:color w:val="000000"/>
        </w:rPr>
        <w:t xml:space="preserve">Sarmiento de </w:t>
      </w:r>
      <w:proofErr w:type="spellStart"/>
      <w:r>
        <w:rPr>
          <w:i/>
          <w:color w:val="000000"/>
        </w:rPr>
        <w:t>Gamboa</w:t>
      </w:r>
      <w:proofErr w:type="spellEnd"/>
      <w:r>
        <w:rPr>
          <w:i/>
          <w:color w:val="000000"/>
        </w:rPr>
        <w:t xml:space="preserve">, </w:t>
      </w:r>
      <w:r>
        <w:rPr>
          <w:color w:val="000000"/>
        </w:rPr>
        <w:t xml:space="preserve">pursuant to Section 3 of Chapter 12 of Part I-A1 of the Polar Code, and </w:t>
      </w:r>
      <w:proofErr w:type="gramStart"/>
      <w:r>
        <w:rPr>
          <w:color w:val="000000"/>
        </w:rPr>
        <w:t>taking into account</w:t>
      </w:r>
      <w:proofErr w:type="gramEnd"/>
      <w:r>
        <w:rPr>
          <w:color w:val="000000"/>
        </w:rPr>
        <w:t xml:space="preserve"> the type of ship, Class C classification, and operational limitations in polar waters, it was not necessary for the ship’s </w:t>
      </w:r>
      <w:r w:rsidRPr="001F5A09">
        <w:rPr>
          <w:color w:val="000000"/>
        </w:rPr>
        <w:t>masters, chief mates and officers in charge of a navigational watch</w:t>
      </w:r>
      <w:r w:rsidRPr="00195253">
        <w:rPr>
          <w:color w:val="000000"/>
        </w:rPr>
        <w:t xml:space="preserve"> to</w:t>
      </w:r>
      <w:r>
        <w:rPr>
          <w:color w:val="000000"/>
        </w:rPr>
        <w:t xml:space="preserve"> be certified under the provisions of Regulation </w:t>
      </w:r>
      <w:r w:rsidRPr="00072004">
        <w:rPr>
          <w:color w:val="000000"/>
        </w:rPr>
        <w:t>V/4 of</w:t>
      </w:r>
      <w:r>
        <w:rPr>
          <w:color w:val="000000"/>
        </w:rPr>
        <w:t xml:space="preserve"> the amended</w:t>
      </w:r>
      <w:r w:rsidRPr="00072004">
        <w:rPr>
          <w:color w:val="000000"/>
        </w:rPr>
        <w:t xml:space="preserve"> STCW</w:t>
      </w:r>
      <w:r>
        <w:rPr>
          <w:color w:val="000000"/>
        </w:rPr>
        <w:t>-</w:t>
      </w:r>
      <w:r w:rsidRPr="00072004">
        <w:rPr>
          <w:color w:val="000000"/>
        </w:rPr>
        <w:t xml:space="preserve">78 </w:t>
      </w:r>
      <w:r>
        <w:rPr>
          <w:color w:val="000000"/>
        </w:rPr>
        <w:t xml:space="preserve">Convention and Section </w:t>
      </w:r>
      <w:r w:rsidRPr="00072004">
        <w:rPr>
          <w:color w:val="000000"/>
        </w:rPr>
        <w:t xml:space="preserve">A-V/4 </w:t>
      </w:r>
      <w:r>
        <w:rPr>
          <w:color w:val="000000"/>
        </w:rPr>
        <w:t>of the Training Code</w:t>
      </w:r>
      <w:r w:rsidRPr="00072004">
        <w:rPr>
          <w:color w:val="000000"/>
        </w:rPr>
        <w:t>.</w:t>
      </w:r>
    </w:p>
    <w:p w14:paraId="6C301DD0" w14:textId="77777777" w:rsidR="00AE4D09" w:rsidRPr="00820064" w:rsidRDefault="00AE4D09" w:rsidP="00AE4D09">
      <w:pPr>
        <w:spacing w:before="240" w:after="120"/>
        <w:jc w:val="both"/>
        <w:rPr>
          <w:color w:val="000000"/>
        </w:rPr>
      </w:pPr>
      <w:r w:rsidRPr="00072004">
        <w:rPr>
          <w:color w:val="000000"/>
        </w:rPr>
        <w:t xml:space="preserve">At the time </w:t>
      </w:r>
      <w:r>
        <w:rPr>
          <w:color w:val="000000"/>
        </w:rPr>
        <w:t>when</w:t>
      </w:r>
      <w:r w:rsidRPr="00072004">
        <w:rPr>
          <w:color w:val="000000"/>
        </w:rPr>
        <w:t xml:space="preserve"> the </w:t>
      </w:r>
      <w:r>
        <w:rPr>
          <w:i/>
          <w:color w:val="000000"/>
        </w:rPr>
        <w:t xml:space="preserve">Sarmiento de </w:t>
      </w:r>
      <w:proofErr w:type="spellStart"/>
      <w:r>
        <w:rPr>
          <w:i/>
          <w:color w:val="000000"/>
        </w:rPr>
        <w:t>Gamboa</w:t>
      </w:r>
      <w:proofErr w:type="spellEnd"/>
      <w:r>
        <w:rPr>
          <w:i/>
          <w:color w:val="000000"/>
        </w:rPr>
        <w:t xml:space="preserve"> </w:t>
      </w:r>
      <w:r>
        <w:rPr>
          <w:color w:val="000000"/>
        </w:rPr>
        <w:t xml:space="preserve">was certified, a national law had not been promulgated in Spain to regulate the necessary conditions and </w:t>
      </w:r>
      <w:r w:rsidRPr="00F654AD">
        <w:rPr>
          <w:color w:val="000000"/>
        </w:rPr>
        <w:t>courses</w:t>
      </w:r>
      <w:r>
        <w:rPr>
          <w:color w:val="000000"/>
        </w:rPr>
        <w:t xml:space="preserve"> for obtaining a competency certificate in basic and advanced training for ships operating in polar waters. </w:t>
      </w:r>
      <w:r w:rsidRPr="00820064">
        <w:rPr>
          <w:color w:val="000000"/>
        </w:rPr>
        <w:t xml:space="preserve">Directive 2019/1159/EU specifies 2 August 2021 as the </w:t>
      </w:r>
      <w:r>
        <w:rPr>
          <w:color w:val="000000"/>
        </w:rPr>
        <w:t>date for</w:t>
      </w:r>
      <w:r w:rsidRPr="00820064">
        <w:rPr>
          <w:color w:val="000000"/>
        </w:rPr>
        <w:t xml:space="preserve"> </w:t>
      </w:r>
      <w:r w:rsidRPr="00F654AD">
        <w:rPr>
          <w:color w:val="000000"/>
        </w:rPr>
        <w:t>its transposition into</w:t>
      </w:r>
      <w:r w:rsidRPr="00820064">
        <w:rPr>
          <w:color w:val="000000"/>
        </w:rPr>
        <w:t xml:space="preserve"> national law.</w:t>
      </w:r>
    </w:p>
    <w:p w14:paraId="0CF4A7E1" w14:textId="77777777" w:rsidR="00AE4D09" w:rsidRPr="002D2BA9" w:rsidRDefault="00AE4D09" w:rsidP="00AE4D09">
      <w:pPr>
        <w:spacing w:before="240" w:after="120"/>
        <w:jc w:val="both"/>
        <w:rPr>
          <w:color w:val="000000"/>
        </w:rPr>
      </w:pPr>
      <w:r w:rsidRPr="00760311">
        <w:rPr>
          <w:color w:val="000000"/>
        </w:rPr>
        <w:t>Nevertheless,</w:t>
      </w:r>
      <w:r>
        <w:rPr>
          <w:color w:val="000000"/>
        </w:rPr>
        <w:t xml:space="preserve"> an</w:t>
      </w:r>
      <w:r w:rsidRPr="00760311">
        <w:rPr>
          <w:color w:val="000000"/>
        </w:rPr>
        <w:t xml:space="preserve"> agreement</w:t>
      </w:r>
      <w:r>
        <w:rPr>
          <w:color w:val="000000"/>
        </w:rPr>
        <w:t xml:space="preserve"> was </w:t>
      </w:r>
      <w:proofErr w:type="gramStart"/>
      <w:r>
        <w:rPr>
          <w:color w:val="000000"/>
        </w:rPr>
        <w:t>reached</w:t>
      </w:r>
      <w:proofErr w:type="gramEnd"/>
      <w:r>
        <w:rPr>
          <w:color w:val="000000"/>
        </w:rPr>
        <w:t xml:space="preserve"> and it was considered prudent for masters and officers in charge of a navigational watch to obtain the basic training certificates provided for in Regulation V/4 of STCW as amended by the Polar Code. The officers received the necessary tr</w:t>
      </w:r>
      <w:r w:rsidRPr="00760311">
        <w:rPr>
          <w:color w:val="000000"/>
        </w:rPr>
        <w:t>aining at a nautical academy in Latvia.</w:t>
      </w:r>
    </w:p>
    <w:p w14:paraId="20D92B32" w14:textId="77777777" w:rsidR="00AE4D09" w:rsidRPr="002D2BA9" w:rsidRDefault="00AE4D09" w:rsidP="00AE4D09">
      <w:pPr>
        <w:spacing w:before="240" w:after="120"/>
        <w:jc w:val="both"/>
        <w:rPr>
          <w:color w:val="000000"/>
        </w:rPr>
      </w:pPr>
    </w:p>
    <w:p w14:paraId="465AE971" w14:textId="77777777" w:rsidR="00AE4D09" w:rsidRDefault="00AE4D09" w:rsidP="00297076"/>
    <w:sectPr w:rsidR="00AE4D09" w:rsidSect="00297076">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80EDD" w14:textId="77777777" w:rsidR="00297076" w:rsidRDefault="00297076">
      <w:r>
        <w:separator/>
      </w:r>
    </w:p>
  </w:endnote>
  <w:endnote w:type="continuationSeparator" w:id="0">
    <w:p w14:paraId="490D5C47" w14:textId="77777777" w:rsidR="00297076" w:rsidRDefault="00297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B3E9C" w14:textId="77777777" w:rsidR="00297076" w:rsidRDefault="00297076" w:rsidP="00297076">
    <w:pPr>
      <w:framePr w:wrap="around" w:vAnchor="text" w:hAnchor="margin" w:xAlign="right" w:y="1"/>
    </w:pPr>
    <w:r>
      <w:fldChar w:fldCharType="begin"/>
    </w:r>
    <w:r>
      <w:instrText xml:space="preserve">PAGE  </w:instrText>
    </w:r>
    <w:r>
      <w:fldChar w:fldCharType="separate"/>
    </w:r>
    <w:r>
      <w:fldChar w:fldCharType="end"/>
    </w:r>
  </w:p>
  <w:p w14:paraId="473D938E" w14:textId="77777777" w:rsidR="00297076" w:rsidRDefault="00297076" w:rsidP="00297076">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6184" w14:textId="77777777" w:rsidR="00297076" w:rsidRDefault="00297076" w:rsidP="00297076">
    <w:pPr>
      <w:framePr w:wrap="around" w:vAnchor="text" w:hAnchor="margin" w:xAlign="right" w:y="1"/>
    </w:pPr>
    <w:r>
      <w:fldChar w:fldCharType="begin"/>
    </w:r>
    <w:r>
      <w:instrText xml:space="preserve">PAGE  </w:instrText>
    </w:r>
    <w:r>
      <w:fldChar w:fldCharType="separate"/>
    </w:r>
    <w:r>
      <w:rPr>
        <w:noProof/>
      </w:rPr>
      <w:t>1</w:t>
    </w:r>
    <w:r>
      <w:fldChar w:fldCharType="end"/>
    </w:r>
  </w:p>
  <w:p w14:paraId="29ACD25B" w14:textId="77777777" w:rsidR="00297076" w:rsidRDefault="00297076" w:rsidP="00AE4D09">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4F7E6" w14:textId="77777777" w:rsidR="00297076" w:rsidRDefault="00297076" w:rsidP="00297076">
    <w:pPr>
      <w:framePr w:wrap="around" w:vAnchor="text" w:hAnchor="margin" w:xAlign="right" w:y="1"/>
    </w:pPr>
    <w:r>
      <w:fldChar w:fldCharType="begin"/>
    </w:r>
    <w:r>
      <w:instrText xml:space="preserve">PAGE  </w:instrText>
    </w:r>
    <w:r>
      <w:fldChar w:fldCharType="separate"/>
    </w:r>
    <w:r>
      <w:rPr>
        <w:noProof/>
      </w:rPr>
      <w:t>3</w:t>
    </w:r>
    <w:r>
      <w:fldChar w:fldCharType="end"/>
    </w:r>
  </w:p>
  <w:p w14:paraId="3D170786" w14:textId="77777777" w:rsidR="00297076" w:rsidRDefault="00297076" w:rsidP="00297076">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A6A72" w14:textId="77777777" w:rsidR="00297076" w:rsidRDefault="00297076">
      <w:r>
        <w:separator/>
      </w:r>
    </w:p>
  </w:footnote>
  <w:footnote w:type="continuationSeparator" w:id="0">
    <w:p w14:paraId="13CB21EC" w14:textId="77777777" w:rsidR="00297076" w:rsidRDefault="002970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2977"/>
      <w:gridCol w:w="1276"/>
      <w:gridCol w:w="1134"/>
      <w:gridCol w:w="390"/>
    </w:tblGrid>
    <w:tr w:rsidR="00297076" w14:paraId="1D8304DE" w14:textId="77777777" w:rsidTr="00297076">
      <w:trPr>
        <w:trHeight w:val="344"/>
        <w:jc w:val="center"/>
      </w:trPr>
      <w:tc>
        <w:tcPr>
          <w:tcW w:w="5495" w:type="dxa"/>
        </w:tcPr>
        <w:p w14:paraId="4AE14651" w14:textId="77777777" w:rsidR="00297076" w:rsidRDefault="00297076" w:rsidP="00297076"/>
      </w:tc>
      <w:tc>
        <w:tcPr>
          <w:tcW w:w="4253" w:type="dxa"/>
          <w:gridSpan w:val="2"/>
        </w:tcPr>
        <w:p w14:paraId="3F537681" w14:textId="77777777" w:rsidR="00297076" w:rsidRPr="00BD47E4" w:rsidRDefault="00297076" w:rsidP="00297076">
          <w:pPr>
            <w:jc w:val="right"/>
            <w:rPr>
              <w:b/>
              <w:sz w:val="32"/>
              <w:szCs w:val="32"/>
            </w:rPr>
          </w:pPr>
          <w:bookmarkStart w:id="2" w:name="type"/>
          <w:r w:rsidRPr="00BD47E4">
            <w:rPr>
              <w:b/>
              <w:sz w:val="32"/>
              <w:szCs w:val="32"/>
            </w:rPr>
            <w:t>IP</w:t>
          </w:r>
          <w:bookmarkEnd w:id="2"/>
        </w:p>
      </w:tc>
      <w:tc>
        <w:tcPr>
          <w:tcW w:w="1524" w:type="dxa"/>
          <w:gridSpan w:val="2"/>
        </w:tcPr>
        <w:p w14:paraId="7FF60DF9" w14:textId="10040898" w:rsidR="00297076" w:rsidRPr="00BD47E4" w:rsidRDefault="00F240DC" w:rsidP="00297076">
          <w:pPr>
            <w:rPr>
              <w:b/>
              <w:sz w:val="32"/>
              <w:szCs w:val="32"/>
            </w:rPr>
          </w:pPr>
          <w:r>
            <w:rPr>
              <w:b/>
              <w:sz w:val="32"/>
              <w:szCs w:val="32"/>
            </w:rPr>
            <w:t>57</w:t>
          </w:r>
        </w:p>
      </w:tc>
    </w:tr>
    <w:tr w:rsidR="00297076" w14:paraId="46C5D0D0" w14:textId="77777777" w:rsidTr="00297076">
      <w:trPr>
        <w:trHeight w:val="1085"/>
        <w:jc w:val="center"/>
      </w:trPr>
      <w:tc>
        <w:tcPr>
          <w:tcW w:w="5495" w:type="dxa"/>
        </w:tcPr>
        <w:p w14:paraId="465E726B" w14:textId="2F0F24D6" w:rsidR="00297076" w:rsidRPr="00EE4D48" w:rsidRDefault="00F240DC" w:rsidP="00297076">
          <w:pPr>
            <w:rPr>
              <w:b/>
              <w:sz w:val="28"/>
              <w:szCs w:val="28"/>
            </w:rPr>
          </w:pPr>
          <w:r w:rsidRPr="00156732">
            <w:rPr>
              <w:noProof/>
            </w:rPr>
            <w:pict w14:anchorId="479B62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7" type="#_x0000_t75" style="width:235.5pt;height:127.5pt;visibility:visible;mso-wrap-style:square">
                <v:imagedata r:id="rId1" o:title=""/>
              </v:shape>
            </w:pict>
          </w:r>
        </w:p>
      </w:tc>
      <w:tc>
        <w:tcPr>
          <w:tcW w:w="5777" w:type="dxa"/>
          <w:gridSpan w:val="4"/>
          <w:vMerge w:val="restart"/>
          <w:vAlign w:val="center"/>
        </w:tcPr>
        <w:p w14:paraId="30584E6F" w14:textId="77777777" w:rsidR="00297076" w:rsidRPr="00FE5146" w:rsidRDefault="00297076" w:rsidP="00297076">
          <w:pPr>
            <w:jc w:val="right"/>
            <w:rPr>
              <w:sz w:val="144"/>
              <w:szCs w:val="144"/>
            </w:rPr>
          </w:pPr>
          <w:r w:rsidRPr="00FE5146">
            <w:rPr>
              <w:sz w:val="144"/>
              <w:szCs w:val="144"/>
            </w:rPr>
            <w:t>ENG</w:t>
          </w:r>
        </w:p>
      </w:tc>
    </w:tr>
    <w:tr w:rsidR="00297076" w14:paraId="397B82C5" w14:textId="77777777" w:rsidTr="00297076">
      <w:trPr>
        <w:trHeight w:val="1085"/>
        <w:jc w:val="center"/>
      </w:trPr>
      <w:tc>
        <w:tcPr>
          <w:tcW w:w="5495" w:type="dxa"/>
        </w:tcPr>
        <w:p w14:paraId="2DE8A942" w14:textId="7304F1B7" w:rsidR="00297076" w:rsidRPr="003D6A9D" w:rsidRDefault="00297076" w:rsidP="00297076">
          <w:pPr>
            <w:rPr>
              <w:sz w:val="36"/>
              <w:szCs w:val="36"/>
            </w:rPr>
          </w:pPr>
        </w:p>
      </w:tc>
      <w:tc>
        <w:tcPr>
          <w:tcW w:w="5777" w:type="dxa"/>
          <w:gridSpan w:val="4"/>
          <w:vMerge/>
          <w:vAlign w:val="center"/>
        </w:tcPr>
        <w:p w14:paraId="51B21FD1" w14:textId="77777777" w:rsidR="00297076" w:rsidRPr="00FE5146" w:rsidRDefault="00297076" w:rsidP="00297076">
          <w:pPr>
            <w:jc w:val="right"/>
            <w:rPr>
              <w:sz w:val="144"/>
              <w:szCs w:val="144"/>
            </w:rPr>
          </w:pPr>
        </w:p>
      </w:tc>
    </w:tr>
    <w:tr w:rsidR="00297076" w14:paraId="3BEB383C" w14:textId="77777777" w:rsidTr="00297076">
      <w:trPr>
        <w:trHeight w:val="409"/>
        <w:jc w:val="center"/>
      </w:trPr>
      <w:tc>
        <w:tcPr>
          <w:tcW w:w="8472" w:type="dxa"/>
          <w:gridSpan w:val="2"/>
        </w:tcPr>
        <w:p w14:paraId="5254A458" w14:textId="77777777" w:rsidR="00297076" w:rsidRDefault="00297076" w:rsidP="00297076">
          <w:pPr>
            <w:jc w:val="right"/>
          </w:pPr>
          <w:r>
            <w:t>Agenda Item:</w:t>
          </w:r>
        </w:p>
      </w:tc>
      <w:tc>
        <w:tcPr>
          <w:tcW w:w="2410" w:type="dxa"/>
          <w:gridSpan w:val="2"/>
        </w:tcPr>
        <w:p w14:paraId="1431A993" w14:textId="77777777" w:rsidR="00297076" w:rsidRDefault="00297076" w:rsidP="00297076">
          <w:pPr>
            <w:jc w:val="right"/>
          </w:pPr>
          <w:bookmarkStart w:id="3" w:name="agenda"/>
          <w:r>
            <w:t>ATCM 13</w:t>
          </w:r>
          <w:bookmarkEnd w:id="3"/>
        </w:p>
      </w:tc>
      <w:tc>
        <w:tcPr>
          <w:tcW w:w="390" w:type="dxa"/>
        </w:tcPr>
        <w:p w14:paraId="50432B91" w14:textId="77777777" w:rsidR="00297076" w:rsidRDefault="00297076" w:rsidP="00297076">
          <w:pPr>
            <w:jc w:val="right"/>
          </w:pPr>
        </w:p>
      </w:tc>
    </w:tr>
    <w:tr w:rsidR="00297076" w14:paraId="612879B5" w14:textId="77777777" w:rsidTr="00297076">
      <w:trPr>
        <w:trHeight w:val="397"/>
        <w:jc w:val="center"/>
      </w:trPr>
      <w:tc>
        <w:tcPr>
          <w:tcW w:w="8472" w:type="dxa"/>
          <w:gridSpan w:val="2"/>
        </w:tcPr>
        <w:p w14:paraId="49D9387A" w14:textId="77777777" w:rsidR="00297076" w:rsidRDefault="00297076" w:rsidP="00297076">
          <w:pPr>
            <w:jc w:val="right"/>
          </w:pPr>
          <w:r>
            <w:t>Presented by:</w:t>
          </w:r>
        </w:p>
      </w:tc>
      <w:tc>
        <w:tcPr>
          <w:tcW w:w="2410" w:type="dxa"/>
          <w:gridSpan w:val="2"/>
        </w:tcPr>
        <w:p w14:paraId="2D5882A1" w14:textId="77777777" w:rsidR="00297076" w:rsidRDefault="00297076" w:rsidP="00297076">
          <w:pPr>
            <w:jc w:val="right"/>
          </w:pPr>
          <w:bookmarkStart w:id="4" w:name="party"/>
          <w:r>
            <w:t>Spain</w:t>
          </w:r>
          <w:bookmarkEnd w:id="4"/>
        </w:p>
      </w:tc>
      <w:tc>
        <w:tcPr>
          <w:tcW w:w="390" w:type="dxa"/>
        </w:tcPr>
        <w:p w14:paraId="379819F4" w14:textId="77777777" w:rsidR="00297076" w:rsidRDefault="00297076" w:rsidP="00297076">
          <w:pPr>
            <w:jc w:val="right"/>
          </w:pPr>
        </w:p>
      </w:tc>
    </w:tr>
    <w:tr w:rsidR="00297076" w14:paraId="742E17B3" w14:textId="77777777" w:rsidTr="00297076">
      <w:trPr>
        <w:trHeight w:val="409"/>
        <w:jc w:val="center"/>
      </w:trPr>
      <w:tc>
        <w:tcPr>
          <w:tcW w:w="8472" w:type="dxa"/>
          <w:gridSpan w:val="2"/>
        </w:tcPr>
        <w:p w14:paraId="68D20D50" w14:textId="77777777" w:rsidR="00297076" w:rsidRDefault="00297076" w:rsidP="00297076">
          <w:pPr>
            <w:jc w:val="right"/>
          </w:pPr>
          <w:r>
            <w:t>Original:</w:t>
          </w:r>
        </w:p>
      </w:tc>
      <w:tc>
        <w:tcPr>
          <w:tcW w:w="2410" w:type="dxa"/>
          <w:gridSpan w:val="2"/>
        </w:tcPr>
        <w:p w14:paraId="5D5599DE" w14:textId="77777777" w:rsidR="00297076" w:rsidRDefault="00297076" w:rsidP="00297076">
          <w:pPr>
            <w:jc w:val="right"/>
          </w:pPr>
          <w:bookmarkStart w:id="5" w:name="language"/>
          <w:r>
            <w:t>Spanish</w:t>
          </w:r>
          <w:bookmarkEnd w:id="5"/>
        </w:p>
      </w:tc>
      <w:tc>
        <w:tcPr>
          <w:tcW w:w="390" w:type="dxa"/>
        </w:tcPr>
        <w:p w14:paraId="37FCB164" w14:textId="77777777" w:rsidR="00297076" w:rsidRDefault="00297076" w:rsidP="00297076">
          <w:pPr>
            <w:jc w:val="right"/>
          </w:pPr>
        </w:p>
      </w:tc>
    </w:tr>
    <w:tr w:rsidR="00297076" w14:paraId="052B043E" w14:textId="77777777" w:rsidTr="00297076">
      <w:trPr>
        <w:trHeight w:val="409"/>
        <w:jc w:val="center"/>
      </w:trPr>
      <w:tc>
        <w:tcPr>
          <w:tcW w:w="8472" w:type="dxa"/>
          <w:gridSpan w:val="2"/>
        </w:tcPr>
        <w:p w14:paraId="27502E15" w14:textId="77777777" w:rsidR="00297076" w:rsidRDefault="00297076" w:rsidP="00297076">
          <w:pPr>
            <w:jc w:val="right"/>
          </w:pPr>
          <w:r>
            <w:t>Submitted:</w:t>
          </w:r>
        </w:p>
      </w:tc>
      <w:tc>
        <w:tcPr>
          <w:tcW w:w="2410" w:type="dxa"/>
          <w:gridSpan w:val="2"/>
        </w:tcPr>
        <w:p w14:paraId="4A049F70" w14:textId="77777777" w:rsidR="00297076" w:rsidRDefault="00297076" w:rsidP="00297076">
          <w:pPr>
            <w:jc w:val="right"/>
          </w:pPr>
          <w:bookmarkStart w:id="6" w:name="date_submission"/>
          <w:r>
            <w:t>16/6/2020</w:t>
          </w:r>
          <w:bookmarkEnd w:id="6"/>
        </w:p>
      </w:tc>
      <w:tc>
        <w:tcPr>
          <w:tcW w:w="390" w:type="dxa"/>
        </w:tcPr>
        <w:p w14:paraId="2E65744A" w14:textId="77777777" w:rsidR="00297076" w:rsidRDefault="00297076" w:rsidP="00297076">
          <w:pPr>
            <w:jc w:val="right"/>
          </w:pPr>
        </w:p>
      </w:tc>
    </w:tr>
  </w:tbl>
  <w:p w14:paraId="5E4E6B54" w14:textId="77777777" w:rsidR="00297076" w:rsidRDefault="002970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297076" w14:paraId="2EAE382D" w14:textId="77777777">
      <w:trPr>
        <w:trHeight w:val="354"/>
        <w:jc w:val="center"/>
      </w:trPr>
      <w:tc>
        <w:tcPr>
          <w:tcW w:w="9694" w:type="dxa"/>
        </w:tcPr>
        <w:p w14:paraId="5DD7AF69" w14:textId="77777777" w:rsidR="00297076" w:rsidRPr="00BD47E4" w:rsidRDefault="00AE4D09" w:rsidP="00297076">
          <w:pPr>
            <w:jc w:val="right"/>
            <w:rPr>
              <w:b/>
              <w:sz w:val="32"/>
              <w:szCs w:val="32"/>
            </w:rPr>
          </w:pPr>
          <w:r>
            <w:rPr>
              <w:b/>
              <w:sz w:val="32"/>
              <w:szCs w:val="32"/>
            </w:rPr>
            <w:t>IP</w:t>
          </w:r>
        </w:p>
      </w:tc>
      <w:tc>
        <w:tcPr>
          <w:tcW w:w="1332" w:type="dxa"/>
        </w:tcPr>
        <w:p w14:paraId="36712BE8" w14:textId="08AF8168" w:rsidR="00297076" w:rsidRPr="00BD47E4" w:rsidRDefault="00F240DC" w:rsidP="00297076">
          <w:pPr>
            <w:rPr>
              <w:b/>
              <w:sz w:val="32"/>
              <w:szCs w:val="32"/>
            </w:rPr>
          </w:pPr>
          <w:r>
            <w:rPr>
              <w:b/>
              <w:sz w:val="32"/>
              <w:szCs w:val="32"/>
            </w:rPr>
            <w:t>57</w:t>
          </w:r>
        </w:p>
      </w:tc>
    </w:tr>
  </w:tbl>
  <w:p w14:paraId="6CADE877" w14:textId="77777777" w:rsidR="00297076" w:rsidRDefault="002970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4F814B6"/>
    <w:multiLevelType w:val="hybridMultilevel"/>
    <w:tmpl w:val="90361050"/>
    <w:lvl w:ilvl="0" w:tplc="2AAC5584">
      <w:start w:val="1"/>
      <w:numFmt w:val="decimal"/>
      <w:lvlText w:val="%1."/>
      <w:lvlJc w:val="left"/>
      <w:pPr>
        <w:ind w:left="720" w:hanging="360"/>
      </w:pPr>
      <w:rPr>
        <w:rFonts w:cs="Times New Roman"/>
      </w:rPr>
    </w:lvl>
    <w:lvl w:ilvl="1" w:tplc="2FFAF676" w:tentative="1">
      <w:start w:val="1"/>
      <w:numFmt w:val="lowerLetter"/>
      <w:lvlText w:val="%2."/>
      <w:lvlJc w:val="left"/>
      <w:pPr>
        <w:ind w:left="1440" w:hanging="360"/>
      </w:pPr>
      <w:rPr>
        <w:rFonts w:cs="Times New Roman"/>
      </w:rPr>
    </w:lvl>
    <w:lvl w:ilvl="2" w:tplc="D4D47E56" w:tentative="1">
      <w:start w:val="1"/>
      <w:numFmt w:val="lowerRoman"/>
      <w:lvlText w:val="%3."/>
      <w:lvlJc w:val="right"/>
      <w:pPr>
        <w:ind w:left="2160" w:hanging="180"/>
      </w:pPr>
      <w:rPr>
        <w:rFonts w:cs="Times New Roman"/>
      </w:rPr>
    </w:lvl>
    <w:lvl w:ilvl="3" w:tplc="0914A5CE" w:tentative="1">
      <w:start w:val="1"/>
      <w:numFmt w:val="decimal"/>
      <w:lvlText w:val="%4."/>
      <w:lvlJc w:val="left"/>
      <w:pPr>
        <w:ind w:left="2880" w:hanging="360"/>
      </w:pPr>
      <w:rPr>
        <w:rFonts w:cs="Times New Roman"/>
      </w:rPr>
    </w:lvl>
    <w:lvl w:ilvl="4" w:tplc="522AA0D2" w:tentative="1">
      <w:start w:val="1"/>
      <w:numFmt w:val="lowerLetter"/>
      <w:lvlText w:val="%5."/>
      <w:lvlJc w:val="left"/>
      <w:pPr>
        <w:ind w:left="3600" w:hanging="360"/>
      </w:pPr>
      <w:rPr>
        <w:rFonts w:cs="Times New Roman"/>
      </w:rPr>
    </w:lvl>
    <w:lvl w:ilvl="5" w:tplc="43B02B4A" w:tentative="1">
      <w:start w:val="1"/>
      <w:numFmt w:val="lowerRoman"/>
      <w:lvlText w:val="%6."/>
      <w:lvlJc w:val="right"/>
      <w:pPr>
        <w:ind w:left="4320" w:hanging="180"/>
      </w:pPr>
      <w:rPr>
        <w:rFonts w:cs="Times New Roman"/>
      </w:rPr>
    </w:lvl>
    <w:lvl w:ilvl="6" w:tplc="FEAE129E" w:tentative="1">
      <w:start w:val="1"/>
      <w:numFmt w:val="decimal"/>
      <w:lvlText w:val="%7."/>
      <w:lvlJc w:val="left"/>
      <w:pPr>
        <w:ind w:left="5040" w:hanging="360"/>
      </w:pPr>
      <w:rPr>
        <w:rFonts w:cs="Times New Roman"/>
      </w:rPr>
    </w:lvl>
    <w:lvl w:ilvl="7" w:tplc="7EEE1352" w:tentative="1">
      <w:start w:val="1"/>
      <w:numFmt w:val="lowerLetter"/>
      <w:lvlText w:val="%8."/>
      <w:lvlJc w:val="left"/>
      <w:pPr>
        <w:ind w:left="5760" w:hanging="360"/>
      </w:pPr>
      <w:rPr>
        <w:rFonts w:cs="Times New Roman"/>
      </w:rPr>
    </w:lvl>
    <w:lvl w:ilvl="8" w:tplc="B15A717C" w:tentative="1">
      <w:start w:val="1"/>
      <w:numFmt w:val="lowerRoman"/>
      <w:lvlText w:val="%9."/>
      <w:lvlJc w:val="right"/>
      <w:pPr>
        <w:ind w:left="6480" w:hanging="180"/>
      </w:pPr>
      <w:rPr>
        <w:rFonts w:cs="Times New Roman"/>
      </w:rPr>
    </w:lvl>
  </w:abstractNum>
  <w:abstractNum w:abstractNumId="12" w15:restartNumberingAfterBreak="0">
    <w:nsid w:val="286577EA"/>
    <w:multiLevelType w:val="hybridMultilevel"/>
    <w:tmpl w:val="21A63D98"/>
    <w:lvl w:ilvl="0">
      <w:start w:val="1"/>
      <w:numFmt w:val="bullet"/>
      <w:pStyle w:val="ATSBullet1"/>
      <w:lvlText w:val=""/>
      <w:lvlJc w:val="left"/>
      <w:pPr>
        <w:tabs>
          <w:tab w:val="num" w:pos="360"/>
        </w:tabs>
        <w:ind w:left="36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35C15"/>
    <w:multiLevelType w:val="hybridMultilevel"/>
    <w:tmpl w:val="A8A2E45C"/>
    <w:lvl w:ilvl="0">
      <w:start w:val="1"/>
      <w:numFmt w:val="decimal"/>
      <w:lvlText w:val="%1)"/>
      <w:lvlJc w:val="left"/>
      <w:pPr>
        <w:tabs>
          <w:tab w:val="num" w:pos="340"/>
        </w:tabs>
        <w:ind w:left="340" w:hanging="34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start w:val="1"/>
      <w:numFmt w:val="decimal"/>
      <w:lvlText w:val="%1."/>
      <w:lvlJc w:val="left"/>
      <w:pPr>
        <w:tabs>
          <w:tab w:val="num" w:pos="1057"/>
        </w:tabs>
        <w:ind w:left="1057" w:hanging="360"/>
      </w:pPr>
      <w:rPr>
        <w:rFonts w:hint="default"/>
      </w:rPr>
    </w:lvl>
    <w:lvl w:ilvl="1" w:tentative="1">
      <w:start w:val="1"/>
      <w:numFmt w:val="lowerLetter"/>
      <w:lvlText w:val="%2."/>
      <w:lvlJc w:val="left"/>
      <w:pPr>
        <w:tabs>
          <w:tab w:val="num" w:pos="2137"/>
        </w:tabs>
        <w:ind w:left="2137" w:hanging="360"/>
      </w:pPr>
    </w:lvl>
    <w:lvl w:ilvl="2" w:tentative="1">
      <w:start w:val="1"/>
      <w:numFmt w:val="lowerRoman"/>
      <w:lvlText w:val="%3."/>
      <w:lvlJc w:val="right"/>
      <w:pPr>
        <w:tabs>
          <w:tab w:val="num" w:pos="2857"/>
        </w:tabs>
        <w:ind w:left="2857" w:hanging="180"/>
      </w:pPr>
    </w:lvl>
    <w:lvl w:ilvl="3" w:tentative="1">
      <w:start w:val="1"/>
      <w:numFmt w:val="decimal"/>
      <w:lvlText w:val="%4."/>
      <w:lvlJc w:val="left"/>
      <w:pPr>
        <w:tabs>
          <w:tab w:val="num" w:pos="3577"/>
        </w:tabs>
        <w:ind w:left="3577" w:hanging="360"/>
      </w:pPr>
    </w:lvl>
    <w:lvl w:ilvl="4" w:tentative="1">
      <w:start w:val="1"/>
      <w:numFmt w:val="lowerLetter"/>
      <w:lvlText w:val="%5."/>
      <w:lvlJc w:val="left"/>
      <w:pPr>
        <w:tabs>
          <w:tab w:val="num" w:pos="4297"/>
        </w:tabs>
        <w:ind w:left="4297" w:hanging="360"/>
      </w:pPr>
    </w:lvl>
    <w:lvl w:ilvl="5" w:tentative="1">
      <w:start w:val="1"/>
      <w:numFmt w:val="lowerRoman"/>
      <w:lvlText w:val="%6."/>
      <w:lvlJc w:val="right"/>
      <w:pPr>
        <w:tabs>
          <w:tab w:val="num" w:pos="5017"/>
        </w:tabs>
        <w:ind w:left="5017" w:hanging="180"/>
      </w:pPr>
    </w:lvl>
    <w:lvl w:ilvl="6" w:tentative="1">
      <w:start w:val="1"/>
      <w:numFmt w:val="decimal"/>
      <w:lvlText w:val="%7."/>
      <w:lvlJc w:val="left"/>
      <w:pPr>
        <w:tabs>
          <w:tab w:val="num" w:pos="5737"/>
        </w:tabs>
        <w:ind w:left="5737" w:hanging="360"/>
      </w:pPr>
    </w:lvl>
    <w:lvl w:ilvl="7" w:tentative="1">
      <w:start w:val="1"/>
      <w:numFmt w:val="lowerLetter"/>
      <w:lvlText w:val="%8."/>
      <w:lvlJc w:val="left"/>
      <w:pPr>
        <w:tabs>
          <w:tab w:val="num" w:pos="6457"/>
        </w:tabs>
        <w:ind w:left="6457" w:hanging="360"/>
      </w:pPr>
    </w:lvl>
    <w:lvl w:ilvl="8"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start w:val="1"/>
      <w:numFmt w:val="decimal"/>
      <w:pStyle w:val="ATSNumber1"/>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entative="1">
      <w:start w:val="1"/>
      <w:numFmt w:val="bullet"/>
      <w:lvlText w:val="o"/>
      <w:lvlJc w:val="left"/>
      <w:pPr>
        <w:tabs>
          <w:tab w:val="num" w:pos="2517"/>
        </w:tabs>
        <w:ind w:left="2517" w:hanging="360"/>
      </w:pPr>
      <w:rPr>
        <w:rFonts w:ascii="Courier New" w:hAnsi="Courier New" w:cs="Courier New" w:hint="default"/>
      </w:rPr>
    </w:lvl>
    <w:lvl w:ilvl="2" w:tentative="1">
      <w:start w:val="1"/>
      <w:numFmt w:val="bullet"/>
      <w:lvlText w:val=""/>
      <w:lvlJc w:val="left"/>
      <w:pPr>
        <w:tabs>
          <w:tab w:val="num" w:pos="3237"/>
        </w:tabs>
        <w:ind w:left="3237" w:hanging="360"/>
      </w:pPr>
      <w:rPr>
        <w:rFonts w:ascii="Wingdings" w:hAnsi="Wingdings" w:hint="default"/>
      </w:rPr>
    </w:lvl>
    <w:lvl w:ilvl="3" w:tentative="1">
      <w:start w:val="1"/>
      <w:numFmt w:val="bullet"/>
      <w:lvlText w:val=""/>
      <w:lvlJc w:val="left"/>
      <w:pPr>
        <w:tabs>
          <w:tab w:val="num" w:pos="3957"/>
        </w:tabs>
        <w:ind w:left="3957" w:hanging="360"/>
      </w:pPr>
      <w:rPr>
        <w:rFonts w:ascii="Symbol" w:hAnsi="Symbol" w:hint="default"/>
      </w:rPr>
    </w:lvl>
    <w:lvl w:ilvl="4" w:tentative="1">
      <w:start w:val="1"/>
      <w:numFmt w:val="bullet"/>
      <w:lvlText w:val="o"/>
      <w:lvlJc w:val="left"/>
      <w:pPr>
        <w:tabs>
          <w:tab w:val="num" w:pos="4677"/>
        </w:tabs>
        <w:ind w:left="4677" w:hanging="360"/>
      </w:pPr>
      <w:rPr>
        <w:rFonts w:ascii="Courier New" w:hAnsi="Courier New" w:cs="Courier New" w:hint="default"/>
      </w:rPr>
    </w:lvl>
    <w:lvl w:ilvl="5" w:tentative="1">
      <w:start w:val="1"/>
      <w:numFmt w:val="bullet"/>
      <w:lvlText w:val=""/>
      <w:lvlJc w:val="left"/>
      <w:pPr>
        <w:tabs>
          <w:tab w:val="num" w:pos="5397"/>
        </w:tabs>
        <w:ind w:left="5397" w:hanging="360"/>
      </w:pPr>
      <w:rPr>
        <w:rFonts w:ascii="Wingdings" w:hAnsi="Wingdings" w:hint="default"/>
      </w:rPr>
    </w:lvl>
    <w:lvl w:ilvl="6" w:tentative="1">
      <w:start w:val="1"/>
      <w:numFmt w:val="bullet"/>
      <w:lvlText w:val=""/>
      <w:lvlJc w:val="left"/>
      <w:pPr>
        <w:tabs>
          <w:tab w:val="num" w:pos="6117"/>
        </w:tabs>
        <w:ind w:left="6117" w:hanging="360"/>
      </w:pPr>
      <w:rPr>
        <w:rFonts w:ascii="Symbol" w:hAnsi="Symbol" w:hint="default"/>
      </w:rPr>
    </w:lvl>
    <w:lvl w:ilvl="7" w:tentative="1">
      <w:start w:val="1"/>
      <w:numFmt w:val="bullet"/>
      <w:lvlText w:val="o"/>
      <w:lvlJc w:val="left"/>
      <w:pPr>
        <w:tabs>
          <w:tab w:val="num" w:pos="6837"/>
        </w:tabs>
        <w:ind w:left="6837" w:hanging="360"/>
      </w:pPr>
      <w:rPr>
        <w:rFonts w:ascii="Courier New" w:hAnsi="Courier New" w:cs="Courier New" w:hint="default"/>
      </w:rPr>
    </w:lvl>
    <w:lvl w:ilvl="8"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start w:val="1"/>
      <w:numFmt w:val="decimal"/>
      <w:pStyle w:val="ATSNumber2"/>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6"/>
  </w:num>
  <w:num w:numId="13">
    <w:abstractNumId w:val="15"/>
  </w:num>
  <w:num w:numId="14">
    <w:abstractNumId w:val="13"/>
  </w:num>
  <w:num w:numId="15">
    <w:abstractNumId w:val="14"/>
  </w:num>
  <w:num w:numId="16">
    <w:abstractNumId w:val="10"/>
  </w:num>
  <w:num w:numId="17">
    <w:abstractNumId w:val="12"/>
  </w:num>
  <w:num w:numId="18">
    <w:abstractNumId w:val="16"/>
  </w:num>
  <w:num w:numId="19">
    <w:abstractNumId w:val="15"/>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135C7"/>
    <w:rsid w:val="00297076"/>
    <w:rsid w:val="00AE4D09"/>
    <w:rsid w:val="00F240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E6B612B"/>
  <w15:chartTrackingRefBased/>
  <w15:docId w15:val="{1CFB2AA6-B6F7-4C34-8906-8D80F63A1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789F"/>
    <w:rPr>
      <w:sz w:val="22"/>
      <w:szCs w:val="24"/>
      <w:lang w:val="en-GB" w:eastAsia="en-US"/>
    </w:rPr>
  </w:style>
  <w:style w:type="paragraph" w:styleId="Ttulo1">
    <w:name w:val="heading 1"/>
    <w:basedOn w:val="Normal"/>
    <w:next w:val="Normal"/>
    <w:qFormat/>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qFormat/>
    <w:rsid w:val="001B789F"/>
    <w:pPr>
      <w:keepNext/>
      <w:spacing w:before="120" w:after="240"/>
      <w:outlineLvl w:val="1"/>
    </w:pPr>
    <w:rPr>
      <w:b/>
      <w:i/>
      <w:sz w:val="28"/>
      <w:szCs w:val="20"/>
    </w:rPr>
  </w:style>
  <w:style w:type="paragraph" w:styleId="Ttulo3">
    <w:name w:val="heading 3"/>
    <w:basedOn w:val="Normal"/>
    <w:next w:val="Normal"/>
    <w:qFormat/>
    <w:rsid w:val="001B789F"/>
    <w:pPr>
      <w:keepNext/>
      <w:spacing w:before="120" w:after="180"/>
      <w:outlineLvl w:val="2"/>
    </w:pPr>
    <w:rPr>
      <w:rFonts w:eastAsia="SimSun"/>
      <w:b/>
      <w:sz w:val="24"/>
      <w:szCs w:val="20"/>
      <w:lang w:eastAsia="zh-CN"/>
    </w:rPr>
  </w:style>
  <w:style w:type="paragraph" w:styleId="Ttulo4">
    <w:name w:val="heading 4"/>
    <w:basedOn w:val="Normal"/>
    <w:next w:val="Normal"/>
    <w:qFormat/>
    <w:rsid w:val="001B789F"/>
    <w:pPr>
      <w:keepNext/>
      <w:spacing w:before="60" w:after="120"/>
      <w:outlineLvl w:val="3"/>
    </w:pPr>
    <w:rPr>
      <w:b/>
      <w:bCs/>
      <w:i/>
      <w:szCs w:val="28"/>
    </w:rPr>
  </w:style>
  <w:style w:type="paragraph" w:styleId="Ttulo5">
    <w:name w:val="heading 5"/>
    <w:basedOn w:val="Normal"/>
    <w:next w:val="Normal"/>
    <w:qFormat/>
    <w:rsid w:val="001B789F"/>
    <w:pPr>
      <w:spacing w:before="240" w:after="60"/>
      <w:outlineLvl w:val="4"/>
    </w:pPr>
    <w:rPr>
      <w:b/>
      <w:bCs/>
      <w:i/>
      <w:iCs/>
      <w:sz w:val="26"/>
      <w:szCs w:val="26"/>
    </w:rPr>
  </w:style>
  <w:style w:type="paragraph" w:styleId="Ttulo6">
    <w:name w:val="heading 6"/>
    <w:basedOn w:val="Normal"/>
    <w:next w:val="Normal"/>
    <w:qFormat/>
    <w:rsid w:val="001B789F"/>
    <w:pPr>
      <w:spacing w:before="240" w:after="60"/>
      <w:outlineLvl w:val="5"/>
    </w:pPr>
    <w:rPr>
      <w:b/>
      <w:bCs/>
      <w:szCs w:val="22"/>
    </w:rPr>
  </w:style>
  <w:style w:type="paragraph" w:styleId="Ttulo7">
    <w:name w:val="heading 7"/>
    <w:basedOn w:val="Normal"/>
    <w:next w:val="Normal"/>
    <w:qFormat/>
    <w:rsid w:val="001B789F"/>
    <w:pPr>
      <w:spacing w:before="240" w:after="60"/>
      <w:outlineLvl w:val="6"/>
    </w:pPr>
    <w:rPr>
      <w:sz w:val="24"/>
    </w:rPr>
  </w:style>
  <w:style w:type="paragraph" w:styleId="Ttulo8">
    <w:name w:val="heading 8"/>
    <w:basedOn w:val="Normal"/>
    <w:next w:val="Normal"/>
    <w:qFormat/>
    <w:rsid w:val="001B789F"/>
    <w:pPr>
      <w:spacing w:before="240" w:after="60"/>
      <w:outlineLvl w:val="7"/>
    </w:pPr>
    <w:rPr>
      <w:i/>
      <w:iCs/>
      <w:sz w:val="24"/>
    </w:rPr>
  </w:style>
  <w:style w:type="paragraph" w:styleId="Ttulo9">
    <w:name w:val="heading 9"/>
    <w:basedOn w:val="Normal"/>
    <w:next w:val="Normal"/>
    <w:qFormat/>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uiPriority w:val="99"/>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qFormat/>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qFormat/>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st">
    <w:name w:val="st"/>
    <w:rsid w:val="00AE4D0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404445-29A6-4EC7-AD8F-A57E2931B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2093</Words>
  <Characters>11513</Characters>
  <Application>Microsoft Office Word</Application>
  <DocSecurity>0</DocSecurity>
  <Lines>95</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subject/>
  <dc:creator>Pepe Agraz</dc:creator>
  <cp:keywords/>
  <dc:description/>
  <cp:lastModifiedBy>Jose Luis Agraz</cp:lastModifiedBy>
  <cp:revision>2</cp:revision>
  <cp:lastPrinted>2008-01-22T19:20:00Z</cp:lastPrinted>
  <dcterms:created xsi:type="dcterms:W3CDTF">2021-05-13T11:51:00Z</dcterms:created>
  <dcterms:modified xsi:type="dcterms:W3CDTF">2021-05-13T11:51:00Z</dcterms:modified>
</cp:coreProperties>
</file>