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81D6" w14:textId="77777777" w:rsidR="00C26F2D" w:rsidRPr="00BF077B" w:rsidRDefault="00FF1F3A" w:rsidP="00BF077B">
      <w:pPr>
        <w:pStyle w:val="ATSNormal"/>
        <w:rPr>
          <w:rStyle w:val="Ttulodellibro"/>
        </w:rPr>
      </w:pPr>
    </w:p>
    <w:p w14:paraId="73E7DA90" w14:textId="77777777" w:rsidR="002F0A13" w:rsidRDefault="00FF1F3A" w:rsidP="004B4A60">
      <w:pPr>
        <w:rPr>
          <w:b/>
          <w:u w:val="single"/>
          <w:lang w:val="es-ES_tradnl"/>
        </w:rPr>
      </w:pPr>
    </w:p>
    <w:p w14:paraId="20B8AED7" w14:textId="77777777" w:rsidR="002F0A13" w:rsidRDefault="00FF1F3A" w:rsidP="004B4A60">
      <w:pPr>
        <w:rPr>
          <w:b/>
          <w:u w:val="single"/>
          <w:lang w:val="es-ES_tradnl"/>
        </w:rPr>
      </w:pPr>
    </w:p>
    <w:p w14:paraId="68183091" w14:textId="77777777" w:rsidR="002F0A13" w:rsidRDefault="00FF1F3A" w:rsidP="004B4A60">
      <w:pPr>
        <w:rPr>
          <w:b/>
          <w:u w:val="single"/>
          <w:lang w:val="es-ES_tradnl"/>
        </w:rPr>
      </w:pPr>
    </w:p>
    <w:p w14:paraId="030C08F1" w14:textId="77777777" w:rsidR="002F0A13" w:rsidRDefault="00FF1F3A" w:rsidP="004B4A60">
      <w:pPr>
        <w:rPr>
          <w:b/>
          <w:u w:val="single"/>
          <w:lang w:val="es-ES_tradnl"/>
        </w:rPr>
      </w:pPr>
    </w:p>
    <w:p w14:paraId="7FBFA5FE" w14:textId="77777777" w:rsidR="00C26F2D" w:rsidRDefault="00FF1F3A" w:rsidP="004B4A60">
      <w:pPr>
        <w:rPr>
          <w:b/>
          <w:u w:val="single"/>
          <w:lang w:val="es-ES_tradnl"/>
        </w:rPr>
      </w:pPr>
    </w:p>
    <w:p w14:paraId="764FF410" w14:textId="77777777" w:rsidR="004B4A60" w:rsidRPr="0057246E" w:rsidRDefault="00FF1F3A" w:rsidP="001B789F">
      <w:pPr>
        <w:pStyle w:val="ATSTitle"/>
      </w:pPr>
      <w:bookmarkStart w:id="0" w:name="name"/>
      <w:r>
        <w:t>A Five-Year Overview and 2020–21 Season Report on IAATO Operator Use of Antarctic Peninsula Landing Sites and ATCM Visitor Site Guidelines</w:t>
      </w:r>
      <w:bookmarkEnd w:id="0"/>
    </w:p>
    <w:p w14:paraId="74530537" w14:textId="77777777" w:rsidR="004B4A60" w:rsidRPr="0057246E" w:rsidRDefault="00FF1F3A" w:rsidP="00F75424">
      <w:pPr>
        <w:jc w:val="center"/>
      </w:pPr>
    </w:p>
    <w:p w14:paraId="2FFC157A" w14:textId="77777777" w:rsidR="004B4A60" w:rsidRPr="002F0A13" w:rsidRDefault="00FF1F3A" w:rsidP="002F0A13"/>
    <w:p w14:paraId="74D0C4F4" w14:textId="77777777" w:rsidR="004B4A60" w:rsidRDefault="00FF1F3A" w:rsidP="00F75424">
      <w:pPr>
        <w:jc w:val="center"/>
      </w:pPr>
      <w:bookmarkStart w:id="1" w:name="memo"/>
      <w:bookmarkEnd w:id="1"/>
    </w:p>
    <w:p w14:paraId="0820CA77" w14:textId="77777777" w:rsidR="0097629D" w:rsidRDefault="00FF1F3A" w:rsidP="00F75424">
      <w:pPr>
        <w:jc w:val="center"/>
      </w:pPr>
    </w:p>
    <w:p w14:paraId="6D03FA97" w14:textId="77777777" w:rsidR="0097629D" w:rsidRDefault="00FF1F3A" w:rsidP="00F75424">
      <w:pPr>
        <w:jc w:val="center"/>
      </w:pPr>
    </w:p>
    <w:p w14:paraId="4CB15802" w14:textId="77777777" w:rsidR="0097629D" w:rsidRDefault="00FF1F3A" w:rsidP="00F75424">
      <w:pPr>
        <w:jc w:val="center"/>
      </w:pPr>
    </w:p>
    <w:p w14:paraId="4A8A26F5" w14:textId="77777777" w:rsidR="0097629D" w:rsidRPr="00C26F2D" w:rsidRDefault="00FF1F3A" w:rsidP="00F75424">
      <w:pPr>
        <w:jc w:val="center"/>
      </w:pPr>
    </w:p>
    <w:p w14:paraId="310563DD" w14:textId="77777777" w:rsidR="004B4A60" w:rsidRPr="0057246E" w:rsidRDefault="00FF1F3A" w:rsidP="004B4A60"/>
    <w:p w14:paraId="36D4ED7A" w14:textId="77777777" w:rsidR="00C26F2D" w:rsidRDefault="00FF1F3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10158F1" w14:textId="77777777" w:rsidR="00FF1F3A" w:rsidRPr="009C5E54" w:rsidRDefault="00FF1F3A" w:rsidP="00FF1F3A">
      <w:pPr>
        <w:pStyle w:val="ATSHeading1"/>
      </w:pPr>
      <w:r>
        <w:lastRenderedPageBreak/>
        <w:t xml:space="preserve">A Five-Year Overview and 2020–21 Season </w:t>
      </w:r>
      <w:r w:rsidRPr="009C5E54">
        <w:t>Report on IAATO Operator Use of Antarctic Peninsula Landing Sites and ATCM Visitor Site Guidelines</w:t>
      </w:r>
    </w:p>
    <w:p w14:paraId="5BBE118E" w14:textId="77777777" w:rsidR="00FF1F3A" w:rsidRPr="00BC082A" w:rsidRDefault="00FF1F3A" w:rsidP="00FF1F3A">
      <w:pPr>
        <w:jc w:val="center"/>
        <w:rPr>
          <w:b/>
          <w:bCs/>
        </w:rPr>
      </w:pPr>
      <w:r w:rsidRPr="00BC082A">
        <w:rPr>
          <w:b/>
          <w:bCs/>
        </w:rPr>
        <w:t xml:space="preserve">Information Paper submitted by </w:t>
      </w:r>
      <w:proofErr w:type="gramStart"/>
      <w:r w:rsidRPr="00BC082A">
        <w:rPr>
          <w:b/>
          <w:bCs/>
        </w:rPr>
        <w:t>IAATO</w:t>
      </w:r>
      <w:proofErr w:type="gramEnd"/>
    </w:p>
    <w:p w14:paraId="25B4661B" w14:textId="77777777" w:rsidR="00FF1F3A" w:rsidRPr="00BC082A" w:rsidRDefault="00FF1F3A" w:rsidP="00FF1F3A">
      <w:pPr>
        <w:pStyle w:val="ATSHeading2"/>
        <w:outlineLvl w:val="0"/>
        <w:rPr>
          <w:rFonts w:ascii="Times New Roman" w:hAnsi="Times New Roman"/>
          <w:szCs w:val="24"/>
        </w:rPr>
      </w:pPr>
      <w:r w:rsidRPr="00BC082A">
        <w:rPr>
          <w:rFonts w:ascii="Times New Roman" w:hAnsi="Times New Roman"/>
          <w:szCs w:val="24"/>
        </w:rPr>
        <w:t>Introduction</w:t>
      </w:r>
    </w:p>
    <w:p w14:paraId="14BDD468" w14:textId="77777777" w:rsidR="00FF1F3A" w:rsidRPr="00BC082A" w:rsidRDefault="00FF1F3A" w:rsidP="00FF1F3A">
      <w:pPr>
        <w:pStyle w:val="AtsNormal0"/>
        <w:rPr>
          <w:szCs w:val="22"/>
          <w:lang w:val="cy-GB"/>
        </w:rPr>
      </w:pPr>
      <w:r w:rsidRPr="009C5E54">
        <w:rPr>
          <w:szCs w:val="22"/>
          <w:lang w:val="cy-GB"/>
        </w:rPr>
        <w:t>IAATO remains committed to reporting to the CEP and ATCM information on IAATO Operator Landing Site and ATCM Visitor Site Guidelines use. This information paper presents data collected by IAATO from IAATO Operator Post Visit Report Forms for the Antarctic Peninsula during the 20</w:t>
      </w:r>
      <w:r>
        <w:rPr>
          <w:szCs w:val="22"/>
          <w:lang w:val="cy-GB"/>
        </w:rPr>
        <w:t>20–</w:t>
      </w:r>
      <w:r w:rsidRPr="009C5E54">
        <w:rPr>
          <w:szCs w:val="22"/>
          <w:lang w:val="cy-GB"/>
        </w:rPr>
        <w:t>2</w:t>
      </w:r>
      <w:r>
        <w:rPr>
          <w:szCs w:val="22"/>
          <w:lang w:val="cy-GB"/>
        </w:rPr>
        <w:t>1</w:t>
      </w:r>
      <w:r w:rsidRPr="009C5E54">
        <w:rPr>
          <w:szCs w:val="22"/>
          <w:lang w:val="cy-GB"/>
        </w:rPr>
        <w:t xml:space="preserve"> season. No non-IAATO visits are included in this analysis.</w:t>
      </w:r>
    </w:p>
    <w:p w14:paraId="518A4EE8" w14:textId="77777777" w:rsidR="00FF1F3A" w:rsidRPr="006F0BE3" w:rsidRDefault="00FF1F3A" w:rsidP="00FF1F3A">
      <w:pPr>
        <w:pStyle w:val="ATSNormal"/>
        <w:ind w:right="234"/>
        <w:rPr>
          <w:b/>
          <w:bCs/>
          <w:smallCaps/>
          <w:spacing w:val="5"/>
        </w:rPr>
      </w:pPr>
      <w:r w:rsidRPr="00872FC3">
        <w:rPr>
          <w:lang w:val="en-US"/>
        </w:rPr>
        <w:t xml:space="preserve">In addition to our </w:t>
      </w:r>
      <w:r>
        <w:rPr>
          <w:lang w:val="en-US"/>
        </w:rPr>
        <w:t xml:space="preserve">annual </w:t>
      </w:r>
      <w:r w:rsidRPr="00872FC3">
        <w:rPr>
          <w:lang w:val="en-US"/>
        </w:rPr>
        <w:t>data sets, building on discussions with different Treaty Parties around growth, we have included some historical data which may aid in future discussions</w:t>
      </w:r>
      <w:r>
        <w:rPr>
          <w:lang w:val="en-US"/>
        </w:rPr>
        <w:t xml:space="preserve"> around site usage. </w:t>
      </w:r>
    </w:p>
    <w:p w14:paraId="4201EBCE" w14:textId="77777777" w:rsidR="00FF1F3A" w:rsidRDefault="00FF1F3A" w:rsidP="00FF1F3A">
      <w:pPr>
        <w:rPr>
          <w:lang w:val="en-US"/>
        </w:rPr>
      </w:pPr>
      <w:r>
        <w:rPr>
          <w:szCs w:val="22"/>
          <w:lang w:val="cy-GB"/>
        </w:rPr>
        <w:t xml:space="preserve">It is important to note, </w:t>
      </w:r>
      <w:r>
        <w:rPr>
          <w:lang w:val="en-US"/>
        </w:rPr>
        <w:t>d</w:t>
      </w:r>
      <w:r w:rsidRPr="00872FC3">
        <w:rPr>
          <w:lang w:val="en-US"/>
        </w:rPr>
        <w:t xml:space="preserve">ue to the </w:t>
      </w:r>
      <w:r>
        <w:rPr>
          <w:szCs w:val="22"/>
        </w:rPr>
        <w:t>SARS CoV-2 pandemic</w:t>
      </w:r>
      <w:r w:rsidRPr="00872FC3">
        <w:rPr>
          <w:lang w:val="en-US"/>
        </w:rPr>
        <w:t>, IAATO Operator expeditions during the 2020</w:t>
      </w:r>
      <w:r>
        <w:rPr>
          <w:lang w:val="en-US"/>
        </w:rPr>
        <w:t>–</w:t>
      </w:r>
      <w:r w:rsidRPr="00872FC3">
        <w:rPr>
          <w:lang w:val="en-US"/>
        </w:rPr>
        <w:t xml:space="preserve">21 season were limited to two </w:t>
      </w:r>
      <w:r>
        <w:rPr>
          <w:lang w:val="en-US"/>
        </w:rPr>
        <w:t xml:space="preserve">individual </w:t>
      </w:r>
      <w:r w:rsidRPr="00872FC3">
        <w:rPr>
          <w:lang w:val="en-US"/>
        </w:rPr>
        <w:t>expeditions</w:t>
      </w:r>
      <w:r>
        <w:rPr>
          <w:lang w:val="en-US"/>
        </w:rPr>
        <w:t xml:space="preserve"> on the Antarctic Peninsula</w:t>
      </w:r>
      <w:r w:rsidRPr="00872FC3">
        <w:rPr>
          <w:lang w:val="en-US"/>
        </w:rPr>
        <w:t xml:space="preserve">, </w:t>
      </w:r>
      <w:r>
        <w:rPr>
          <w:lang w:val="en-US"/>
        </w:rPr>
        <w:t>comprised</w:t>
      </w:r>
      <w:r w:rsidRPr="00872FC3">
        <w:rPr>
          <w:lang w:val="en-US"/>
        </w:rPr>
        <w:t xml:space="preserve"> of three yachts</w:t>
      </w:r>
      <w:r>
        <w:rPr>
          <w:lang w:val="en-US"/>
        </w:rPr>
        <w:t>, and statistics for the 2020–21 season represent an irregularity.  For this reason, most data sets in this paper review seasons 2015–20 for a more accurate statistical overview.</w:t>
      </w:r>
    </w:p>
    <w:p w14:paraId="5EC0094A" w14:textId="77777777" w:rsidR="00FF1F3A" w:rsidRDefault="00FF1F3A" w:rsidP="00FF1F3A">
      <w:pPr>
        <w:rPr>
          <w:lang w:val="en-US"/>
        </w:rPr>
      </w:pPr>
    </w:p>
    <w:p w14:paraId="0831325B" w14:textId="77777777" w:rsidR="00FF1F3A" w:rsidRPr="006F0BE3" w:rsidRDefault="00FF1F3A" w:rsidP="00FF1F3A">
      <w:pPr>
        <w:rPr>
          <w:szCs w:val="22"/>
        </w:rPr>
      </w:pPr>
      <w:r w:rsidRPr="006F0BE3">
        <w:rPr>
          <w:szCs w:val="22"/>
        </w:rPr>
        <w:t xml:space="preserve">Additional information on IAATO operator activities can be found in </w:t>
      </w:r>
      <w:r w:rsidRPr="006F0BE3">
        <w:rPr>
          <w:i/>
          <w:iCs/>
          <w:szCs w:val="22"/>
        </w:rPr>
        <w:t xml:space="preserve">ATCM </w:t>
      </w:r>
      <w:proofErr w:type="spellStart"/>
      <w:r w:rsidRPr="006F0BE3">
        <w:rPr>
          <w:i/>
          <w:iCs/>
          <w:szCs w:val="22"/>
        </w:rPr>
        <w:t>XLIII_IPxx</w:t>
      </w:r>
      <w:proofErr w:type="spellEnd"/>
      <w:r w:rsidRPr="006F0BE3">
        <w:rPr>
          <w:i/>
          <w:iCs/>
          <w:szCs w:val="22"/>
        </w:rPr>
        <w:t xml:space="preserve"> IAATO Overview of Antarctic Tourism:</w:t>
      </w:r>
      <w:r>
        <w:rPr>
          <w:i/>
          <w:iCs/>
          <w:szCs w:val="22"/>
        </w:rPr>
        <w:t xml:space="preserve"> </w:t>
      </w:r>
      <w:r w:rsidRPr="006F0BE3">
        <w:rPr>
          <w:i/>
          <w:iCs/>
          <w:szCs w:val="22"/>
        </w:rPr>
        <w:t>A Historical Review of Growth, the 2020</w:t>
      </w:r>
      <w:r>
        <w:rPr>
          <w:i/>
          <w:iCs/>
          <w:szCs w:val="22"/>
        </w:rPr>
        <w:t>–</w:t>
      </w:r>
      <w:r w:rsidRPr="006F0BE3">
        <w:rPr>
          <w:i/>
          <w:iCs/>
          <w:szCs w:val="22"/>
        </w:rPr>
        <w:t>21 Season, and Preliminary Estimates for 2021</w:t>
      </w:r>
      <w:r>
        <w:rPr>
          <w:i/>
          <w:iCs/>
          <w:szCs w:val="22"/>
        </w:rPr>
        <w:t>–</w:t>
      </w:r>
      <w:r w:rsidRPr="006F0BE3">
        <w:rPr>
          <w:i/>
          <w:iCs/>
          <w:szCs w:val="22"/>
        </w:rPr>
        <w:t>22</w:t>
      </w:r>
      <w:r>
        <w:rPr>
          <w:i/>
          <w:iCs/>
          <w:szCs w:val="22"/>
        </w:rPr>
        <w:t xml:space="preserve">, </w:t>
      </w:r>
      <w:r w:rsidRPr="009C5E54">
        <w:rPr>
          <w:szCs w:val="22"/>
          <w:lang w:val="cy-GB"/>
        </w:rPr>
        <w:t xml:space="preserve">and on the IAATO website </w:t>
      </w:r>
      <w:r>
        <w:fldChar w:fldCharType="begin"/>
      </w:r>
      <w:r>
        <w:instrText xml:space="preserve"> HYPERLINK "https://iaato.org/information-resources/data-statistics/" </w:instrText>
      </w:r>
      <w:r>
        <w:fldChar w:fldCharType="separate"/>
      </w:r>
      <w:r w:rsidRPr="009C5E54">
        <w:rPr>
          <w:rStyle w:val="Hipervnculo"/>
          <w:szCs w:val="22"/>
          <w:lang w:val="cy-GB"/>
        </w:rPr>
        <w:t>https://iaato.org/information-resources/data-statistics/</w:t>
      </w:r>
      <w:r>
        <w:rPr>
          <w:rStyle w:val="Hipervnculo"/>
          <w:szCs w:val="22"/>
          <w:lang w:val="cy-GB"/>
        </w:rPr>
        <w:fldChar w:fldCharType="end"/>
      </w:r>
      <w:r w:rsidRPr="009C5E54">
        <w:rPr>
          <w:szCs w:val="22"/>
          <w:lang w:val="cy-GB"/>
        </w:rPr>
        <w:t>.</w:t>
      </w:r>
    </w:p>
    <w:p w14:paraId="626571B2" w14:textId="77777777" w:rsidR="00FF1F3A" w:rsidRPr="009C5E54" w:rsidRDefault="00FF1F3A" w:rsidP="00FF1F3A">
      <w:pPr>
        <w:pStyle w:val="ATSHeading2"/>
        <w:outlineLvl w:val="0"/>
        <w:rPr>
          <w:rFonts w:ascii="Times New Roman" w:hAnsi="Times New Roman"/>
          <w:szCs w:val="24"/>
        </w:rPr>
      </w:pPr>
      <w:r>
        <w:rPr>
          <w:rFonts w:ascii="Times New Roman" w:hAnsi="Times New Roman"/>
          <w:szCs w:val="24"/>
        </w:rPr>
        <w:t xml:space="preserve">Historic Overview of </w:t>
      </w:r>
      <w:r w:rsidRPr="009C5E54">
        <w:rPr>
          <w:rFonts w:ascii="Times New Roman" w:hAnsi="Times New Roman"/>
          <w:szCs w:val="24"/>
        </w:rPr>
        <w:t xml:space="preserve">Antarctic Peninsula traditional seaborne tourism </w:t>
      </w:r>
    </w:p>
    <w:p w14:paraId="68C7B30C" w14:textId="77777777" w:rsidR="00FF1F3A" w:rsidRPr="009C5E54" w:rsidRDefault="00FF1F3A" w:rsidP="00FF1F3A">
      <w:pPr>
        <w:pStyle w:val="ATSNormal"/>
        <w:rPr>
          <w:szCs w:val="22"/>
          <w:lang w:val="cy-GB"/>
        </w:rPr>
      </w:pPr>
      <w:r w:rsidRPr="009C5E54">
        <w:rPr>
          <w:szCs w:val="22"/>
          <w:lang w:val="cy-GB"/>
        </w:rPr>
        <w:t xml:space="preserve">Antarctic tourism continues to be primarily focused on traditional commercial seaborne (SOLAS Vessels) tourism in the Antarctic Peninsula, which accounts for over 95% of all landed activity.  </w:t>
      </w:r>
    </w:p>
    <w:p w14:paraId="502CB717" w14:textId="77777777" w:rsidR="00FF1F3A" w:rsidRPr="009C5E54" w:rsidRDefault="00FF1F3A" w:rsidP="00FF1F3A">
      <w:pPr>
        <w:rPr>
          <w:rStyle w:val="hgkelc"/>
        </w:rPr>
      </w:pPr>
      <w:r w:rsidRPr="009C5E54">
        <w:rPr>
          <w:rStyle w:val="hgkelc"/>
        </w:rPr>
        <w:t xml:space="preserve">A SOLAS vessel (as defined in Maritime Rule Part 21) is any ship to which the International Convention for the Safety of Life at Sea 1974 applies; namely: a passenger ship engaged on an international voyage, or a non-passenger ship of 500 tons gross tonnage or more engaged on an international voyage. In this paper’s number analysis, yacht (vessels carrying 12 passengers or less) numbers are only included where specifically mentioned. </w:t>
      </w:r>
    </w:p>
    <w:p w14:paraId="5E78BE20" w14:textId="77777777" w:rsidR="00FF1F3A" w:rsidRPr="009C5E54" w:rsidRDefault="00FF1F3A" w:rsidP="00FF1F3A">
      <w:pPr>
        <w:rPr>
          <w:sz w:val="10"/>
          <w:szCs w:val="10"/>
          <w:lang w:val="cy-GB"/>
        </w:rPr>
      </w:pPr>
    </w:p>
    <w:p w14:paraId="5922CA7C" w14:textId="77777777" w:rsidR="00FF1F3A" w:rsidRPr="009C5E54" w:rsidRDefault="00FF1F3A" w:rsidP="00FF1F3A">
      <w:pPr>
        <w:rPr>
          <w:szCs w:val="22"/>
          <w:lang w:val="cy-GB"/>
        </w:rPr>
      </w:pPr>
      <w:r w:rsidRPr="009C5E54">
        <w:rPr>
          <w:b/>
          <w:bCs/>
          <w:i/>
          <w:szCs w:val="22"/>
        </w:rPr>
        <w:t>Figure 1:</w:t>
      </w:r>
      <w:r w:rsidRPr="009C5E54">
        <w:rPr>
          <w:i/>
          <w:szCs w:val="22"/>
        </w:rPr>
        <w:t xml:space="preserve"> Factor Change in Traditional Landing Ship-borne Tourism in the Antarctic Peninsula 1989</w:t>
      </w:r>
      <w:r>
        <w:rPr>
          <w:lang w:val="en-US"/>
        </w:rPr>
        <w:t>–</w:t>
      </w:r>
      <w:r w:rsidRPr="009C5E54">
        <w:rPr>
          <w:i/>
          <w:szCs w:val="22"/>
        </w:rPr>
        <w:t>202</w:t>
      </w:r>
      <w:r>
        <w:rPr>
          <w:i/>
          <w:szCs w:val="22"/>
        </w:rPr>
        <w:t>1</w:t>
      </w:r>
      <w:r w:rsidRPr="009C5E54">
        <w:rPr>
          <w:szCs w:val="22"/>
          <w:lang w:val="cy-GB"/>
        </w:rPr>
        <w:t xml:space="preserve"> provides a comparison of the factor increase in different aspects of this activity (number of passengers, ships, voyages, landings </w:t>
      </w:r>
      <w:proofErr w:type="gramStart"/>
      <w:r w:rsidRPr="009C5E54">
        <w:rPr>
          <w:szCs w:val="22"/>
          <w:lang w:val="cy-GB"/>
        </w:rPr>
        <w:t>made</w:t>
      </w:r>
      <w:proofErr w:type="gramEnd"/>
      <w:r w:rsidRPr="009C5E54">
        <w:rPr>
          <w:szCs w:val="22"/>
          <w:lang w:val="cy-GB"/>
        </w:rPr>
        <w:t xml:space="preserve"> and sites used).</w:t>
      </w:r>
    </w:p>
    <w:p w14:paraId="26BED05D" w14:textId="77777777" w:rsidR="00FF1F3A" w:rsidRPr="009C5E54" w:rsidRDefault="00FF1F3A" w:rsidP="00FF1F3A">
      <w:pPr>
        <w:rPr>
          <w:iCs/>
          <w:szCs w:val="22"/>
        </w:rPr>
      </w:pPr>
      <w:r w:rsidRPr="009C5E54">
        <w:rPr>
          <w:szCs w:val="22"/>
          <w:lang w:val="cy-GB"/>
        </w:rPr>
        <w:t xml:space="preserve"> </w:t>
      </w:r>
    </w:p>
    <w:p w14:paraId="014C470C" w14:textId="77777777" w:rsidR="00FF1F3A" w:rsidRPr="009C5E54" w:rsidRDefault="00FF1F3A" w:rsidP="00FF1F3A">
      <w:pPr>
        <w:pStyle w:val="AtsNormal0"/>
        <w:rPr>
          <w:sz w:val="24"/>
          <w:lang w:val="cy-GB"/>
        </w:rPr>
      </w:pPr>
      <w:r>
        <w:rPr>
          <w:noProof/>
        </w:rPr>
        <w:lastRenderedPageBreak/>
        <w:drawing>
          <wp:inline distT="0" distB="0" distL="0" distR="0" wp14:anchorId="3C203BE0" wp14:editId="3BA5CD07">
            <wp:extent cx="6120765" cy="3729990"/>
            <wp:effectExtent l="0" t="0" r="13335" b="16510"/>
            <wp:docPr id="4" name="Chart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4E40DE" w14:textId="77777777" w:rsidR="00FF1F3A" w:rsidRDefault="00FF1F3A" w:rsidP="00FF1F3A">
      <w:pPr>
        <w:rPr>
          <w:iCs/>
          <w:szCs w:val="22"/>
        </w:rPr>
      </w:pPr>
      <w:r w:rsidRPr="009C5E54">
        <w:rPr>
          <w:b/>
          <w:bCs/>
          <w:iCs/>
          <w:szCs w:val="22"/>
        </w:rPr>
        <w:t>Figure 1:</w:t>
      </w:r>
      <w:r w:rsidRPr="009C5E54">
        <w:rPr>
          <w:iCs/>
          <w:szCs w:val="22"/>
        </w:rPr>
        <w:t xml:space="preserve"> Factor Change in Traditional Landing Ship-borne Tourism in the Antarctic Peninsula 1989</w:t>
      </w:r>
      <w:r>
        <w:rPr>
          <w:lang w:val="en-US"/>
        </w:rPr>
        <w:t>–</w:t>
      </w:r>
      <w:r w:rsidRPr="009C5E54">
        <w:rPr>
          <w:iCs/>
          <w:szCs w:val="22"/>
        </w:rPr>
        <w:t>202</w:t>
      </w:r>
      <w:r>
        <w:rPr>
          <w:iCs/>
          <w:szCs w:val="22"/>
        </w:rPr>
        <w:t>1</w:t>
      </w:r>
      <w:r w:rsidRPr="009C5E54">
        <w:rPr>
          <w:iCs/>
          <w:szCs w:val="22"/>
        </w:rPr>
        <w:t xml:space="preserve">. </w:t>
      </w:r>
    </w:p>
    <w:p w14:paraId="631B769D" w14:textId="77777777" w:rsidR="00FF1F3A" w:rsidRPr="009264BB" w:rsidRDefault="00FF1F3A" w:rsidP="00FF1F3A">
      <w:pPr>
        <w:rPr>
          <w:iCs/>
          <w:szCs w:val="22"/>
        </w:rPr>
      </w:pPr>
    </w:p>
    <w:p w14:paraId="2FA254E8" w14:textId="77777777" w:rsidR="00FF1F3A" w:rsidRDefault="00FF1F3A" w:rsidP="00FF1F3A">
      <w:pPr>
        <w:pStyle w:val="AtsNormal0"/>
        <w:jc w:val="both"/>
        <w:rPr>
          <w:szCs w:val="22"/>
          <w:lang w:val="cy-GB"/>
        </w:rPr>
      </w:pPr>
      <w:r>
        <w:rPr>
          <w:szCs w:val="22"/>
        </w:rPr>
        <w:t>During the</w:t>
      </w:r>
      <w:r w:rsidRPr="009C5E54">
        <w:rPr>
          <w:szCs w:val="22"/>
        </w:rPr>
        <w:t xml:space="preserve"> </w:t>
      </w:r>
      <w:r>
        <w:rPr>
          <w:szCs w:val="22"/>
        </w:rPr>
        <w:t>last representative season (</w:t>
      </w:r>
      <w:r w:rsidRPr="009C5E54">
        <w:rPr>
          <w:szCs w:val="22"/>
        </w:rPr>
        <w:t>2019</w:t>
      </w:r>
      <w:r>
        <w:rPr>
          <w:lang w:val="en-US"/>
        </w:rPr>
        <w:t>–</w:t>
      </w:r>
      <w:r w:rsidRPr="009C5E54">
        <w:rPr>
          <w:szCs w:val="22"/>
        </w:rPr>
        <w:t>2020</w:t>
      </w:r>
      <w:r>
        <w:rPr>
          <w:szCs w:val="22"/>
        </w:rPr>
        <w:t>)</w:t>
      </w:r>
      <w:r w:rsidRPr="009C5E54">
        <w:rPr>
          <w:szCs w:val="22"/>
        </w:rPr>
        <w:t xml:space="preserve"> all traditional commercial seaborne tourism with landings </w:t>
      </w:r>
      <w:r>
        <w:rPr>
          <w:szCs w:val="22"/>
        </w:rPr>
        <w:t>around</w:t>
      </w:r>
      <w:r w:rsidRPr="009C5E54">
        <w:rPr>
          <w:szCs w:val="22"/>
        </w:rPr>
        <w:t xml:space="preserve"> the Peninsula </w:t>
      </w:r>
      <w:r>
        <w:rPr>
          <w:szCs w:val="22"/>
        </w:rPr>
        <w:t>was</w:t>
      </w:r>
      <w:r w:rsidRPr="009C5E54">
        <w:rPr>
          <w:szCs w:val="22"/>
        </w:rPr>
        <w:t xml:space="preserve"> conducted by IAATO Operators. </w:t>
      </w:r>
      <w:r>
        <w:rPr>
          <w:szCs w:val="22"/>
          <w:lang w:val="cy-GB"/>
        </w:rPr>
        <w:t>Whilst it is difficult to say when activities will return to pre-pandemic levels, planning and preparation for the resumption of activity and management for future growth continues as it has over the last 30 years. Table 1 shows the industry growth over the period</w:t>
      </w:r>
      <w:r w:rsidRPr="005F3E54">
        <w:rPr>
          <w:szCs w:val="22"/>
          <w:lang w:val="cy-GB"/>
        </w:rPr>
        <w:t xml:space="preserve"> 201</w:t>
      </w:r>
      <w:r>
        <w:rPr>
          <w:szCs w:val="22"/>
          <w:lang w:val="cy-GB"/>
        </w:rPr>
        <w:t>5</w:t>
      </w:r>
      <w:r>
        <w:rPr>
          <w:lang w:val="en-US"/>
        </w:rPr>
        <w:t>–</w:t>
      </w:r>
      <w:r w:rsidRPr="005F3E54">
        <w:rPr>
          <w:szCs w:val="22"/>
          <w:lang w:val="cy-GB"/>
        </w:rPr>
        <w:t>202</w:t>
      </w:r>
      <w:r>
        <w:rPr>
          <w:szCs w:val="22"/>
          <w:lang w:val="cy-GB"/>
        </w:rPr>
        <w:t>0, and potential number of passengers and voyages for 2021</w:t>
      </w:r>
      <w:r>
        <w:rPr>
          <w:lang w:val="en-US"/>
        </w:rPr>
        <w:t>–</w:t>
      </w:r>
      <w:r>
        <w:rPr>
          <w:szCs w:val="22"/>
          <w:lang w:val="cy-GB"/>
        </w:rPr>
        <w:t>22</w:t>
      </w:r>
      <w:r w:rsidRPr="005F3E54">
        <w:rPr>
          <w:szCs w:val="22"/>
          <w:lang w:val="cy-GB"/>
        </w:rPr>
        <w:t xml:space="preserve">. </w:t>
      </w:r>
    </w:p>
    <w:p w14:paraId="01A00307" w14:textId="77777777" w:rsidR="00FF1F3A" w:rsidRDefault="00FF1F3A" w:rsidP="00FF1F3A">
      <w:pPr>
        <w:pStyle w:val="Textocomentario"/>
        <w:rPr>
          <w:sz w:val="22"/>
          <w:szCs w:val="22"/>
          <w:lang w:val="cy-GB"/>
        </w:rPr>
      </w:pPr>
    </w:p>
    <w:p w14:paraId="72A0E69A" w14:textId="77777777" w:rsidR="00FF1F3A" w:rsidRDefault="00FF1F3A" w:rsidP="00FF1F3A">
      <w:pPr>
        <w:pStyle w:val="AtsNormal0"/>
        <w:jc w:val="both"/>
        <w:rPr>
          <w:szCs w:val="22"/>
          <w:lang w:val="cy-GB"/>
        </w:rPr>
      </w:pPr>
      <w:r w:rsidRPr="005F3E54">
        <w:rPr>
          <w:b/>
          <w:bCs/>
          <w:szCs w:val="22"/>
          <w:lang w:val="cy-GB"/>
        </w:rPr>
        <w:t xml:space="preserve">Table </w:t>
      </w:r>
      <w:r>
        <w:rPr>
          <w:b/>
          <w:bCs/>
          <w:szCs w:val="22"/>
          <w:lang w:val="cy-GB"/>
        </w:rPr>
        <w:t>1</w:t>
      </w:r>
      <w:r w:rsidRPr="005F3E54">
        <w:rPr>
          <w:szCs w:val="22"/>
          <w:lang w:val="cy-GB"/>
        </w:rPr>
        <w:t>: Comparison between number</w:t>
      </w:r>
      <w:r>
        <w:rPr>
          <w:szCs w:val="22"/>
          <w:lang w:val="cy-GB"/>
        </w:rPr>
        <w:t xml:space="preserve"> landed</w:t>
      </w:r>
      <w:r w:rsidRPr="005F3E54">
        <w:rPr>
          <w:szCs w:val="22"/>
          <w:lang w:val="cy-GB"/>
        </w:rPr>
        <w:t xml:space="preserve"> passengers, voyages, landings</w:t>
      </w:r>
      <w:r>
        <w:rPr>
          <w:szCs w:val="22"/>
          <w:lang w:val="cy-GB"/>
        </w:rPr>
        <w:t xml:space="preserve">, </w:t>
      </w:r>
      <w:r w:rsidRPr="005F3E54">
        <w:rPr>
          <w:szCs w:val="22"/>
          <w:lang w:val="cy-GB"/>
        </w:rPr>
        <w:t>sites</w:t>
      </w:r>
      <w:r>
        <w:rPr>
          <w:szCs w:val="22"/>
          <w:lang w:val="cy-GB"/>
        </w:rPr>
        <w:t xml:space="preserve"> and SOLAS vessels</w:t>
      </w:r>
      <w:r w:rsidRPr="005F3E54">
        <w:rPr>
          <w:szCs w:val="22"/>
          <w:lang w:val="cy-GB"/>
        </w:rPr>
        <w:t xml:space="preserve"> on the Antarctic Peninsula for the past </w:t>
      </w:r>
      <w:r>
        <w:rPr>
          <w:szCs w:val="22"/>
          <w:lang w:val="cy-GB"/>
        </w:rPr>
        <w:t>five</w:t>
      </w:r>
      <w:r w:rsidRPr="005F3E54">
        <w:rPr>
          <w:szCs w:val="22"/>
          <w:lang w:val="cy-GB"/>
        </w:rPr>
        <w:t xml:space="preserve"> years, 201</w:t>
      </w:r>
      <w:r>
        <w:rPr>
          <w:szCs w:val="22"/>
          <w:lang w:val="cy-GB"/>
        </w:rPr>
        <w:t>5</w:t>
      </w:r>
      <w:r>
        <w:rPr>
          <w:lang w:val="en-US"/>
        </w:rPr>
        <w:t>–</w:t>
      </w:r>
      <w:r w:rsidRPr="005F3E54">
        <w:rPr>
          <w:szCs w:val="22"/>
          <w:lang w:val="cy-GB"/>
        </w:rPr>
        <w:t>202</w:t>
      </w:r>
      <w:r>
        <w:rPr>
          <w:szCs w:val="22"/>
          <w:lang w:val="cy-GB"/>
        </w:rPr>
        <w:t>0, and potential number of passengers (including yachts) and voyages for 2021</w:t>
      </w:r>
      <w:r>
        <w:rPr>
          <w:lang w:val="en-US"/>
        </w:rPr>
        <w:t>–</w:t>
      </w:r>
      <w:r>
        <w:rPr>
          <w:szCs w:val="22"/>
          <w:lang w:val="cy-GB"/>
        </w:rPr>
        <w:t>22</w:t>
      </w:r>
      <w:r w:rsidRPr="005F3E54">
        <w:rPr>
          <w:szCs w:val="22"/>
          <w:lang w:val="cy-GB"/>
        </w:rPr>
        <w:t xml:space="preserve">. </w:t>
      </w:r>
    </w:p>
    <w:p w14:paraId="21BB9198" w14:textId="77777777" w:rsidR="00FF1F3A" w:rsidRDefault="00FF1F3A" w:rsidP="00FF1F3A">
      <w:pPr>
        <w:pStyle w:val="Textocomentario"/>
        <w:rPr>
          <w:sz w:val="22"/>
          <w:szCs w:val="22"/>
          <w:lang w:val="cy-GB"/>
        </w:rPr>
      </w:pPr>
      <w:r>
        <w:rPr>
          <w:szCs w:val="22"/>
          <w:lang w:val="cy-GB"/>
        </w:rPr>
        <w:t>*Based on IAATO Preliminary Estimates as of May 15, 2021</w:t>
      </w:r>
    </w:p>
    <w:tbl>
      <w:tblPr>
        <w:tblpPr w:leftFromText="180" w:rightFromText="180" w:vertAnchor="text" w:horzAnchor="margin" w:tblpY="119"/>
        <w:tblW w:w="9619" w:type="dxa"/>
        <w:tblLook w:val="04A0" w:firstRow="1" w:lastRow="0" w:firstColumn="1" w:lastColumn="0" w:noHBand="0" w:noVBand="1"/>
      </w:tblPr>
      <w:tblGrid>
        <w:gridCol w:w="1737"/>
        <w:gridCol w:w="1030"/>
        <w:gridCol w:w="1029"/>
        <w:gridCol w:w="1029"/>
        <w:gridCol w:w="1029"/>
        <w:gridCol w:w="1029"/>
        <w:gridCol w:w="1213"/>
        <w:gridCol w:w="1523"/>
      </w:tblGrid>
      <w:tr w:rsidR="00FF1F3A" w:rsidRPr="00FB6E18" w14:paraId="4583EFF6" w14:textId="77777777" w:rsidTr="00A44582">
        <w:trPr>
          <w:trHeight w:val="588"/>
        </w:trPr>
        <w:tc>
          <w:tcPr>
            <w:tcW w:w="173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CD2599" w14:textId="77777777" w:rsidR="00FF1F3A" w:rsidRPr="00FB6E18" w:rsidRDefault="00FF1F3A" w:rsidP="00A44582">
            <w:pPr>
              <w:jc w:val="center"/>
              <w:rPr>
                <w:b/>
                <w:bCs/>
                <w:color w:val="000000"/>
                <w:sz w:val="24"/>
                <w:lang w:eastAsia="en-GB"/>
              </w:rPr>
            </w:pPr>
            <w:r w:rsidRPr="00FB6E18">
              <w:rPr>
                <w:b/>
                <w:bCs/>
                <w:color w:val="000000"/>
                <w:sz w:val="24"/>
                <w:lang w:val="cy-GB" w:eastAsia="en-GB"/>
              </w:rPr>
              <w:t>Season</w:t>
            </w:r>
          </w:p>
        </w:tc>
        <w:tc>
          <w:tcPr>
            <w:tcW w:w="1030" w:type="dxa"/>
            <w:tcBorders>
              <w:top w:val="single" w:sz="8" w:space="0" w:color="auto"/>
              <w:left w:val="nil"/>
              <w:bottom w:val="single" w:sz="8" w:space="0" w:color="auto"/>
              <w:right w:val="single" w:sz="8" w:space="0" w:color="auto"/>
            </w:tcBorders>
            <w:shd w:val="clear" w:color="auto" w:fill="auto"/>
            <w:vAlign w:val="center"/>
            <w:hideMark/>
          </w:tcPr>
          <w:p w14:paraId="60282CF5" w14:textId="77777777" w:rsidR="00FF1F3A" w:rsidRPr="00FB6E18" w:rsidRDefault="00FF1F3A" w:rsidP="00A44582">
            <w:pPr>
              <w:jc w:val="center"/>
              <w:rPr>
                <w:b/>
                <w:bCs/>
                <w:color w:val="000000"/>
                <w:sz w:val="24"/>
                <w:lang w:eastAsia="en-GB"/>
              </w:rPr>
            </w:pPr>
            <w:r w:rsidRPr="00FB6E18">
              <w:rPr>
                <w:b/>
                <w:bCs/>
                <w:color w:val="000000"/>
                <w:sz w:val="24"/>
                <w:lang w:val="cy-GB" w:eastAsia="en-GB"/>
              </w:rPr>
              <w:t>2015/16</w:t>
            </w:r>
          </w:p>
        </w:tc>
        <w:tc>
          <w:tcPr>
            <w:tcW w:w="1029" w:type="dxa"/>
            <w:tcBorders>
              <w:top w:val="single" w:sz="8" w:space="0" w:color="auto"/>
              <w:left w:val="nil"/>
              <w:bottom w:val="single" w:sz="8" w:space="0" w:color="auto"/>
              <w:right w:val="single" w:sz="8" w:space="0" w:color="auto"/>
            </w:tcBorders>
            <w:shd w:val="clear" w:color="auto" w:fill="auto"/>
            <w:vAlign w:val="center"/>
            <w:hideMark/>
          </w:tcPr>
          <w:p w14:paraId="00518CB3" w14:textId="77777777" w:rsidR="00FF1F3A" w:rsidRPr="00FB6E18" w:rsidRDefault="00FF1F3A" w:rsidP="00A44582">
            <w:pPr>
              <w:jc w:val="center"/>
              <w:rPr>
                <w:b/>
                <w:bCs/>
                <w:color w:val="000000"/>
                <w:sz w:val="24"/>
                <w:lang w:eastAsia="en-GB"/>
              </w:rPr>
            </w:pPr>
            <w:r w:rsidRPr="00FB6E18">
              <w:rPr>
                <w:b/>
                <w:bCs/>
                <w:color w:val="000000"/>
                <w:sz w:val="24"/>
                <w:lang w:val="cy-GB" w:eastAsia="en-GB"/>
              </w:rPr>
              <w:t>2016/17</w:t>
            </w:r>
          </w:p>
        </w:tc>
        <w:tc>
          <w:tcPr>
            <w:tcW w:w="1029" w:type="dxa"/>
            <w:tcBorders>
              <w:top w:val="single" w:sz="8" w:space="0" w:color="auto"/>
              <w:left w:val="nil"/>
              <w:bottom w:val="single" w:sz="8" w:space="0" w:color="auto"/>
              <w:right w:val="single" w:sz="8" w:space="0" w:color="auto"/>
            </w:tcBorders>
            <w:shd w:val="clear" w:color="auto" w:fill="auto"/>
            <w:vAlign w:val="center"/>
            <w:hideMark/>
          </w:tcPr>
          <w:p w14:paraId="538F4C66" w14:textId="77777777" w:rsidR="00FF1F3A" w:rsidRPr="00FB6E18" w:rsidRDefault="00FF1F3A" w:rsidP="00A44582">
            <w:pPr>
              <w:jc w:val="center"/>
              <w:rPr>
                <w:b/>
                <w:bCs/>
                <w:color w:val="000000"/>
                <w:sz w:val="24"/>
                <w:lang w:eastAsia="en-GB"/>
              </w:rPr>
            </w:pPr>
            <w:r w:rsidRPr="00FB6E18">
              <w:rPr>
                <w:b/>
                <w:bCs/>
                <w:color w:val="000000"/>
                <w:sz w:val="24"/>
                <w:lang w:val="cy-GB" w:eastAsia="en-GB"/>
              </w:rPr>
              <w:t>2017/18</w:t>
            </w:r>
          </w:p>
        </w:tc>
        <w:tc>
          <w:tcPr>
            <w:tcW w:w="1029" w:type="dxa"/>
            <w:tcBorders>
              <w:top w:val="single" w:sz="8" w:space="0" w:color="auto"/>
              <w:left w:val="nil"/>
              <w:bottom w:val="single" w:sz="8" w:space="0" w:color="auto"/>
              <w:right w:val="single" w:sz="8" w:space="0" w:color="auto"/>
            </w:tcBorders>
            <w:shd w:val="clear" w:color="auto" w:fill="auto"/>
            <w:vAlign w:val="center"/>
            <w:hideMark/>
          </w:tcPr>
          <w:p w14:paraId="3B72C6B0" w14:textId="77777777" w:rsidR="00FF1F3A" w:rsidRPr="00FB6E18" w:rsidRDefault="00FF1F3A" w:rsidP="00A44582">
            <w:pPr>
              <w:jc w:val="center"/>
              <w:rPr>
                <w:b/>
                <w:bCs/>
                <w:color w:val="000000"/>
                <w:sz w:val="24"/>
                <w:lang w:eastAsia="en-GB"/>
              </w:rPr>
            </w:pPr>
            <w:r w:rsidRPr="00FB6E18">
              <w:rPr>
                <w:b/>
                <w:bCs/>
                <w:color w:val="000000"/>
                <w:sz w:val="24"/>
                <w:lang w:val="cy-GB" w:eastAsia="en-GB"/>
              </w:rPr>
              <w:t>2018/19</w:t>
            </w:r>
          </w:p>
        </w:tc>
        <w:tc>
          <w:tcPr>
            <w:tcW w:w="1029" w:type="dxa"/>
            <w:tcBorders>
              <w:top w:val="single" w:sz="8" w:space="0" w:color="auto"/>
              <w:left w:val="nil"/>
              <w:bottom w:val="single" w:sz="8" w:space="0" w:color="auto"/>
              <w:right w:val="single" w:sz="8" w:space="0" w:color="auto"/>
            </w:tcBorders>
            <w:shd w:val="clear" w:color="auto" w:fill="auto"/>
            <w:vAlign w:val="center"/>
            <w:hideMark/>
          </w:tcPr>
          <w:p w14:paraId="3D3D29CD" w14:textId="77777777" w:rsidR="00FF1F3A" w:rsidRPr="00FB6E18" w:rsidRDefault="00FF1F3A" w:rsidP="00A44582">
            <w:pPr>
              <w:jc w:val="center"/>
              <w:rPr>
                <w:b/>
                <w:bCs/>
                <w:color w:val="000000"/>
                <w:sz w:val="24"/>
                <w:lang w:eastAsia="en-GB"/>
              </w:rPr>
            </w:pPr>
            <w:r w:rsidRPr="00FB6E18">
              <w:rPr>
                <w:b/>
                <w:bCs/>
                <w:color w:val="000000"/>
                <w:sz w:val="24"/>
                <w:lang w:val="cy-GB" w:eastAsia="en-GB"/>
              </w:rPr>
              <w:t>2019/20</w:t>
            </w:r>
          </w:p>
        </w:tc>
        <w:tc>
          <w:tcPr>
            <w:tcW w:w="1213" w:type="dxa"/>
            <w:tcBorders>
              <w:top w:val="single" w:sz="8" w:space="0" w:color="auto"/>
              <w:left w:val="nil"/>
              <w:bottom w:val="single" w:sz="8" w:space="0" w:color="auto"/>
              <w:right w:val="single" w:sz="8" w:space="0" w:color="auto"/>
            </w:tcBorders>
            <w:shd w:val="clear" w:color="auto" w:fill="auto"/>
            <w:vAlign w:val="center"/>
            <w:hideMark/>
          </w:tcPr>
          <w:p w14:paraId="6E796B78" w14:textId="77777777" w:rsidR="00FF1F3A" w:rsidRPr="00FB6E18" w:rsidRDefault="00FF1F3A" w:rsidP="00A44582">
            <w:pPr>
              <w:jc w:val="center"/>
              <w:rPr>
                <w:b/>
                <w:bCs/>
                <w:color w:val="000000"/>
                <w:sz w:val="24"/>
                <w:lang w:eastAsia="en-GB"/>
              </w:rPr>
            </w:pPr>
            <w:r w:rsidRPr="00FB6E18">
              <w:rPr>
                <w:b/>
                <w:bCs/>
                <w:color w:val="000000"/>
                <w:sz w:val="24"/>
                <w:lang w:eastAsia="en-GB"/>
              </w:rPr>
              <w:t>2020/21</w:t>
            </w:r>
          </w:p>
        </w:tc>
        <w:tc>
          <w:tcPr>
            <w:tcW w:w="1523" w:type="dxa"/>
            <w:tcBorders>
              <w:top w:val="single" w:sz="8" w:space="0" w:color="auto"/>
              <w:left w:val="nil"/>
              <w:bottom w:val="single" w:sz="8" w:space="0" w:color="auto"/>
              <w:right w:val="single" w:sz="8" w:space="0" w:color="auto"/>
            </w:tcBorders>
            <w:vAlign w:val="center"/>
          </w:tcPr>
          <w:p w14:paraId="431CDE2B" w14:textId="77777777" w:rsidR="00FF1F3A" w:rsidRPr="00FB6E18" w:rsidRDefault="00FF1F3A" w:rsidP="00A44582">
            <w:pPr>
              <w:jc w:val="center"/>
              <w:rPr>
                <w:b/>
                <w:bCs/>
                <w:color w:val="000000"/>
                <w:sz w:val="24"/>
                <w:lang w:eastAsia="en-GB"/>
              </w:rPr>
            </w:pPr>
            <w:r w:rsidRPr="00FB6E18">
              <w:rPr>
                <w:b/>
                <w:bCs/>
                <w:color w:val="000000"/>
                <w:sz w:val="24"/>
                <w:lang w:eastAsia="en-GB"/>
              </w:rPr>
              <w:t>202</w:t>
            </w:r>
            <w:r>
              <w:rPr>
                <w:b/>
                <w:bCs/>
                <w:color w:val="000000"/>
                <w:sz w:val="24"/>
                <w:lang w:eastAsia="en-GB"/>
              </w:rPr>
              <w:t>1</w:t>
            </w:r>
            <w:r w:rsidRPr="00FB6E18">
              <w:rPr>
                <w:b/>
                <w:bCs/>
                <w:color w:val="000000"/>
                <w:sz w:val="24"/>
                <w:lang w:eastAsia="en-GB"/>
              </w:rPr>
              <w:t>/2</w:t>
            </w:r>
            <w:r>
              <w:rPr>
                <w:b/>
                <w:bCs/>
                <w:color w:val="000000"/>
                <w:sz w:val="24"/>
                <w:lang w:eastAsia="en-GB"/>
              </w:rPr>
              <w:t>2*</w:t>
            </w:r>
          </w:p>
        </w:tc>
      </w:tr>
      <w:tr w:rsidR="00FF1F3A" w:rsidRPr="00FB6E18" w14:paraId="54F6CC08" w14:textId="77777777" w:rsidTr="00A44582">
        <w:trPr>
          <w:trHeight w:val="365"/>
        </w:trPr>
        <w:tc>
          <w:tcPr>
            <w:tcW w:w="1737" w:type="dxa"/>
            <w:tcBorders>
              <w:top w:val="nil"/>
              <w:left w:val="single" w:sz="8" w:space="0" w:color="auto"/>
              <w:bottom w:val="single" w:sz="8" w:space="0" w:color="auto"/>
              <w:right w:val="single" w:sz="8" w:space="0" w:color="auto"/>
            </w:tcBorders>
            <w:shd w:val="clear" w:color="auto" w:fill="auto"/>
            <w:vAlign w:val="center"/>
            <w:hideMark/>
          </w:tcPr>
          <w:p w14:paraId="7199901F" w14:textId="77777777" w:rsidR="00FF1F3A" w:rsidRPr="00FB6E18" w:rsidRDefault="00FF1F3A" w:rsidP="00A44582">
            <w:pPr>
              <w:jc w:val="center"/>
              <w:rPr>
                <w:b/>
                <w:bCs/>
                <w:color w:val="000000"/>
                <w:sz w:val="24"/>
                <w:lang w:eastAsia="en-GB"/>
              </w:rPr>
            </w:pPr>
            <w:r w:rsidRPr="00FB6E18">
              <w:rPr>
                <w:b/>
                <w:bCs/>
                <w:color w:val="000000"/>
                <w:sz w:val="24"/>
                <w:lang w:val="cy-GB" w:eastAsia="en-GB"/>
              </w:rPr>
              <w:t>Passengers</w:t>
            </w:r>
          </w:p>
        </w:tc>
        <w:tc>
          <w:tcPr>
            <w:tcW w:w="1030" w:type="dxa"/>
            <w:tcBorders>
              <w:top w:val="nil"/>
              <w:left w:val="nil"/>
              <w:bottom w:val="single" w:sz="8" w:space="0" w:color="auto"/>
              <w:right w:val="single" w:sz="8" w:space="0" w:color="auto"/>
            </w:tcBorders>
            <w:shd w:val="clear" w:color="auto" w:fill="auto"/>
            <w:vAlign w:val="center"/>
            <w:hideMark/>
          </w:tcPr>
          <w:p w14:paraId="2B3AFAB6" w14:textId="77777777" w:rsidR="00FF1F3A" w:rsidRPr="00FB6E18" w:rsidRDefault="00FF1F3A" w:rsidP="00A44582">
            <w:pPr>
              <w:jc w:val="center"/>
              <w:rPr>
                <w:color w:val="000000"/>
                <w:sz w:val="24"/>
                <w:lang w:eastAsia="en-GB"/>
              </w:rPr>
            </w:pPr>
            <w:r w:rsidRPr="00FB6E18">
              <w:rPr>
                <w:color w:val="000000"/>
                <w:sz w:val="24"/>
                <w:lang w:val="cy-GB" w:eastAsia="en-GB"/>
              </w:rPr>
              <w:t>29493</w:t>
            </w:r>
          </w:p>
        </w:tc>
        <w:tc>
          <w:tcPr>
            <w:tcW w:w="1029" w:type="dxa"/>
            <w:tcBorders>
              <w:top w:val="nil"/>
              <w:left w:val="nil"/>
              <w:bottom w:val="single" w:sz="8" w:space="0" w:color="auto"/>
              <w:right w:val="single" w:sz="8" w:space="0" w:color="auto"/>
            </w:tcBorders>
            <w:shd w:val="clear" w:color="auto" w:fill="auto"/>
            <w:vAlign w:val="center"/>
            <w:hideMark/>
          </w:tcPr>
          <w:p w14:paraId="10B0DEED" w14:textId="77777777" w:rsidR="00FF1F3A" w:rsidRPr="00FB6E18" w:rsidRDefault="00FF1F3A" w:rsidP="00A44582">
            <w:pPr>
              <w:jc w:val="center"/>
              <w:rPr>
                <w:color w:val="000000"/>
                <w:sz w:val="24"/>
                <w:lang w:eastAsia="en-GB"/>
              </w:rPr>
            </w:pPr>
            <w:r w:rsidRPr="00FB6E18">
              <w:rPr>
                <w:color w:val="000000"/>
                <w:sz w:val="24"/>
                <w:lang w:val="cy-GB" w:eastAsia="en-GB"/>
              </w:rPr>
              <w:t>33580</w:t>
            </w:r>
          </w:p>
        </w:tc>
        <w:tc>
          <w:tcPr>
            <w:tcW w:w="1029" w:type="dxa"/>
            <w:tcBorders>
              <w:top w:val="nil"/>
              <w:left w:val="nil"/>
              <w:bottom w:val="single" w:sz="8" w:space="0" w:color="auto"/>
              <w:right w:val="single" w:sz="8" w:space="0" w:color="auto"/>
            </w:tcBorders>
            <w:shd w:val="clear" w:color="auto" w:fill="auto"/>
            <w:vAlign w:val="center"/>
            <w:hideMark/>
          </w:tcPr>
          <w:p w14:paraId="6C64F686" w14:textId="77777777" w:rsidR="00FF1F3A" w:rsidRPr="00FB6E18" w:rsidRDefault="00FF1F3A" w:rsidP="00A44582">
            <w:pPr>
              <w:jc w:val="center"/>
              <w:rPr>
                <w:color w:val="000000"/>
                <w:sz w:val="24"/>
                <w:lang w:eastAsia="en-GB"/>
              </w:rPr>
            </w:pPr>
            <w:r w:rsidRPr="00FB6E18">
              <w:rPr>
                <w:color w:val="000000"/>
                <w:sz w:val="24"/>
                <w:lang w:val="cy-GB" w:eastAsia="en-GB"/>
              </w:rPr>
              <w:t>41517</w:t>
            </w:r>
          </w:p>
        </w:tc>
        <w:tc>
          <w:tcPr>
            <w:tcW w:w="1029" w:type="dxa"/>
            <w:tcBorders>
              <w:top w:val="nil"/>
              <w:left w:val="nil"/>
              <w:bottom w:val="single" w:sz="8" w:space="0" w:color="auto"/>
              <w:right w:val="single" w:sz="8" w:space="0" w:color="auto"/>
            </w:tcBorders>
            <w:shd w:val="clear" w:color="auto" w:fill="auto"/>
            <w:vAlign w:val="center"/>
            <w:hideMark/>
          </w:tcPr>
          <w:p w14:paraId="78525701" w14:textId="77777777" w:rsidR="00FF1F3A" w:rsidRPr="00FB6E18" w:rsidRDefault="00FF1F3A" w:rsidP="00A44582">
            <w:pPr>
              <w:jc w:val="center"/>
              <w:rPr>
                <w:color w:val="000000"/>
                <w:sz w:val="24"/>
                <w:lang w:eastAsia="en-GB"/>
              </w:rPr>
            </w:pPr>
            <w:r w:rsidRPr="00FB6E18">
              <w:rPr>
                <w:color w:val="000000"/>
                <w:sz w:val="24"/>
                <w:lang w:val="cy-GB" w:eastAsia="en-GB"/>
              </w:rPr>
              <w:t>44303</w:t>
            </w:r>
          </w:p>
        </w:tc>
        <w:tc>
          <w:tcPr>
            <w:tcW w:w="1029" w:type="dxa"/>
            <w:tcBorders>
              <w:top w:val="nil"/>
              <w:left w:val="nil"/>
              <w:bottom w:val="single" w:sz="8" w:space="0" w:color="auto"/>
              <w:right w:val="single" w:sz="8" w:space="0" w:color="auto"/>
            </w:tcBorders>
            <w:shd w:val="clear" w:color="auto" w:fill="auto"/>
            <w:vAlign w:val="center"/>
            <w:hideMark/>
          </w:tcPr>
          <w:p w14:paraId="09E0C9F6" w14:textId="77777777" w:rsidR="00FF1F3A" w:rsidRPr="00FB6E18" w:rsidRDefault="00FF1F3A" w:rsidP="00A44582">
            <w:pPr>
              <w:jc w:val="center"/>
              <w:rPr>
                <w:color w:val="000000"/>
                <w:sz w:val="24"/>
                <w:lang w:eastAsia="en-GB"/>
              </w:rPr>
            </w:pPr>
            <w:r w:rsidRPr="00FB6E18">
              <w:rPr>
                <w:color w:val="000000"/>
                <w:sz w:val="24"/>
                <w:lang w:val="cy-GB" w:eastAsia="en-GB"/>
              </w:rPr>
              <w:t>54485</w:t>
            </w:r>
          </w:p>
        </w:tc>
        <w:tc>
          <w:tcPr>
            <w:tcW w:w="1213" w:type="dxa"/>
            <w:tcBorders>
              <w:top w:val="nil"/>
              <w:left w:val="nil"/>
              <w:bottom w:val="single" w:sz="8" w:space="0" w:color="auto"/>
              <w:right w:val="single" w:sz="8" w:space="0" w:color="auto"/>
            </w:tcBorders>
            <w:shd w:val="clear" w:color="auto" w:fill="auto"/>
            <w:noWrap/>
            <w:vAlign w:val="bottom"/>
            <w:hideMark/>
          </w:tcPr>
          <w:p w14:paraId="0FB09AF1" w14:textId="77777777" w:rsidR="00FF1F3A" w:rsidRPr="00FB6E18" w:rsidRDefault="00FF1F3A" w:rsidP="00A44582">
            <w:pPr>
              <w:jc w:val="center"/>
              <w:rPr>
                <w:rFonts w:ascii="Calibri" w:hAnsi="Calibri" w:cs="Calibri"/>
                <w:color w:val="000000"/>
                <w:sz w:val="24"/>
                <w:lang w:eastAsia="en-GB"/>
              </w:rPr>
            </w:pPr>
            <w:r>
              <w:rPr>
                <w:rFonts w:ascii="Calibri" w:hAnsi="Calibri" w:cs="Calibri"/>
                <w:color w:val="000000"/>
              </w:rPr>
              <w:t>15</w:t>
            </w:r>
          </w:p>
        </w:tc>
        <w:tc>
          <w:tcPr>
            <w:tcW w:w="1523" w:type="dxa"/>
            <w:tcBorders>
              <w:top w:val="single" w:sz="8" w:space="0" w:color="auto"/>
              <w:left w:val="nil"/>
              <w:bottom w:val="single" w:sz="8" w:space="0" w:color="auto"/>
              <w:right w:val="single" w:sz="8" w:space="0" w:color="auto"/>
            </w:tcBorders>
            <w:vAlign w:val="bottom"/>
          </w:tcPr>
          <w:p w14:paraId="0534C85A" w14:textId="77777777" w:rsidR="00FF1F3A" w:rsidRDefault="00FF1F3A" w:rsidP="00A44582">
            <w:pPr>
              <w:jc w:val="center"/>
              <w:rPr>
                <w:rFonts w:ascii="Calibri" w:hAnsi="Calibri" w:cs="Calibri"/>
                <w:color w:val="000000"/>
              </w:rPr>
            </w:pPr>
            <w:r>
              <w:rPr>
                <w:rFonts w:ascii="Calibri" w:hAnsi="Calibri" w:cs="Calibri"/>
                <w:color w:val="000000"/>
              </w:rPr>
              <w:t>51678</w:t>
            </w:r>
          </w:p>
        </w:tc>
      </w:tr>
      <w:tr w:rsidR="00FF1F3A" w:rsidRPr="00FB6E18" w14:paraId="476D8B84" w14:textId="77777777" w:rsidTr="00A44582">
        <w:trPr>
          <w:trHeight w:val="365"/>
        </w:trPr>
        <w:tc>
          <w:tcPr>
            <w:tcW w:w="1737" w:type="dxa"/>
            <w:tcBorders>
              <w:top w:val="nil"/>
              <w:left w:val="single" w:sz="8" w:space="0" w:color="auto"/>
              <w:bottom w:val="single" w:sz="8" w:space="0" w:color="auto"/>
              <w:right w:val="single" w:sz="8" w:space="0" w:color="auto"/>
            </w:tcBorders>
            <w:shd w:val="clear" w:color="auto" w:fill="auto"/>
            <w:vAlign w:val="center"/>
            <w:hideMark/>
          </w:tcPr>
          <w:p w14:paraId="1AFE369C" w14:textId="77777777" w:rsidR="00FF1F3A" w:rsidRPr="00FB6E18" w:rsidRDefault="00FF1F3A" w:rsidP="00A44582">
            <w:pPr>
              <w:jc w:val="center"/>
              <w:rPr>
                <w:b/>
                <w:bCs/>
                <w:color w:val="000000"/>
                <w:sz w:val="24"/>
                <w:lang w:eastAsia="en-GB"/>
              </w:rPr>
            </w:pPr>
            <w:r w:rsidRPr="00FB6E18">
              <w:rPr>
                <w:b/>
                <w:bCs/>
                <w:color w:val="000000"/>
                <w:sz w:val="24"/>
                <w:lang w:val="cy-GB" w:eastAsia="en-GB"/>
              </w:rPr>
              <w:t>Voyages</w:t>
            </w:r>
          </w:p>
        </w:tc>
        <w:tc>
          <w:tcPr>
            <w:tcW w:w="1030" w:type="dxa"/>
            <w:tcBorders>
              <w:top w:val="nil"/>
              <w:left w:val="nil"/>
              <w:bottom w:val="single" w:sz="8" w:space="0" w:color="auto"/>
              <w:right w:val="single" w:sz="8" w:space="0" w:color="auto"/>
            </w:tcBorders>
            <w:shd w:val="clear" w:color="auto" w:fill="auto"/>
            <w:vAlign w:val="center"/>
            <w:hideMark/>
          </w:tcPr>
          <w:p w14:paraId="2581C123" w14:textId="77777777" w:rsidR="00FF1F3A" w:rsidRPr="00FB6E18" w:rsidRDefault="00FF1F3A" w:rsidP="00A44582">
            <w:pPr>
              <w:jc w:val="center"/>
              <w:rPr>
                <w:color w:val="000000"/>
                <w:sz w:val="24"/>
                <w:lang w:eastAsia="en-GB"/>
              </w:rPr>
            </w:pPr>
            <w:r w:rsidRPr="00FB6E18">
              <w:rPr>
                <w:color w:val="000000"/>
                <w:sz w:val="24"/>
                <w:lang w:val="cy-GB" w:eastAsia="en-GB"/>
              </w:rPr>
              <w:t>236</w:t>
            </w:r>
          </w:p>
        </w:tc>
        <w:tc>
          <w:tcPr>
            <w:tcW w:w="1029" w:type="dxa"/>
            <w:tcBorders>
              <w:top w:val="nil"/>
              <w:left w:val="nil"/>
              <w:bottom w:val="single" w:sz="8" w:space="0" w:color="auto"/>
              <w:right w:val="single" w:sz="8" w:space="0" w:color="auto"/>
            </w:tcBorders>
            <w:shd w:val="clear" w:color="auto" w:fill="auto"/>
            <w:vAlign w:val="center"/>
            <w:hideMark/>
          </w:tcPr>
          <w:p w14:paraId="7DDB139C" w14:textId="77777777" w:rsidR="00FF1F3A" w:rsidRPr="00FB6E18" w:rsidRDefault="00FF1F3A" w:rsidP="00A44582">
            <w:pPr>
              <w:jc w:val="center"/>
              <w:rPr>
                <w:color w:val="000000"/>
                <w:sz w:val="24"/>
                <w:lang w:eastAsia="en-GB"/>
              </w:rPr>
            </w:pPr>
            <w:r w:rsidRPr="00FB6E18">
              <w:rPr>
                <w:color w:val="000000"/>
                <w:sz w:val="24"/>
                <w:lang w:val="cy-GB" w:eastAsia="en-GB"/>
              </w:rPr>
              <w:t>253</w:t>
            </w:r>
          </w:p>
        </w:tc>
        <w:tc>
          <w:tcPr>
            <w:tcW w:w="1029" w:type="dxa"/>
            <w:tcBorders>
              <w:top w:val="nil"/>
              <w:left w:val="nil"/>
              <w:bottom w:val="single" w:sz="8" w:space="0" w:color="auto"/>
              <w:right w:val="single" w:sz="8" w:space="0" w:color="auto"/>
            </w:tcBorders>
            <w:shd w:val="clear" w:color="auto" w:fill="auto"/>
            <w:vAlign w:val="center"/>
            <w:hideMark/>
          </w:tcPr>
          <w:p w14:paraId="588C34D7" w14:textId="77777777" w:rsidR="00FF1F3A" w:rsidRPr="00FB6E18" w:rsidRDefault="00FF1F3A" w:rsidP="00A44582">
            <w:pPr>
              <w:jc w:val="center"/>
              <w:rPr>
                <w:color w:val="000000"/>
                <w:sz w:val="24"/>
                <w:lang w:eastAsia="en-GB"/>
              </w:rPr>
            </w:pPr>
            <w:r w:rsidRPr="00FB6E18">
              <w:rPr>
                <w:color w:val="000000"/>
                <w:sz w:val="24"/>
                <w:lang w:val="cy-GB" w:eastAsia="en-GB"/>
              </w:rPr>
              <w:t>293</w:t>
            </w:r>
          </w:p>
        </w:tc>
        <w:tc>
          <w:tcPr>
            <w:tcW w:w="1029" w:type="dxa"/>
            <w:tcBorders>
              <w:top w:val="nil"/>
              <w:left w:val="nil"/>
              <w:bottom w:val="single" w:sz="8" w:space="0" w:color="auto"/>
              <w:right w:val="single" w:sz="8" w:space="0" w:color="auto"/>
            </w:tcBorders>
            <w:shd w:val="clear" w:color="auto" w:fill="auto"/>
            <w:vAlign w:val="center"/>
            <w:hideMark/>
          </w:tcPr>
          <w:p w14:paraId="15D40EF9" w14:textId="77777777" w:rsidR="00FF1F3A" w:rsidRPr="00FB6E18" w:rsidRDefault="00FF1F3A" w:rsidP="00A44582">
            <w:pPr>
              <w:jc w:val="center"/>
              <w:rPr>
                <w:color w:val="000000"/>
                <w:sz w:val="24"/>
                <w:lang w:eastAsia="en-GB"/>
              </w:rPr>
            </w:pPr>
            <w:r w:rsidRPr="00FB6E18">
              <w:rPr>
                <w:color w:val="000000"/>
                <w:sz w:val="24"/>
                <w:lang w:val="cy-GB" w:eastAsia="en-GB"/>
              </w:rPr>
              <w:t>324</w:t>
            </w:r>
          </w:p>
        </w:tc>
        <w:tc>
          <w:tcPr>
            <w:tcW w:w="1029" w:type="dxa"/>
            <w:tcBorders>
              <w:top w:val="nil"/>
              <w:left w:val="nil"/>
              <w:bottom w:val="single" w:sz="8" w:space="0" w:color="auto"/>
              <w:right w:val="single" w:sz="8" w:space="0" w:color="auto"/>
            </w:tcBorders>
            <w:shd w:val="clear" w:color="auto" w:fill="auto"/>
            <w:vAlign w:val="center"/>
            <w:hideMark/>
          </w:tcPr>
          <w:p w14:paraId="034F2B65" w14:textId="77777777" w:rsidR="00FF1F3A" w:rsidRPr="00FB6E18" w:rsidRDefault="00FF1F3A" w:rsidP="00A44582">
            <w:pPr>
              <w:jc w:val="center"/>
              <w:rPr>
                <w:color w:val="000000"/>
                <w:sz w:val="24"/>
                <w:lang w:eastAsia="en-GB"/>
              </w:rPr>
            </w:pPr>
            <w:r w:rsidRPr="00FB6E18">
              <w:rPr>
                <w:color w:val="000000"/>
                <w:sz w:val="24"/>
                <w:lang w:val="cy-GB" w:eastAsia="en-GB"/>
              </w:rPr>
              <w:t>367</w:t>
            </w:r>
          </w:p>
        </w:tc>
        <w:tc>
          <w:tcPr>
            <w:tcW w:w="1213" w:type="dxa"/>
            <w:tcBorders>
              <w:top w:val="nil"/>
              <w:left w:val="nil"/>
              <w:bottom w:val="single" w:sz="8" w:space="0" w:color="auto"/>
              <w:right w:val="single" w:sz="8" w:space="0" w:color="auto"/>
            </w:tcBorders>
            <w:shd w:val="clear" w:color="auto" w:fill="auto"/>
            <w:noWrap/>
            <w:vAlign w:val="bottom"/>
            <w:hideMark/>
          </w:tcPr>
          <w:p w14:paraId="0F40795E" w14:textId="77777777" w:rsidR="00FF1F3A" w:rsidRPr="00FB6E18" w:rsidRDefault="00FF1F3A" w:rsidP="00A44582">
            <w:pPr>
              <w:jc w:val="center"/>
              <w:rPr>
                <w:rFonts w:ascii="Calibri" w:hAnsi="Calibri" w:cs="Calibri"/>
                <w:color w:val="000000"/>
                <w:sz w:val="24"/>
                <w:lang w:eastAsia="en-GB"/>
              </w:rPr>
            </w:pPr>
            <w:r>
              <w:rPr>
                <w:rFonts w:ascii="Calibri" w:hAnsi="Calibri" w:cs="Calibri"/>
                <w:color w:val="000000"/>
              </w:rPr>
              <w:t>2</w:t>
            </w:r>
          </w:p>
        </w:tc>
        <w:tc>
          <w:tcPr>
            <w:tcW w:w="1523" w:type="dxa"/>
            <w:tcBorders>
              <w:top w:val="single" w:sz="8" w:space="0" w:color="auto"/>
              <w:left w:val="nil"/>
              <w:bottom w:val="single" w:sz="8" w:space="0" w:color="auto"/>
              <w:right w:val="single" w:sz="8" w:space="0" w:color="auto"/>
            </w:tcBorders>
            <w:vAlign w:val="bottom"/>
          </w:tcPr>
          <w:p w14:paraId="377CBD0E" w14:textId="77777777" w:rsidR="00FF1F3A" w:rsidRDefault="00FF1F3A" w:rsidP="00A44582">
            <w:pPr>
              <w:jc w:val="center"/>
              <w:rPr>
                <w:rFonts w:ascii="Calibri" w:hAnsi="Calibri" w:cs="Calibri"/>
                <w:color w:val="000000"/>
              </w:rPr>
            </w:pPr>
            <w:r>
              <w:rPr>
                <w:rFonts w:ascii="Calibri" w:hAnsi="Calibri" w:cs="Calibri"/>
                <w:color w:val="000000"/>
              </w:rPr>
              <w:t>429</w:t>
            </w:r>
          </w:p>
        </w:tc>
      </w:tr>
      <w:tr w:rsidR="00FF1F3A" w:rsidRPr="00FB6E18" w14:paraId="28858631" w14:textId="77777777" w:rsidTr="00A44582">
        <w:trPr>
          <w:trHeight w:val="365"/>
        </w:trPr>
        <w:tc>
          <w:tcPr>
            <w:tcW w:w="1737" w:type="dxa"/>
            <w:tcBorders>
              <w:top w:val="nil"/>
              <w:left w:val="single" w:sz="8" w:space="0" w:color="auto"/>
              <w:bottom w:val="single" w:sz="8" w:space="0" w:color="auto"/>
              <w:right w:val="single" w:sz="8" w:space="0" w:color="auto"/>
            </w:tcBorders>
            <w:shd w:val="clear" w:color="auto" w:fill="auto"/>
            <w:vAlign w:val="center"/>
            <w:hideMark/>
          </w:tcPr>
          <w:p w14:paraId="508E2117" w14:textId="77777777" w:rsidR="00FF1F3A" w:rsidRPr="00FB6E18" w:rsidRDefault="00FF1F3A" w:rsidP="00A44582">
            <w:pPr>
              <w:jc w:val="center"/>
              <w:rPr>
                <w:b/>
                <w:bCs/>
                <w:color w:val="000000"/>
                <w:sz w:val="24"/>
                <w:lang w:eastAsia="en-GB"/>
              </w:rPr>
            </w:pPr>
            <w:r w:rsidRPr="00FB6E18">
              <w:rPr>
                <w:b/>
                <w:bCs/>
                <w:color w:val="000000"/>
                <w:sz w:val="24"/>
                <w:lang w:val="cy-GB" w:eastAsia="en-GB"/>
              </w:rPr>
              <w:t>Landings</w:t>
            </w:r>
          </w:p>
        </w:tc>
        <w:tc>
          <w:tcPr>
            <w:tcW w:w="1030" w:type="dxa"/>
            <w:tcBorders>
              <w:top w:val="nil"/>
              <w:left w:val="nil"/>
              <w:bottom w:val="single" w:sz="8" w:space="0" w:color="auto"/>
              <w:right w:val="single" w:sz="8" w:space="0" w:color="auto"/>
            </w:tcBorders>
            <w:shd w:val="clear" w:color="auto" w:fill="auto"/>
            <w:vAlign w:val="center"/>
            <w:hideMark/>
          </w:tcPr>
          <w:p w14:paraId="77985CE6" w14:textId="77777777" w:rsidR="00FF1F3A" w:rsidRPr="00FB6E18" w:rsidRDefault="00FF1F3A" w:rsidP="00A44582">
            <w:pPr>
              <w:jc w:val="center"/>
              <w:rPr>
                <w:color w:val="000000"/>
                <w:sz w:val="24"/>
                <w:lang w:eastAsia="en-GB"/>
              </w:rPr>
            </w:pPr>
            <w:r w:rsidRPr="00FB6E18">
              <w:rPr>
                <w:color w:val="000000"/>
                <w:sz w:val="24"/>
                <w:lang w:val="cy-GB" w:eastAsia="en-GB"/>
              </w:rPr>
              <w:t>2206</w:t>
            </w:r>
          </w:p>
        </w:tc>
        <w:tc>
          <w:tcPr>
            <w:tcW w:w="1029" w:type="dxa"/>
            <w:tcBorders>
              <w:top w:val="nil"/>
              <w:left w:val="nil"/>
              <w:bottom w:val="single" w:sz="8" w:space="0" w:color="auto"/>
              <w:right w:val="single" w:sz="8" w:space="0" w:color="auto"/>
            </w:tcBorders>
            <w:shd w:val="clear" w:color="auto" w:fill="auto"/>
            <w:vAlign w:val="center"/>
            <w:hideMark/>
          </w:tcPr>
          <w:p w14:paraId="2B30D2D3" w14:textId="77777777" w:rsidR="00FF1F3A" w:rsidRPr="00FB6E18" w:rsidRDefault="00FF1F3A" w:rsidP="00A44582">
            <w:pPr>
              <w:jc w:val="center"/>
              <w:rPr>
                <w:color w:val="000000"/>
                <w:sz w:val="24"/>
                <w:lang w:eastAsia="en-GB"/>
              </w:rPr>
            </w:pPr>
            <w:r w:rsidRPr="00FB6E18">
              <w:rPr>
                <w:color w:val="000000"/>
                <w:sz w:val="24"/>
                <w:lang w:val="cy-GB" w:eastAsia="en-GB"/>
              </w:rPr>
              <w:t>2427</w:t>
            </w:r>
          </w:p>
        </w:tc>
        <w:tc>
          <w:tcPr>
            <w:tcW w:w="1029" w:type="dxa"/>
            <w:tcBorders>
              <w:top w:val="nil"/>
              <w:left w:val="nil"/>
              <w:bottom w:val="single" w:sz="8" w:space="0" w:color="auto"/>
              <w:right w:val="single" w:sz="8" w:space="0" w:color="auto"/>
            </w:tcBorders>
            <w:shd w:val="clear" w:color="auto" w:fill="auto"/>
            <w:vAlign w:val="center"/>
            <w:hideMark/>
          </w:tcPr>
          <w:p w14:paraId="0B14B874" w14:textId="77777777" w:rsidR="00FF1F3A" w:rsidRPr="00FB6E18" w:rsidRDefault="00FF1F3A" w:rsidP="00A44582">
            <w:pPr>
              <w:jc w:val="center"/>
              <w:rPr>
                <w:color w:val="000000"/>
                <w:sz w:val="24"/>
                <w:lang w:eastAsia="en-GB"/>
              </w:rPr>
            </w:pPr>
            <w:r w:rsidRPr="00FB6E18">
              <w:rPr>
                <w:color w:val="000000"/>
                <w:sz w:val="24"/>
                <w:lang w:val="cy-GB" w:eastAsia="en-GB"/>
              </w:rPr>
              <w:t>2679</w:t>
            </w:r>
          </w:p>
        </w:tc>
        <w:tc>
          <w:tcPr>
            <w:tcW w:w="1029" w:type="dxa"/>
            <w:tcBorders>
              <w:top w:val="nil"/>
              <w:left w:val="nil"/>
              <w:bottom w:val="single" w:sz="8" w:space="0" w:color="auto"/>
              <w:right w:val="single" w:sz="8" w:space="0" w:color="auto"/>
            </w:tcBorders>
            <w:shd w:val="clear" w:color="auto" w:fill="auto"/>
            <w:vAlign w:val="center"/>
            <w:hideMark/>
          </w:tcPr>
          <w:p w14:paraId="34F4FEC7" w14:textId="77777777" w:rsidR="00FF1F3A" w:rsidRPr="00FB6E18" w:rsidRDefault="00FF1F3A" w:rsidP="00A44582">
            <w:pPr>
              <w:jc w:val="center"/>
              <w:rPr>
                <w:color w:val="000000"/>
                <w:sz w:val="24"/>
                <w:lang w:eastAsia="en-GB"/>
              </w:rPr>
            </w:pPr>
            <w:r w:rsidRPr="00FB6E18">
              <w:rPr>
                <w:color w:val="000000"/>
                <w:sz w:val="24"/>
                <w:lang w:val="cy-GB" w:eastAsia="en-GB"/>
              </w:rPr>
              <w:t>2717</w:t>
            </w:r>
          </w:p>
        </w:tc>
        <w:tc>
          <w:tcPr>
            <w:tcW w:w="1029" w:type="dxa"/>
            <w:tcBorders>
              <w:top w:val="nil"/>
              <w:left w:val="nil"/>
              <w:bottom w:val="single" w:sz="8" w:space="0" w:color="auto"/>
              <w:right w:val="single" w:sz="8" w:space="0" w:color="auto"/>
            </w:tcBorders>
            <w:shd w:val="clear" w:color="auto" w:fill="auto"/>
            <w:vAlign w:val="center"/>
            <w:hideMark/>
          </w:tcPr>
          <w:p w14:paraId="35DEDA75" w14:textId="77777777" w:rsidR="00FF1F3A" w:rsidRPr="00FB6E18" w:rsidRDefault="00FF1F3A" w:rsidP="00A44582">
            <w:pPr>
              <w:jc w:val="center"/>
              <w:rPr>
                <w:color w:val="000000"/>
                <w:sz w:val="24"/>
                <w:lang w:eastAsia="en-GB"/>
              </w:rPr>
            </w:pPr>
            <w:r w:rsidRPr="00FB6E18">
              <w:rPr>
                <w:color w:val="000000"/>
                <w:sz w:val="24"/>
                <w:lang w:val="cy-GB" w:eastAsia="en-GB"/>
              </w:rPr>
              <w:t>3223</w:t>
            </w:r>
          </w:p>
        </w:tc>
        <w:tc>
          <w:tcPr>
            <w:tcW w:w="1213" w:type="dxa"/>
            <w:tcBorders>
              <w:top w:val="nil"/>
              <w:left w:val="nil"/>
              <w:bottom w:val="single" w:sz="8" w:space="0" w:color="auto"/>
              <w:right w:val="single" w:sz="8" w:space="0" w:color="auto"/>
            </w:tcBorders>
            <w:shd w:val="clear" w:color="auto" w:fill="auto"/>
            <w:noWrap/>
            <w:vAlign w:val="bottom"/>
            <w:hideMark/>
          </w:tcPr>
          <w:p w14:paraId="416F7CE4" w14:textId="77777777" w:rsidR="00FF1F3A" w:rsidRPr="00FB6E18" w:rsidRDefault="00FF1F3A" w:rsidP="00A44582">
            <w:pPr>
              <w:jc w:val="center"/>
              <w:rPr>
                <w:rFonts w:ascii="Calibri" w:hAnsi="Calibri" w:cs="Calibri"/>
                <w:color w:val="000000"/>
                <w:sz w:val="24"/>
                <w:lang w:eastAsia="en-GB"/>
              </w:rPr>
            </w:pPr>
            <w:r>
              <w:rPr>
                <w:rFonts w:ascii="Calibri" w:hAnsi="Calibri" w:cs="Calibri"/>
                <w:color w:val="000000"/>
              </w:rPr>
              <w:t>0</w:t>
            </w:r>
          </w:p>
        </w:tc>
        <w:tc>
          <w:tcPr>
            <w:tcW w:w="1523" w:type="dxa"/>
            <w:tcBorders>
              <w:top w:val="single" w:sz="8" w:space="0" w:color="auto"/>
              <w:left w:val="nil"/>
              <w:bottom w:val="single" w:sz="8" w:space="0" w:color="auto"/>
              <w:right w:val="single" w:sz="8" w:space="0" w:color="auto"/>
            </w:tcBorders>
            <w:vAlign w:val="bottom"/>
          </w:tcPr>
          <w:p w14:paraId="6D170E1E" w14:textId="77777777" w:rsidR="00FF1F3A" w:rsidRDefault="00FF1F3A" w:rsidP="00A44582">
            <w:pPr>
              <w:jc w:val="center"/>
              <w:rPr>
                <w:rFonts w:ascii="Calibri" w:hAnsi="Calibri" w:cs="Calibri"/>
                <w:color w:val="000000"/>
              </w:rPr>
            </w:pPr>
          </w:p>
        </w:tc>
      </w:tr>
      <w:tr w:rsidR="00FF1F3A" w:rsidRPr="00FB6E18" w14:paraId="70EDEFF7" w14:textId="77777777" w:rsidTr="00A44582">
        <w:trPr>
          <w:trHeight w:val="365"/>
        </w:trPr>
        <w:tc>
          <w:tcPr>
            <w:tcW w:w="1737" w:type="dxa"/>
            <w:tcBorders>
              <w:top w:val="nil"/>
              <w:left w:val="single" w:sz="8" w:space="0" w:color="auto"/>
              <w:bottom w:val="single" w:sz="4" w:space="0" w:color="auto"/>
              <w:right w:val="single" w:sz="8" w:space="0" w:color="auto"/>
            </w:tcBorders>
            <w:shd w:val="clear" w:color="auto" w:fill="auto"/>
            <w:vAlign w:val="center"/>
            <w:hideMark/>
          </w:tcPr>
          <w:p w14:paraId="2579D1DB" w14:textId="77777777" w:rsidR="00FF1F3A" w:rsidRPr="00FB6E18" w:rsidRDefault="00FF1F3A" w:rsidP="00A44582">
            <w:pPr>
              <w:jc w:val="center"/>
              <w:rPr>
                <w:b/>
                <w:bCs/>
                <w:color w:val="000000"/>
                <w:sz w:val="24"/>
                <w:lang w:eastAsia="en-GB"/>
              </w:rPr>
            </w:pPr>
            <w:r w:rsidRPr="00FB6E18">
              <w:rPr>
                <w:b/>
                <w:bCs/>
                <w:color w:val="000000"/>
                <w:sz w:val="24"/>
                <w:lang w:val="cy-GB" w:eastAsia="en-GB"/>
              </w:rPr>
              <w:t>Sites</w:t>
            </w:r>
          </w:p>
        </w:tc>
        <w:tc>
          <w:tcPr>
            <w:tcW w:w="1030" w:type="dxa"/>
            <w:tcBorders>
              <w:top w:val="nil"/>
              <w:left w:val="nil"/>
              <w:bottom w:val="single" w:sz="4" w:space="0" w:color="auto"/>
              <w:right w:val="single" w:sz="8" w:space="0" w:color="auto"/>
            </w:tcBorders>
            <w:shd w:val="clear" w:color="auto" w:fill="auto"/>
            <w:vAlign w:val="center"/>
            <w:hideMark/>
          </w:tcPr>
          <w:p w14:paraId="4D74800C" w14:textId="77777777" w:rsidR="00FF1F3A" w:rsidRPr="00FB6E18" w:rsidRDefault="00FF1F3A" w:rsidP="00A44582">
            <w:pPr>
              <w:jc w:val="center"/>
              <w:rPr>
                <w:color w:val="000000"/>
                <w:sz w:val="24"/>
                <w:lang w:eastAsia="en-GB"/>
              </w:rPr>
            </w:pPr>
            <w:r w:rsidRPr="00FB6E18">
              <w:rPr>
                <w:color w:val="000000"/>
                <w:sz w:val="24"/>
                <w:lang w:val="cy-GB" w:eastAsia="en-GB"/>
              </w:rPr>
              <w:t>125</w:t>
            </w:r>
          </w:p>
        </w:tc>
        <w:tc>
          <w:tcPr>
            <w:tcW w:w="1029" w:type="dxa"/>
            <w:tcBorders>
              <w:top w:val="nil"/>
              <w:left w:val="nil"/>
              <w:bottom w:val="single" w:sz="4" w:space="0" w:color="auto"/>
              <w:right w:val="single" w:sz="8" w:space="0" w:color="auto"/>
            </w:tcBorders>
            <w:shd w:val="clear" w:color="auto" w:fill="auto"/>
            <w:vAlign w:val="center"/>
            <w:hideMark/>
          </w:tcPr>
          <w:p w14:paraId="09611CC3" w14:textId="77777777" w:rsidR="00FF1F3A" w:rsidRPr="00FB6E18" w:rsidRDefault="00FF1F3A" w:rsidP="00A44582">
            <w:pPr>
              <w:jc w:val="center"/>
              <w:rPr>
                <w:color w:val="000000"/>
                <w:sz w:val="24"/>
                <w:lang w:eastAsia="en-GB"/>
              </w:rPr>
            </w:pPr>
            <w:r w:rsidRPr="00FB6E18">
              <w:rPr>
                <w:color w:val="000000"/>
                <w:sz w:val="24"/>
                <w:lang w:val="cy-GB" w:eastAsia="en-GB"/>
              </w:rPr>
              <w:t>111</w:t>
            </w:r>
          </w:p>
        </w:tc>
        <w:tc>
          <w:tcPr>
            <w:tcW w:w="1029" w:type="dxa"/>
            <w:tcBorders>
              <w:top w:val="nil"/>
              <w:left w:val="nil"/>
              <w:bottom w:val="single" w:sz="4" w:space="0" w:color="auto"/>
              <w:right w:val="single" w:sz="8" w:space="0" w:color="auto"/>
            </w:tcBorders>
            <w:shd w:val="clear" w:color="auto" w:fill="auto"/>
            <w:vAlign w:val="center"/>
            <w:hideMark/>
          </w:tcPr>
          <w:p w14:paraId="6D99147E" w14:textId="77777777" w:rsidR="00FF1F3A" w:rsidRPr="00FB6E18" w:rsidRDefault="00FF1F3A" w:rsidP="00A44582">
            <w:pPr>
              <w:jc w:val="center"/>
              <w:rPr>
                <w:color w:val="000000"/>
                <w:sz w:val="24"/>
                <w:lang w:eastAsia="en-GB"/>
              </w:rPr>
            </w:pPr>
            <w:r w:rsidRPr="00FB6E18">
              <w:rPr>
                <w:color w:val="000000"/>
                <w:sz w:val="24"/>
                <w:lang w:val="cy-GB" w:eastAsia="en-GB"/>
              </w:rPr>
              <w:t>166</w:t>
            </w:r>
          </w:p>
        </w:tc>
        <w:tc>
          <w:tcPr>
            <w:tcW w:w="1029" w:type="dxa"/>
            <w:tcBorders>
              <w:top w:val="nil"/>
              <w:left w:val="nil"/>
              <w:bottom w:val="single" w:sz="4" w:space="0" w:color="auto"/>
              <w:right w:val="single" w:sz="8" w:space="0" w:color="auto"/>
            </w:tcBorders>
            <w:shd w:val="clear" w:color="auto" w:fill="auto"/>
            <w:vAlign w:val="center"/>
            <w:hideMark/>
          </w:tcPr>
          <w:p w14:paraId="24B413B2" w14:textId="77777777" w:rsidR="00FF1F3A" w:rsidRPr="00FB6E18" w:rsidRDefault="00FF1F3A" w:rsidP="00A44582">
            <w:pPr>
              <w:jc w:val="center"/>
              <w:rPr>
                <w:color w:val="000000"/>
                <w:sz w:val="24"/>
                <w:lang w:eastAsia="en-GB"/>
              </w:rPr>
            </w:pPr>
            <w:r w:rsidRPr="00FB6E18">
              <w:rPr>
                <w:color w:val="000000"/>
                <w:sz w:val="24"/>
                <w:lang w:val="cy-GB" w:eastAsia="en-GB"/>
              </w:rPr>
              <w:t>187</w:t>
            </w:r>
          </w:p>
        </w:tc>
        <w:tc>
          <w:tcPr>
            <w:tcW w:w="1029" w:type="dxa"/>
            <w:tcBorders>
              <w:top w:val="nil"/>
              <w:left w:val="nil"/>
              <w:bottom w:val="single" w:sz="4" w:space="0" w:color="auto"/>
              <w:right w:val="single" w:sz="8" w:space="0" w:color="auto"/>
            </w:tcBorders>
            <w:shd w:val="clear" w:color="auto" w:fill="auto"/>
            <w:vAlign w:val="center"/>
            <w:hideMark/>
          </w:tcPr>
          <w:p w14:paraId="2B645920" w14:textId="77777777" w:rsidR="00FF1F3A" w:rsidRPr="00FB6E18" w:rsidRDefault="00FF1F3A" w:rsidP="00A44582">
            <w:pPr>
              <w:jc w:val="center"/>
              <w:rPr>
                <w:color w:val="000000"/>
                <w:sz w:val="24"/>
                <w:lang w:eastAsia="en-GB"/>
              </w:rPr>
            </w:pPr>
            <w:r w:rsidRPr="00FB6E18">
              <w:rPr>
                <w:color w:val="000000"/>
                <w:sz w:val="24"/>
                <w:lang w:val="cy-GB" w:eastAsia="en-GB"/>
              </w:rPr>
              <w:t>215</w:t>
            </w:r>
          </w:p>
        </w:tc>
        <w:tc>
          <w:tcPr>
            <w:tcW w:w="1213" w:type="dxa"/>
            <w:tcBorders>
              <w:top w:val="nil"/>
              <w:left w:val="nil"/>
              <w:bottom w:val="single" w:sz="4" w:space="0" w:color="auto"/>
              <w:right w:val="single" w:sz="8" w:space="0" w:color="auto"/>
            </w:tcBorders>
            <w:shd w:val="clear" w:color="auto" w:fill="auto"/>
            <w:noWrap/>
            <w:vAlign w:val="bottom"/>
            <w:hideMark/>
          </w:tcPr>
          <w:p w14:paraId="43BBE2B6" w14:textId="77777777" w:rsidR="00FF1F3A" w:rsidRPr="00FB6E18" w:rsidRDefault="00FF1F3A" w:rsidP="00A44582">
            <w:pPr>
              <w:jc w:val="center"/>
              <w:rPr>
                <w:rFonts w:ascii="Calibri" w:hAnsi="Calibri" w:cs="Calibri"/>
                <w:color w:val="000000"/>
                <w:sz w:val="24"/>
                <w:lang w:eastAsia="en-GB"/>
              </w:rPr>
            </w:pPr>
            <w:r>
              <w:rPr>
                <w:rFonts w:ascii="Calibri" w:hAnsi="Calibri" w:cs="Calibri"/>
                <w:color w:val="000000"/>
              </w:rPr>
              <w:t>0</w:t>
            </w:r>
          </w:p>
        </w:tc>
        <w:tc>
          <w:tcPr>
            <w:tcW w:w="1523" w:type="dxa"/>
            <w:tcBorders>
              <w:top w:val="single" w:sz="8" w:space="0" w:color="auto"/>
              <w:left w:val="nil"/>
              <w:bottom w:val="single" w:sz="4" w:space="0" w:color="auto"/>
              <w:right w:val="single" w:sz="8" w:space="0" w:color="auto"/>
            </w:tcBorders>
            <w:vAlign w:val="bottom"/>
          </w:tcPr>
          <w:p w14:paraId="19F541E7" w14:textId="77777777" w:rsidR="00FF1F3A" w:rsidRDefault="00FF1F3A" w:rsidP="00A44582">
            <w:pPr>
              <w:jc w:val="center"/>
              <w:rPr>
                <w:rFonts w:ascii="Calibri" w:hAnsi="Calibri" w:cs="Calibri"/>
                <w:color w:val="000000"/>
              </w:rPr>
            </w:pPr>
          </w:p>
        </w:tc>
      </w:tr>
      <w:tr w:rsidR="00FF1F3A" w:rsidRPr="00FB6E18" w14:paraId="66AEA5BC" w14:textId="77777777" w:rsidTr="00A44582">
        <w:trPr>
          <w:trHeight w:val="365"/>
        </w:trPr>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731BC7A5" w14:textId="77777777" w:rsidR="00FF1F3A" w:rsidRPr="00FB6E18" w:rsidRDefault="00FF1F3A" w:rsidP="00A44582">
            <w:pPr>
              <w:jc w:val="center"/>
              <w:rPr>
                <w:b/>
                <w:bCs/>
                <w:color w:val="000000"/>
                <w:sz w:val="24"/>
                <w:lang w:val="cy-GB" w:eastAsia="en-GB"/>
              </w:rPr>
            </w:pPr>
            <w:r w:rsidRPr="009264BB">
              <w:rPr>
                <w:b/>
                <w:bCs/>
                <w:color w:val="000000"/>
                <w:sz w:val="24"/>
                <w:lang w:val="cy-GB" w:eastAsia="en-GB"/>
              </w:rPr>
              <w:t>SOLAS Vessels</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0BC6FAF5" w14:textId="77777777" w:rsidR="00FF1F3A" w:rsidRPr="00FB6E18" w:rsidRDefault="00FF1F3A" w:rsidP="00A44582">
            <w:pPr>
              <w:jc w:val="center"/>
              <w:rPr>
                <w:color w:val="000000"/>
                <w:sz w:val="24"/>
                <w:lang w:val="cy-GB" w:eastAsia="en-GB"/>
              </w:rPr>
            </w:pPr>
            <w:r w:rsidRPr="009264BB">
              <w:rPr>
                <w:color w:val="000000"/>
                <w:sz w:val="24"/>
                <w:lang w:val="cy-GB" w:eastAsia="en-GB"/>
              </w:rPr>
              <w:t>25</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center"/>
          </w:tcPr>
          <w:p w14:paraId="6B963FC6" w14:textId="77777777" w:rsidR="00FF1F3A" w:rsidRPr="00FB6E18" w:rsidRDefault="00FF1F3A" w:rsidP="00A44582">
            <w:pPr>
              <w:jc w:val="center"/>
              <w:rPr>
                <w:color w:val="000000"/>
                <w:sz w:val="24"/>
                <w:lang w:val="cy-GB" w:eastAsia="en-GB"/>
              </w:rPr>
            </w:pPr>
            <w:r w:rsidRPr="009264BB">
              <w:rPr>
                <w:color w:val="000000"/>
                <w:sz w:val="24"/>
                <w:lang w:val="cy-GB" w:eastAsia="en-GB"/>
              </w:rPr>
              <w:t>28</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center"/>
          </w:tcPr>
          <w:p w14:paraId="7E1986A9" w14:textId="77777777" w:rsidR="00FF1F3A" w:rsidRPr="00FB6E18" w:rsidRDefault="00FF1F3A" w:rsidP="00A44582">
            <w:pPr>
              <w:jc w:val="center"/>
              <w:rPr>
                <w:color w:val="000000"/>
                <w:sz w:val="24"/>
                <w:lang w:val="cy-GB" w:eastAsia="en-GB"/>
              </w:rPr>
            </w:pPr>
            <w:r w:rsidRPr="009264BB">
              <w:rPr>
                <w:color w:val="000000"/>
                <w:sz w:val="24"/>
                <w:lang w:val="cy-GB" w:eastAsia="en-GB"/>
              </w:rPr>
              <w:t>30</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center"/>
          </w:tcPr>
          <w:p w14:paraId="34500BCA" w14:textId="77777777" w:rsidR="00FF1F3A" w:rsidRPr="00FB6E18" w:rsidRDefault="00FF1F3A" w:rsidP="00A44582">
            <w:pPr>
              <w:jc w:val="center"/>
              <w:rPr>
                <w:color w:val="000000"/>
                <w:sz w:val="24"/>
                <w:lang w:val="cy-GB" w:eastAsia="en-GB"/>
              </w:rPr>
            </w:pPr>
            <w:r w:rsidRPr="009264BB">
              <w:rPr>
                <w:color w:val="000000"/>
                <w:sz w:val="24"/>
                <w:lang w:val="cy-GB" w:eastAsia="en-GB"/>
              </w:rPr>
              <w:t>32</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center"/>
          </w:tcPr>
          <w:p w14:paraId="7DE10ABD" w14:textId="77777777" w:rsidR="00FF1F3A" w:rsidRPr="00FB6E18" w:rsidRDefault="00FF1F3A" w:rsidP="00A44582">
            <w:pPr>
              <w:jc w:val="center"/>
              <w:rPr>
                <w:color w:val="000000"/>
                <w:sz w:val="24"/>
                <w:lang w:val="cy-GB" w:eastAsia="en-GB"/>
              </w:rPr>
            </w:pPr>
            <w:r w:rsidRPr="009264BB">
              <w:rPr>
                <w:color w:val="000000"/>
                <w:sz w:val="24"/>
                <w:lang w:val="cy-GB" w:eastAsia="en-GB"/>
              </w:rPr>
              <w:t>37</w:t>
            </w:r>
          </w:p>
        </w:tc>
        <w:tc>
          <w:tcPr>
            <w:tcW w:w="12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5E401" w14:textId="77777777" w:rsidR="00FF1F3A" w:rsidRDefault="00FF1F3A" w:rsidP="00A44582">
            <w:pPr>
              <w:jc w:val="center"/>
              <w:rPr>
                <w:rFonts w:ascii="Calibri" w:hAnsi="Calibri" w:cs="Calibri"/>
                <w:color w:val="000000"/>
              </w:rPr>
            </w:pPr>
            <w:r w:rsidRPr="009264BB">
              <w:rPr>
                <w:color w:val="000000"/>
                <w:sz w:val="24"/>
                <w:lang w:eastAsia="en-GB"/>
              </w:rPr>
              <w:t>0</w:t>
            </w:r>
          </w:p>
        </w:tc>
        <w:tc>
          <w:tcPr>
            <w:tcW w:w="1523" w:type="dxa"/>
            <w:tcBorders>
              <w:top w:val="single" w:sz="4" w:space="0" w:color="auto"/>
              <w:left w:val="single" w:sz="4" w:space="0" w:color="auto"/>
              <w:bottom w:val="single" w:sz="4" w:space="0" w:color="auto"/>
              <w:right w:val="single" w:sz="4" w:space="0" w:color="auto"/>
            </w:tcBorders>
            <w:vAlign w:val="center"/>
          </w:tcPr>
          <w:p w14:paraId="08E8D135" w14:textId="77777777" w:rsidR="00FF1F3A" w:rsidRDefault="00FF1F3A" w:rsidP="00A44582">
            <w:pPr>
              <w:jc w:val="center"/>
              <w:rPr>
                <w:rFonts w:ascii="Calibri" w:hAnsi="Calibri" w:cs="Calibri"/>
                <w:color w:val="000000"/>
              </w:rPr>
            </w:pPr>
            <w:r w:rsidRPr="009264BB">
              <w:rPr>
                <w:color w:val="000000"/>
                <w:sz w:val="24"/>
                <w:lang w:eastAsia="en-GB"/>
              </w:rPr>
              <w:t>47*</w:t>
            </w:r>
          </w:p>
        </w:tc>
      </w:tr>
    </w:tbl>
    <w:p w14:paraId="55190213" w14:textId="77777777" w:rsidR="00FF1F3A" w:rsidRDefault="00FF1F3A" w:rsidP="00FF1F3A">
      <w:pPr>
        <w:pStyle w:val="Textocomentario"/>
        <w:rPr>
          <w:sz w:val="22"/>
          <w:szCs w:val="22"/>
          <w:lang w:val="cy-GB"/>
        </w:rPr>
      </w:pPr>
    </w:p>
    <w:p w14:paraId="3B717881" w14:textId="77777777" w:rsidR="00FF1F3A" w:rsidRDefault="00FF1F3A" w:rsidP="00FF1F3A">
      <w:pPr>
        <w:pStyle w:val="AtsNormal0"/>
        <w:numPr>
          <w:ilvl w:val="0"/>
          <w:numId w:val="21"/>
        </w:numPr>
        <w:jc w:val="both"/>
        <w:rPr>
          <w:szCs w:val="22"/>
        </w:rPr>
      </w:pPr>
      <w:r w:rsidRPr="009C5E54">
        <w:rPr>
          <w:szCs w:val="22"/>
        </w:rPr>
        <w:t xml:space="preserve">Since the </w:t>
      </w:r>
      <w:r>
        <w:rPr>
          <w:szCs w:val="22"/>
        </w:rPr>
        <w:t>International Code for Ships Operating in Polar Waters (</w:t>
      </w:r>
      <w:r w:rsidRPr="009C5E54">
        <w:rPr>
          <w:szCs w:val="22"/>
        </w:rPr>
        <w:t>Polar Code</w:t>
      </w:r>
      <w:r>
        <w:rPr>
          <w:szCs w:val="22"/>
        </w:rPr>
        <w:t>)</w:t>
      </w:r>
      <w:r w:rsidRPr="009C5E54">
        <w:rPr>
          <w:szCs w:val="22"/>
        </w:rPr>
        <w:t xml:space="preserve"> was adopted, there has been substantial investment by operators in existing and ne</w:t>
      </w:r>
      <w:r>
        <w:rPr>
          <w:szCs w:val="22"/>
        </w:rPr>
        <w:t xml:space="preserve">w </w:t>
      </w:r>
      <w:r w:rsidRPr="00354BF2">
        <w:rPr>
          <w:szCs w:val="22"/>
        </w:rPr>
        <w:t>buil</w:t>
      </w:r>
      <w:r>
        <w:rPr>
          <w:szCs w:val="22"/>
        </w:rPr>
        <w:t>d</w:t>
      </w:r>
      <w:r w:rsidRPr="00354BF2">
        <w:rPr>
          <w:szCs w:val="22"/>
        </w:rPr>
        <w:t xml:space="preserve"> vessels. The 2019</w:t>
      </w:r>
      <w:r>
        <w:rPr>
          <w:lang w:val="en-US"/>
        </w:rPr>
        <w:t>–</w:t>
      </w:r>
      <w:r w:rsidRPr="00354BF2">
        <w:rPr>
          <w:szCs w:val="22"/>
        </w:rPr>
        <w:t>20 season saw the first SOLAS vessels built after the Polar Code came into force in January 2017</w:t>
      </w:r>
      <w:r>
        <w:rPr>
          <w:szCs w:val="22"/>
        </w:rPr>
        <w:t>.</w:t>
      </w:r>
      <w:r w:rsidRPr="00354BF2">
        <w:rPr>
          <w:szCs w:val="22"/>
        </w:rPr>
        <w:t xml:space="preserve"> </w:t>
      </w:r>
      <w:r>
        <w:rPr>
          <w:szCs w:val="22"/>
        </w:rPr>
        <w:t>T</w:t>
      </w:r>
      <w:r w:rsidRPr="00354BF2">
        <w:rPr>
          <w:szCs w:val="22"/>
        </w:rPr>
        <w:t xml:space="preserve">he </w:t>
      </w:r>
      <w:r>
        <w:rPr>
          <w:szCs w:val="22"/>
        </w:rPr>
        <w:t>forecast</w:t>
      </w:r>
      <w:r w:rsidRPr="00354BF2">
        <w:rPr>
          <w:szCs w:val="22"/>
        </w:rPr>
        <w:t xml:space="preserve"> </w:t>
      </w:r>
      <w:r>
        <w:rPr>
          <w:szCs w:val="22"/>
        </w:rPr>
        <w:t xml:space="preserve">increase </w:t>
      </w:r>
      <w:r w:rsidRPr="00354BF2">
        <w:rPr>
          <w:szCs w:val="22"/>
        </w:rPr>
        <w:t>is reflective of vessels which were planned and ordered between 2016</w:t>
      </w:r>
      <w:r>
        <w:rPr>
          <w:lang w:val="en-US"/>
        </w:rPr>
        <w:t>–</w:t>
      </w:r>
      <w:r w:rsidRPr="00354BF2">
        <w:rPr>
          <w:szCs w:val="22"/>
        </w:rPr>
        <w:t xml:space="preserve">18 </w:t>
      </w:r>
      <w:r>
        <w:rPr>
          <w:szCs w:val="22"/>
        </w:rPr>
        <w:t>following the adoption of the Polar Code</w:t>
      </w:r>
      <w:r w:rsidRPr="00354BF2">
        <w:rPr>
          <w:szCs w:val="22"/>
        </w:rPr>
        <w:t xml:space="preserve">. </w:t>
      </w:r>
    </w:p>
    <w:p w14:paraId="0B28D265" w14:textId="77777777" w:rsidR="00FF1F3A" w:rsidRPr="00354BF2" w:rsidRDefault="00FF1F3A" w:rsidP="00FF1F3A">
      <w:pPr>
        <w:pStyle w:val="AtsNormal0"/>
        <w:numPr>
          <w:ilvl w:val="0"/>
          <w:numId w:val="21"/>
        </w:numPr>
        <w:jc w:val="both"/>
        <w:rPr>
          <w:szCs w:val="22"/>
        </w:rPr>
      </w:pPr>
      <w:r>
        <w:rPr>
          <w:szCs w:val="22"/>
        </w:rPr>
        <w:lastRenderedPageBreak/>
        <w:t>Some new vessels scheduled for the 2020</w:t>
      </w:r>
      <w:r>
        <w:rPr>
          <w:lang w:val="en-US"/>
        </w:rPr>
        <w:t>–</w:t>
      </w:r>
      <w:r>
        <w:rPr>
          <w:szCs w:val="22"/>
        </w:rPr>
        <w:t>21 season were delayed due to the pandemic. The potential increase for the 2021</w:t>
      </w:r>
      <w:r>
        <w:rPr>
          <w:lang w:val="en-US"/>
        </w:rPr>
        <w:t>–</w:t>
      </w:r>
      <w:r>
        <w:rPr>
          <w:szCs w:val="22"/>
        </w:rPr>
        <w:t xml:space="preserve">22 season reflects the combination of vessels launched over the last two years. </w:t>
      </w:r>
    </w:p>
    <w:p w14:paraId="381C24E3" w14:textId="77777777" w:rsidR="00FF1F3A" w:rsidRPr="009C5E54" w:rsidRDefault="00FF1F3A" w:rsidP="00FF1F3A">
      <w:pPr>
        <w:pStyle w:val="Prrafodelista"/>
        <w:numPr>
          <w:ilvl w:val="0"/>
          <w:numId w:val="21"/>
        </w:numPr>
        <w:rPr>
          <w:szCs w:val="22"/>
          <w:lang w:val="cy-GB"/>
        </w:rPr>
      </w:pPr>
      <w:r w:rsidRPr="009C5E54">
        <w:rPr>
          <w:szCs w:val="22"/>
        </w:rPr>
        <w:t xml:space="preserve">The continued growth in activity is driven by increased interest and awareness of Antarctica resulting in a desire by many of the public to experience the region </w:t>
      </w:r>
      <w:proofErr w:type="gramStart"/>
      <w:r w:rsidRPr="009C5E54">
        <w:rPr>
          <w:szCs w:val="22"/>
        </w:rPr>
        <w:t>first hand</w:t>
      </w:r>
      <w:proofErr w:type="gramEnd"/>
      <w:r w:rsidRPr="009C5E54">
        <w:rPr>
          <w:szCs w:val="22"/>
        </w:rPr>
        <w:t>.</w:t>
      </w:r>
    </w:p>
    <w:p w14:paraId="2ABFFB26" w14:textId="77777777" w:rsidR="00FF1F3A" w:rsidRPr="00872FC3" w:rsidRDefault="00FF1F3A" w:rsidP="00FF1F3A">
      <w:pPr>
        <w:pStyle w:val="ATSNormal"/>
        <w:numPr>
          <w:ilvl w:val="0"/>
          <w:numId w:val="21"/>
        </w:numPr>
        <w:rPr>
          <w:lang w:val="en-US"/>
        </w:rPr>
      </w:pPr>
      <w:r w:rsidRPr="00872FC3">
        <w:rPr>
          <w:lang w:val="en-US"/>
        </w:rPr>
        <w:t>The 2020</w:t>
      </w:r>
      <w:r>
        <w:rPr>
          <w:lang w:val="en-US"/>
        </w:rPr>
        <w:t>–</w:t>
      </w:r>
      <w:r w:rsidRPr="00872FC3">
        <w:rPr>
          <w:lang w:val="en-US"/>
        </w:rPr>
        <w:t xml:space="preserve">21 season of Antarctic </w:t>
      </w:r>
      <w:r>
        <w:rPr>
          <w:lang w:val="en-US"/>
        </w:rPr>
        <w:t xml:space="preserve">tourist </w:t>
      </w:r>
      <w:proofErr w:type="spellStart"/>
      <w:r>
        <w:rPr>
          <w:lang w:val="en-US"/>
        </w:rPr>
        <w:t>activites</w:t>
      </w:r>
      <w:proofErr w:type="spellEnd"/>
      <w:r w:rsidRPr="00872FC3">
        <w:rPr>
          <w:lang w:val="en-US"/>
        </w:rPr>
        <w:t xml:space="preserve"> was</w:t>
      </w:r>
      <w:r w:rsidRPr="00872FC3">
        <w:t xml:space="preserve"> </w:t>
      </w:r>
      <w:r>
        <w:t>effectively</w:t>
      </w:r>
      <w:r w:rsidRPr="00872FC3">
        <w:t xml:space="preserve"> cancelled </w:t>
      </w:r>
      <w:proofErr w:type="gramStart"/>
      <w:r w:rsidRPr="00872FC3">
        <w:t>as a result of</w:t>
      </w:r>
      <w:proofErr w:type="gramEnd"/>
      <w:r w:rsidRPr="00872FC3">
        <w:t xml:space="preserve"> the</w:t>
      </w:r>
      <w:r w:rsidRPr="00872FC3">
        <w:rPr>
          <w:lang w:val="en-US"/>
        </w:rPr>
        <w:t xml:space="preserve"> SARS CoV-2 pandemic. How </w:t>
      </w:r>
      <w:r>
        <w:rPr>
          <w:lang w:val="en-US"/>
        </w:rPr>
        <w:t xml:space="preserve">and when </w:t>
      </w:r>
      <w:r w:rsidRPr="00872FC3">
        <w:rPr>
          <w:lang w:val="en-US"/>
        </w:rPr>
        <w:t>the industry will recover is yet to be seen, but the pandemic will continue to affect IAATO Operator activities for the 2021</w:t>
      </w:r>
      <w:r>
        <w:rPr>
          <w:lang w:val="en-US"/>
        </w:rPr>
        <w:t>–</w:t>
      </w:r>
      <w:r w:rsidRPr="00872FC3">
        <w:rPr>
          <w:lang w:val="en-US"/>
        </w:rPr>
        <w:t xml:space="preserve">22 season and possibly beyond.  </w:t>
      </w:r>
      <w:r>
        <w:rPr>
          <w:lang w:val="en-US"/>
        </w:rPr>
        <w:t>Ultimately</w:t>
      </w:r>
      <w:r w:rsidRPr="00872FC3">
        <w:rPr>
          <w:lang w:val="en-US"/>
        </w:rPr>
        <w:t xml:space="preserve">, </w:t>
      </w:r>
      <w:r>
        <w:rPr>
          <w:lang w:val="en-US"/>
        </w:rPr>
        <w:t>actual operation of vessels</w:t>
      </w:r>
      <w:r w:rsidRPr="00872FC3">
        <w:rPr>
          <w:lang w:val="en-US"/>
        </w:rPr>
        <w:t xml:space="preserve"> will not only depend on Antarctic Gateway protocols but worldwide travel restrictions and/or protocols.   </w:t>
      </w:r>
    </w:p>
    <w:p w14:paraId="22129CC0" w14:textId="77777777" w:rsidR="00FF1F3A" w:rsidRPr="005F3E54" w:rsidDel="00D951F9" w:rsidRDefault="00FF1F3A" w:rsidP="00FF1F3A">
      <w:pPr>
        <w:pStyle w:val="AtsNormal0"/>
        <w:numPr>
          <w:ilvl w:val="0"/>
          <w:numId w:val="21"/>
        </w:numPr>
        <w:jc w:val="both"/>
        <w:rPr>
          <w:szCs w:val="22"/>
          <w:lang w:val="cy-GB"/>
        </w:rPr>
      </w:pPr>
      <w:r>
        <w:rPr>
          <w:szCs w:val="22"/>
        </w:rPr>
        <w:t xml:space="preserve">Should the season go ahead, </w:t>
      </w:r>
      <w:r w:rsidRPr="005F3E54" w:rsidDel="00D951F9">
        <w:rPr>
          <w:szCs w:val="22"/>
        </w:rPr>
        <w:t xml:space="preserve">the IAATO fleet </w:t>
      </w:r>
      <w:r>
        <w:rPr>
          <w:szCs w:val="22"/>
        </w:rPr>
        <w:t>would</w:t>
      </w:r>
      <w:r w:rsidDel="00D951F9">
        <w:rPr>
          <w:szCs w:val="22"/>
        </w:rPr>
        <w:t xml:space="preserve"> </w:t>
      </w:r>
      <w:r>
        <w:rPr>
          <w:szCs w:val="22"/>
        </w:rPr>
        <w:t>see</w:t>
      </w:r>
      <w:r w:rsidDel="00D951F9">
        <w:rPr>
          <w:szCs w:val="22"/>
        </w:rPr>
        <w:t xml:space="preserve"> a net</w:t>
      </w:r>
      <w:r w:rsidRPr="005F3E54" w:rsidDel="00D951F9">
        <w:rPr>
          <w:szCs w:val="22"/>
        </w:rPr>
        <w:t xml:space="preserve"> increase by ten SOLAS vessels </w:t>
      </w:r>
      <w:r w:rsidDel="00D951F9">
        <w:rPr>
          <w:szCs w:val="22"/>
        </w:rPr>
        <w:t>during the 2021</w:t>
      </w:r>
      <w:r>
        <w:rPr>
          <w:lang w:val="en-US"/>
        </w:rPr>
        <w:t>–</w:t>
      </w:r>
      <w:r w:rsidDel="00D951F9">
        <w:rPr>
          <w:szCs w:val="22"/>
        </w:rPr>
        <w:t>22 season</w:t>
      </w:r>
      <w:r w:rsidRPr="005F3E54" w:rsidDel="00D951F9">
        <w:rPr>
          <w:szCs w:val="22"/>
        </w:rPr>
        <w:t xml:space="preserve"> (Appendix I) bringing the total number of vessels to 47</w:t>
      </w:r>
      <w:r w:rsidDel="00D951F9">
        <w:rPr>
          <w:szCs w:val="22"/>
        </w:rPr>
        <w:t>. Appendix I details, by vessel name and type, which vessels are joining and leaving the IAATO fleet in the next two seasons</w:t>
      </w:r>
      <w:r>
        <w:rPr>
          <w:szCs w:val="22"/>
        </w:rPr>
        <w:t xml:space="preserve"> should activities proceed</w:t>
      </w:r>
      <w:r w:rsidDel="00D951F9">
        <w:rPr>
          <w:szCs w:val="22"/>
        </w:rPr>
        <w:t>.</w:t>
      </w:r>
    </w:p>
    <w:p w14:paraId="3F143137" w14:textId="77777777" w:rsidR="00FF1F3A" w:rsidRPr="009C5E54" w:rsidRDefault="00FF1F3A" w:rsidP="00FF1F3A">
      <w:pPr>
        <w:pStyle w:val="Prrafodelista"/>
        <w:numPr>
          <w:ilvl w:val="0"/>
          <w:numId w:val="21"/>
        </w:numPr>
        <w:contextualSpacing/>
        <w:rPr>
          <w:szCs w:val="22"/>
        </w:rPr>
      </w:pPr>
      <w:r>
        <w:rPr>
          <w:lang w:val="cy-GB"/>
        </w:rPr>
        <w:t xml:space="preserve">Prior to the pandemic, </w:t>
      </w:r>
      <w:r>
        <w:rPr>
          <w:szCs w:val="22"/>
          <w:lang w:val="cy-GB"/>
        </w:rPr>
        <w:t>v</w:t>
      </w:r>
      <w:r w:rsidRPr="009C5E54">
        <w:rPr>
          <w:szCs w:val="22"/>
          <w:lang w:val="cy-GB"/>
        </w:rPr>
        <w:t xml:space="preserve">essels </w:t>
      </w:r>
      <w:r>
        <w:rPr>
          <w:szCs w:val="22"/>
          <w:lang w:val="cy-GB"/>
        </w:rPr>
        <w:t>were</w:t>
      </w:r>
      <w:r w:rsidRPr="009C5E54">
        <w:rPr>
          <w:szCs w:val="22"/>
          <w:lang w:val="cy-GB"/>
        </w:rPr>
        <w:t xml:space="preserve"> being operated with </w:t>
      </w:r>
      <w:r>
        <w:rPr>
          <w:szCs w:val="22"/>
          <w:lang w:val="cy-GB"/>
        </w:rPr>
        <w:t xml:space="preserve">a </w:t>
      </w:r>
      <w:r w:rsidRPr="009C5E54">
        <w:rPr>
          <w:szCs w:val="22"/>
          <w:lang w:val="cy-GB"/>
        </w:rPr>
        <w:t xml:space="preserve">higher </w:t>
      </w:r>
      <w:r>
        <w:rPr>
          <w:szCs w:val="22"/>
          <w:lang w:val="cy-GB"/>
        </w:rPr>
        <w:t xml:space="preserve">percentage of </w:t>
      </w:r>
      <w:r w:rsidRPr="009C5E54">
        <w:rPr>
          <w:szCs w:val="22"/>
          <w:lang w:val="cy-GB"/>
        </w:rPr>
        <w:t>capacity</w:t>
      </w:r>
      <w:r>
        <w:rPr>
          <w:szCs w:val="22"/>
          <w:lang w:val="cy-GB"/>
        </w:rPr>
        <w:t xml:space="preserve"> occupied</w:t>
      </w:r>
      <w:r w:rsidRPr="009C5E54">
        <w:rPr>
          <w:szCs w:val="22"/>
          <w:lang w:val="cy-GB"/>
        </w:rPr>
        <w:t>, with all vessels benefiting from the world</w:t>
      </w:r>
      <w:r>
        <w:rPr>
          <w:szCs w:val="22"/>
          <w:lang w:val="cy-GB"/>
        </w:rPr>
        <w:t>’s</w:t>
      </w:r>
      <w:r w:rsidRPr="009C5E54">
        <w:rPr>
          <w:szCs w:val="22"/>
          <w:lang w:val="cy-GB"/>
        </w:rPr>
        <w:t xml:space="preserve"> economic strength and operating at near-full passenger capacity.</w:t>
      </w:r>
    </w:p>
    <w:p w14:paraId="04B0DF0E" w14:textId="77777777" w:rsidR="00FF1F3A" w:rsidRPr="009C5E54" w:rsidRDefault="00FF1F3A" w:rsidP="00FF1F3A">
      <w:pPr>
        <w:contextualSpacing/>
        <w:rPr>
          <w:szCs w:val="22"/>
        </w:rPr>
      </w:pPr>
    </w:p>
    <w:p w14:paraId="1069C7EC" w14:textId="77777777" w:rsidR="00FF1F3A" w:rsidRPr="009C5E54" w:rsidRDefault="00FF1F3A" w:rsidP="00FF1F3A">
      <w:pPr>
        <w:pStyle w:val="Prrafodelista"/>
        <w:numPr>
          <w:ilvl w:val="0"/>
          <w:numId w:val="21"/>
        </w:numPr>
        <w:contextualSpacing/>
        <w:rPr>
          <w:szCs w:val="22"/>
        </w:rPr>
      </w:pPr>
      <w:r>
        <w:rPr>
          <w:szCs w:val="22"/>
          <w:lang w:val="cy-GB"/>
        </w:rPr>
        <w:t xml:space="preserve">As new vessels are introduced into the IAATO fleet, the average vessel passenger capacity has increased, with many of the Category 1 vessels being added now carrying up to 200 passengers.   </w:t>
      </w:r>
    </w:p>
    <w:p w14:paraId="4527662D" w14:textId="77777777" w:rsidR="00FF1F3A" w:rsidRPr="009C5E54" w:rsidRDefault="00FF1F3A" w:rsidP="00FF1F3A">
      <w:pPr>
        <w:ind w:firstLine="60"/>
        <w:contextualSpacing/>
        <w:rPr>
          <w:szCs w:val="22"/>
        </w:rPr>
      </w:pPr>
    </w:p>
    <w:p w14:paraId="1387A417" w14:textId="77777777" w:rsidR="00FF1F3A" w:rsidRPr="008E5F4D" w:rsidRDefault="00FF1F3A" w:rsidP="00FF1F3A">
      <w:pPr>
        <w:pStyle w:val="Prrafodelista"/>
        <w:numPr>
          <w:ilvl w:val="0"/>
          <w:numId w:val="21"/>
        </w:numPr>
        <w:contextualSpacing/>
        <w:rPr>
          <w:szCs w:val="22"/>
        </w:rPr>
      </w:pPr>
      <w:r w:rsidRPr="009C5E54">
        <w:rPr>
          <w:szCs w:val="22"/>
        </w:rPr>
        <w:t xml:space="preserve">Analysis of site use and activities (found in </w:t>
      </w:r>
      <w:r w:rsidRPr="006F0BE3">
        <w:rPr>
          <w:i/>
          <w:iCs/>
          <w:szCs w:val="22"/>
        </w:rPr>
        <w:t xml:space="preserve">ATCM </w:t>
      </w:r>
      <w:proofErr w:type="spellStart"/>
      <w:r w:rsidRPr="006F0BE3">
        <w:rPr>
          <w:i/>
          <w:iCs/>
          <w:szCs w:val="22"/>
        </w:rPr>
        <w:t>XLIII_IPxx</w:t>
      </w:r>
      <w:proofErr w:type="spellEnd"/>
      <w:r w:rsidRPr="006F0BE3">
        <w:rPr>
          <w:i/>
          <w:iCs/>
          <w:szCs w:val="22"/>
        </w:rPr>
        <w:t xml:space="preserve"> IAATO Overview of Antarctic Tourism:</w:t>
      </w:r>
      <w:r>
        <w:rPr>
          <w:i/>
          <w:iCs/>
          <w:szCs w:val="22"/>
        </w:rPr>
        <w:t xml:space="preserve"> </w:t>
      </w:r>
      <w:r w:rsidRPr="006F0BE3">
        <w:rPr>
          <w:i/>
          <w:iCs/>
          <w:szCs w:val="22"/>
        </w:rPr>
        <w:t>A Historical Review of Growth, the 2020</w:t>
      </w:r>
      <w:r>
        <w:rPr>
          <w:lang w:val="en-US"/>
        </w:rPr>
        <w:t>–</w:t>
      </w:r>
      <w:r w:rsidRPr="006F0BE3">
        <w:rPr>
          <w:i/>
          <w:iCs/>
          <w:szCs w:val="22"/>
        </w:rPr>
        <w:t>21 Season, and Preliminary Estimates for 2021</w:t>
      </w:r>
      <w:r>
        <w:rPr>
          <w:lang w:val="en-US"/>
        </w:rPr>
        <w:t>–</w:t>
      </w:r>
      <w:r w:rsidRPr="006F0BE3">
        <w:rPr>
          <w:i/>
          <w:iCs/>
          <w:szCs w:val="22"/>
        </w:rPr>
        <w:t>22</w:t>
      </w:r>
      <w:r w:rsidRPr="009C5E54">
        <w:rPr>
          <w:i/>
          <w:szCs w:val="22"/>
          <w:lang w:val="cy-GB"/>
        </w:rPr>
        <w:t>)</w:t>
      </w:r>
      <w:r w:rsidRPr="009C5E54" w:rsidDel="00057C1A">
        <w:rPr>
          <w:szCs w:val="22"/>
        </w:rPr>
        <w:t xml:space="preserve"> </w:t>
      </w:r>
      <w:r w:rsidRPr="009C5E54">
        <w:rPr>
          <w:szCs w:val="22"/>
        </w:rPr>
        <w:t xml:space="preserve">has found Operators are </w:t>
      </w:r>
      <w:r>
        <w:rPr>
          <w:szCs w:val="22"/>
        </w:rPr>
        <w:t xml:space="preserve">responding to IAATO’s multi layered strategy to encourage operators </w:t>
      </w:r>
      <w:r w:rsidRPr="009C5E54">
        <w:rPr>
          <w:szCs w:val="22"/>
        </w:rPr>
        <w:t xml:space="preserve">to spread activities across a range of </w:t>
      </w:r>
      <w:r>
        <w:rPr>
          <w:szCs w:val="22"/>
        </w:rPr>
        <w:t>platforms</w:t>
      </w:r>
      <w:r w:rsidRPr="009C5E54">
        <w:rPr>
          <w:szCs w:val="22"/>
        </w:rPr>
        <w:t xml:space="preserve"> – ship cruising</w:t>
      </w:r>
      <w:r>
        <w:rPr>
          <w:szCs w:val="22"/>
        </w:rPr>
        <w:t>,</w:t>
      </w:r>
      <w:r w:rsidRPr="009C5E54">
        <w:rPr>
          <w:szCs w:val="22"/>
        </w:rPr>
        <w:t xml:space="preserve"> Zodiac cruising</w:t>
      </w:r>
      <w:r>
        <w:rPr>
          <w:szCs w:val="22"/>
        </w:rPr>
        <w:t>,</w:t>
      </w:r>
      <w:r w:rsidRPr="009C5E54">
        <w:rPr>
          <w:szCs w:val="22"/>
        </w:rPr>
        <w:t xml:space="preserve"> kayaking</w:t>
      </w:r>
      <w:r>
        <w:rPr>
          <w:szCs w:val="22"/>
        </w:rPr>
        <w:t>,</w:t>
      </w:r>
      <w:r w:rsidRPr="009C5E54">
        <w:rPr>
          <w:szCs w:val="22"/>
        </w:rPr>
        <w:t xml:space="preserve"> etc.</w:t>
      </w:r>
      <w:r>
        <w:rPr>
          <w:szCs w:val="22"/>
        </w:rPr>
        <w:t xml:space="preserve"> </w:t>
      </w:r>
      <w:proofErr w:type="gramStart"/>
      <w:r>
        <w:rPr>
          <w:szCs w:val="22"/>
        </w:rPr>
        <w:t>in order</w:t>
      </w:r>
      <w:r w:rsidRPr="009C5E54">
        <w:rPr>
          <w:szCs w:val="22"/>
        </w:rPr>
        <w:t xml:space="preserve"> </w:t>
      </w:r>
      <w:r>
        <w:rPr>
          <w:szCs w:val="22"/>
        </w:rPr>
        <w:t>to</w:t>
      </w:r>
      <w:proofErr w:type="gramEnd"/>
      <w:r>
        <w:rPr>
          <w:szCs w:val="22"/>
        </w:rPr>
        <w:t xml:space="preserve"> reduce activities at landing sites. </w:t>
      </w:r>
      <w:r w:rsidRPr="009C5E54">
        <w:rPr>
          <w:szCs w:val="22"/>
        </w:rPr>
        <w:t xml:space="preserve">IAATO has encouraged this practice </w:t>
      </w:r>
      <w:r>
        <w:rPr>
          <w:szCs w:val="22"/>
        </w:rPr>
        <w:t>since 2012</w:t>
      </w:r>
      <w:r w:rsidRPr="009C5E54">
        <w:rPr>
          <w:szCs w:val="22"/>
        </w:rPr>
        <w:t xml:space="preserve"> and </w:t>
      </w:r>
      <w:r>
        <w:rPr>
          <w:szCs w:val="22"/>
        </w:rPr>
        <w:t>strengthened the effort during</w:t>
      </w:r>
      <w:r w:rsidRPr="009C5E54">
        <w:rPr>
          <w:szCs w:val="22"/>
        </w:rPr>
        <w:t xml:space="preserve"> our 2019 Annual Meeting </w:t>
      </w:r>
      <w:r>
        <w:rPr>
          <w:szCs w:val="22"/>
        </w:rPr>
        <w:t>by incorporating</w:t>
      </w:r>
      <w:r w:rsidRPr="009C5E54">
        <w:rPr>
          <w:szCs w:val="22"/>
        </w:rPr>
        <w:t xml:space="preserve"> into our Bylaws a new </w:t>
      </w:r>
      <w:r w:rsidRPr="009C5E54">
        <w:rPr>
          <w:i/>
          <w:szCs w:val="22"/>
        </w:rPr>
        <w:t>Code of Conduct for Vessels</w:t>
      </w:r>
      <w:r>
        <w:rPr>
          <w:szCs w:val="22"/>
        </w:rPr>
        <w:t>.</w:t>
      </w:r>
    </w:p>
    <w:p w14:paraId="55AED4BB" w14:textId="77777777" w:rsidR="00FF1F3A" w:rsidRPr="009C5E54" w:rsidRDefault="00FF1F3A" w:rsidP="00FF1F3A">
      <w:pPr>
        <w:pStyle w:val="ATSHeading2"/>
        <w:rPr>
          <w:rFonts w:ascii="Times New Roman" w:hAnsi="Times New Roman"/>
          <w:lang w:val="cy-GB"/>
        </w:rPr>
      </w:pPr>
      <w:r w:rsidRPr="009C5E54">
        <w:rPr>
          <w:rFonts w:ascii="Times New Roman" w:hAnsi="Times New Roman"/>
          <w:lang w:val="cy-GB"/>
        </w:rPr>
        <w:t xml:space="preserve">Specific </w:t>
      </w:r>
      <w:r w:rsidRPr="009C5E54">
        <w:rPr>
          <w:rFonts w:ascii="Times New Roman" w:hAnsi="Times New Roman"/>
        </w:rPr>
        <w:t>Landing</w:t>
      </w:r>
      <w:r w:rsidRPr="009C5E54">
        <w:rPr>
          <w:rFonts w:ascii="Times New Roman" w:hAnsi="Times New Roman"/>
          <w:lang w:val="cy-GB"/>
        </w:rPr>
        <w:t xml:space="preserve"> Site Use</w:t>
      </w:r>
    </w:p>
    <w:p w14:paraId="2F23E3A0" w14:textId="77777777" w:rsidR="00FF1F3A" w:rsidRPr="009C5E54" w:rsidRDefault="00FF1F3A" w:rsidP="00FF1F3A">
      <w:pPr>
        <w:pStyle w:val="ATSNormal"/>
      </w:pPr>
      <w:r w:rsidRPr="009C5E54">
        <w:t xml:space="preserve">The </w:t>
      </w:r>
      <w:r>
        <w:t>top five visited</w:t>
      </w:r>
      <w:r w:rsidRPr="009C5E54">
        <w:t xml:space="preserve"> sites</w:t>
      </w:r>
      <w:r>
        <w:t xml:space="preserve"> </w:t>
      </w:r>
      <w:r w:rsidRPr="009C5E54">
        <w:t>(</w:t>
      </w:r>
      <w:proofErr w:type="spellStart"/>
      <w:r w:rsidRPr="009C5E54">
        <w:t>Neko</w:t>
      </w:r>
      <w:proofErr w:type="spellEnd"/>
      <w:r w:rsidRPr="009C5E54">
        <w:t xml:space="preserve"> Harbour, </w:t>
      </w:r>
      <w:proofErr w:type="spellStart"/>
      <w:r w:rsidRPr="009C5E54">
        <w:t>Cuverville</w:t>
      </w:r>
      <w:proofErr w:type="spellEnd"/>
      <w:r w:rsidRPr="009C5E54">
        <w:t xml:space="preserve"> Island, Halfmoon Island - Chinstrap Colony, Whalers Bay and </w:t>
      </w:r>
      <w:proofErr w:type="spellStart"/>
      <w:r w:rsidRPr="009C5E54">
        <w:t>Goudier</w:t>
      </w:r>
      <w:proofErr w:type="spellEnd"/>
      <w:r w:rsidRPr="009C5E54">
        <w:t xml:space="preserve"> Island) </w:t>
      </w:r>
      <w:r>
        <w:t>have</w:t>
      </w:r>
      <w:r w:rsidRPr="009C5E54">
        <w:t xml:space="preserve"> </w:t>
      </w:r>
      <w:r>
        <w:t xml:space="preserve">remained the same from 2015–2020.  These sites </w:t>
      </w:r>
      <w:r w:rsidRPr="009C5E54">
        <w:t xml:space="preserve">account for </w:t>
      </w:r>
      <w:r>
        <w:t xml:space="preserve">approximately </w:t>
      </w:r>
      <w:r w:rsidRPr="009C5E54">
        <w:t>25% of</w:t>
      </w:r>
      <w:r>
        <w:t xml:space="preserve"> all</w:t>
      </w:r>
      <w:r w:rsidRPr="009C5E54">
        <w:t xml:space="preserve"> landings made during </w:t>
      </w:r>
      <w:r>
        <w:t>the five-year period</w:t>
      </w:r>
      <w:r w:rsidRPr="009C5E54">
        <w:t xml:space="preserve">. The top twenty most-visited sites accounted for </w:t>
      </w:r>
      <w:r>
        <w:t>approximately</w:t>
      </w:r>
      <w:r w:rsidRPr="009C5E54">
        <w:t xml:space="preserve"> 6</w:t>
      </w:r>
      <w:r>
        <w:t>5</w:t>
      </w:r>
      <w:r w:rsidRPr="009C5E54">
        <w:t xml:space="preserve">% of </w:t>
      </w:r>
      <w:r>
        <w:t>all</w:t>
      </w:r>
      <w:r w:rsidRPr="009C5E54">
        <w:t xml:space="preserve"> landings</w:t>
      </w:r>
      <w:r>
        <w:t xml:space="preserve"> each season</w:t>
      </w:r>
      <w:r w:rsidRPr="009C5E54">
        <w:t xml:space="preserve">. </w:t>
      </w:r>
    </w:p>
    <w:p w14:paraId="0EE034DD" w14:textId="77777777" w:rsidR="00FF1F3A" w:rsidRPr="009C5E54" w:rsidRDefault="00FF1F3A" w:rsidP="00FF1F3A">
      <w:pPr>
        <w:pStyle w:val="ATSNormal"/>
        <w:rPr>
          <w:szCs w:val="22"/>
        </w:rPr>
      </w:pPr>
      <w:r w:rsidRPr="009C5E54">
        <w:rPr>
          <w:szCs w:val="22"/>
        </w:rPr>
        <w:t xml:space="preserve">Appendix II lists the 20 most-visited sites in terms of landings made </w:t>
      </w:r>
      <w:r>
        <w:rPr>
          <w:szCs w:val="22"/>
        </w:rPr>
        <w:t>from 2015</w:t>
      </w:r>
      <w:r>
        <w:rPr>
          <w:lang w:val="en-US"/>
        </w:rPr>
        <w:t>–</w:t>
      </w:r>
      <w:proofErr w:type="gramStart"/>
      <w:r>
        <w:rPr>
          <w:szCs w:val="22"/>
        </w:rPr>
        <w:t>2020</w:t>
      </w:r>
      <w:proofErr w:type="gramEnd"/>
    </w:p>
    <w:p w14:paraId="4A58BD8E" w14:textId="77777777" w:rsidR="00FF1F3A" w:rsidRPr="009C5E54" w:rsidRDefault="00FF1F3A" w:rsidP="00FF1F3A">
      <w:pPr>
        <w:rPr>
          <w:szCs w:val="22"/>
        </w:rPr>
      </w:pPr>
      <w:r w:rsidRPr="00073588">
        <w:rPr>
          <w:szCs w:val="22"/>
          <w:lang w:val="cy-GB"/>
        </w:rPr>
        <w:t>Figure 2</w:t>
      </w:r>
      <w:r w:rsidRPr="009C5E54">
        <w:rPr>
          <w:szCs w:val="22"/>
          <w:lang w:val="cy-GB"/>
        </w:rPr>
        <w:t xml:space="preserve"> illustrates the total number of landings made per day at all sites within the Antarctic Peninsula</w:t>
      </w:r>
      <w:r>
        <w:rPr>
          <w:szCs w:val="22"/>
          <w:lang w:val="cy-GB"/>
        </w:rPr>
        <w:t xml:space="preserve"> over a five year period</w:t>
      </w:r>
      <w:r w:rsidRPr="009C5E54">
        <w:rPr>
          <w:szCs w:val="22"/>
          <w:lang w:val="cy-GB"/>
        </w:rPr>
        <w:t xml:space="preserve"> </w:t>
      </w:r>
      <w:r>
        <w:rPr>
          <w:szCs w:val="22"/>
          <w:lang w:val="cy-GB"/>
        </w:rPr>
        <w:t>(2015–2020)</w:t>
      </w:r>
      <w:r w:rsidRPr="009C5E54">
        <w:rPr>
          <w:szCs w:val="22"/>
          <w:lang w:val="cy-GB"/>
        </w:rPr>
        <w:t xml:space="preserve">. </w:t>
      </w:r>
      <w:r w:rsidRPr="009C5E54">
        <w:rPr>
          <w:szCs w:val="22"/>
        </w:rPr>
        <w:t>Landings occur</w:t>
      </w:r>
      <w:r>
        <w:rPr>
          <w:szCs w:val="22"/>
        </w:rPr>
        <w:t xml:space="preserve">red over a period of approximately 160 days from October to March. </w:t>
      </w:r>
    </w:p>
    <w:p w14:paraId="496CBE10" w14:textId="77777777" w:rsidR="00FF1F3A" w:rsidRPr="009C5E54" w:rsidRDefault="00FF1F3A" w:rsidP="00FF1F3A"/>
    <w:p w14:paraId="6BC43E9B" w14:textId="77777777" w:rsidR="00FF1F3A" w:rsidRPr="009C5E54" w:rsidRDefault="00FF1F3A" w:rsidP="00FF1F3A">
      <w:pPr>
        <w:rPr>
          <w:lang w:val="cy-GB"/>
        </w:rPr>
      </w:pPr>
      <w:r>
        <w:rPr>
          <w:noProof/>
          <w:lang w:eastAsia="en-GB"/>
        </w:rPr>
        <w:lastRenderedPageBreak/>
        <w:drawing>
          <wp:inline distT="0" distB="0" distL="0" distR="0" wp14:anchorId="62B75869" wp14:editId="2EC7B04D">
            <wp:extent cx="6120765" cy="3312160"/>
            <wp:effectExtent l="12700" t="12700" r="13335" b="15240"/>
            <wp:docPr id="3" name="Picture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765" cy="3312160"/>
                    </a:xfrm>
                    <a:prstGeom prst="rect">
                      <a:avLst/>
                    </a:prstGeom>
                    <a:ln>
                      <a:solidFill>
                        <a:schemeClr val="tx1"/>
                      </a:solidFill>
                    </a:ln>
                  </pic:spPr>
                </pic:pic>
              </a:graphicData>
            </a:graphic>
          </wp:inline>
        </w:drawing>
      </w:r>
    </w:p>
    <w:p w14:paraId="62A2B57F" w14:textId="77777777" w:rsidR="00FF1F3A" w:rsidRPr="009C5E54" w:rsidRDefault="00FF1F3A" w:rsidP="00FF1F3A">
      <w:pPr>
        <w:rPr>
          <w:i/>
          <w:iCs/>
        </w:rPr>
      </w:pPr>
    </w:p>
    <w:p w14:paraId="1719A647" w14:textId="77777777" w:rsidR="00FF1F3A" w:rsidRDefault="00FF1F3A" w:rsidP="00FF1F3A">
      <w:pPr>
        <w:rPr>
          <w:szCs w:val="22"/>
          <w:lang w:val="cy-GB"/>
        </w:rPr>
      </w:pPr>
      <w:r w:rsidRPr="009C5E54">
        <w:rPr>
          <w:b/>
          <w:bCs/>
          <w:szCs w:val="22"/>
        </w:rPr>
        <w:t xml:space="preserve">Figure </w:t>
      </w:r>
      <w:r w:rsidRPr="009C5E54">
        <w:rPr>
          <w:b/>
          <w:szCs w:val="22"/>
          <w:lang w:val="cy-GB"/>
        </w:rPr>
        <w:t xml:space="preserve">2: </w:t>
      </w:r>
      <w:r>
        <w:rPr>
          <w:szCs w:val="22"/>
          <w:lang w:val="cy-GB"/>
        </w:rPr>
        <w:t>T</w:t>
      </w:r>
      <w:r w:rsidRPr="009C5E54">
        <w:rPr>
          <w:szCs w:val="22"/>
          <w:lang w:val="cy-GB"/>
        </w:rPr>
        <w:t>otal number of landings made per day at all sites within the Antarctic Peninsula</w:t>
      </w:r>
      <w:r>
        <w:rPr>
          <w:szCs w:val="22"/>
          <w:lang w:val="cy-GB"/>
        </w:rPr>
        <w:t xml:space="preserve"> over a five-year period</w:t>
      </w:r>
      <w:r w:rsidRPr="009C5E54">
        <w:rPr>
          <w:szCs w:val="22"/>
          <w:lang w:val="cy-GB"/>
        </w:rPr>
        <w:t xml:space="preserve"> </w:t>
      </w:r>
      <w:r>
        <w:rPr>
          <w:szCs w:val="22"/>
          <w:lang w:val="cy-GB"/>
        </w:rPr>
        <w:t>(2015</w:t>
      </w:r>
      <w:r>
        <w:rPr>
          <w:lang w:val="en-US"/>
        </w:rPr>
        <w:t>–</w:t>
      </w:r>
      <w:r>
        <w:rPr>
          <w:szCs w:val="22"/>
          <w:lang w:val="cy-GB"/>
        </w:rPr>
        <w:t>2020).</w:t>
      </w:r>
    </w:p>
    <w:p w14:paraId="4E0C9CCD" w14:textId="77777777" w:rsidR="00FF1F3A" w:rsidRPr="00073588" w:rsidRDefault="00FF1F3A" w:rsidP="00FF1F3A">
      <w:pPr>
        <w:rPr>
          <w:sz w:val="10"/>
          <w:szCs w:val="10"/>
        </w:rPr>
      </w:pPr>
    </w:p>
    <w:p w14:paraId="54E8485A" w14:textId="77777777" w:rsidR="00FF1F3A" w:rsidRPr="009C5E54" w:rsidRDefault="00FF1F3A" w:rsidP="00FF1F3A">
      <w:pPr>
        <w:rPr>
          <w:szCs w:val="22"/>
        </w:rPr>
      </w:pPr>
      <w:r>
        <w:rPr>
          <w:szCs w:val="22"/>
        </w:rPr>
        <w:t>T</w:t>
      </w:r>
      <w:r w:rsidRPr="009C5E54">
        <w:rPr>
          <w:szCs w:val="22"/>
        </w:rPr>
        <w:t xml:space="preserve">here is variation in levels of activity. These peaks and troughs are remarkably similar </w:t>
      </w:r>
      <w:r>
        <w:rPr>
          <w:szCs w:val="22"/>
        </w:rPr>
        <w:t xml:space="preserve">from season to season, and demonstrate the fluctuations in levels of visitation, resulting from schedules for expeditions considering the holiday season breaks. </w:t>
      </w:r>
    </w:p>
    <w:p w14:paraId="6E2C8367" w14:textId="77777777" w:rsidR="00FF1F3A" w:rsidRPr="009C5E54" w:rsidRDefault="00FF1F3A" w:rsidP="00FF1F3A">
      <w:pPr>
        <w:pStyle w:val="AtsNormal0"/>
        <w:rPr>
          <w:szCs w:val="22"/>
        </w:rPr>
      </w:pPr>
      <w:r w:rsidRPr="009C5E54">
        <w:rPr>
          <w:szCs w:val="22"/>
          <w:lang w:val="cy-GB"/>
        </w:rPr>
        <w:t xml:space="preserve">Additional tourism statistics are available on the IAATO website: </w:t>
      </w:r>
      <w:r w:rsidRPr="009C5E54">
        <w:rPr>
          <w:szCs w:val="22"/>
        </w:rPr>
        <w:t>https://iaato.org/information-resources/data-statistics/</w:t>
      </w:r>
    </w:p>
    <w:p w14:paraId="3CB9F709" w14:textId="77777777" w:rsidR="00FF1F3A" w:rsidRPr="009C5E54" w:rsidRDefault="00FF1F3A" w:rsidP="00FF1F3A">
      <w:pPr>
        <w:pStyle w:val="ATSHeading2"/>
        <w:rPr>
          <w:rFonts w:ascii="Times New Roman" w:hAnsi="Times New Roman"/>
        </w:rPr>
      </w:pPr>
      <w:r w:rsidRPr="009C5E54">
        <w:rPr>
          <w:rFonts w:ascii="Times New Roman" w:hAnsi="Times New Roman"/>
        </w:rPr>
        <w:t xml:space="preserve">Use of ATCM Visitor Site Guidelines </w:t>
      </w:r>
    </w:p>
    <w:p w14:paraId="4546EE69" w14:textId="77777777" w:rsidR="00FF1F3A" w:rsidRPr="00591721" w:rsidRDefault="00FF1F3A" w:rsidP="00FF1F3A">
      <w:pPr>
        <w:pStyle w:val="Atsheading20"/>
        <w:spacing w:before="0" w:after="0"/>
        <w:rPr>
          <w:rFonts w:ascii="Times New Roman" w:hAnsi="Times New Roman"/>
          <w:b w:val="0"/>
          <w:szCs w:val="22"/>
          <w:lang w:val="cy-GB"/>
        </w:rPr>
      </w:pPr>
      <w:r w:rsidRPr="009C5E54">
        <w:rPr>
          <w:rFonts w:ascii="Times New Roman" w:hAnsi="Times New Roman"/>
          <w:b w:val="0"/>
          <w:szCs w:val="22"/>
          <w:lang w:val="cy-GB"/>
        </w:rPr>
        <w:t xml:space="preserve">Appendix III </w:t>
      </w:r>
      <w:r>
        <w:rPr>
          <w:rFonts w:ascii="Times New Roman" w:hAnsi="Times New Roman"/>
          <w:b w:val="0"/>
          <w:szCs w:val="22"/>
          <w:lang w:val="cy-GB"/>
        </w:rPr>
        <w:t>provides a five year analysis of</w:t>
      </w:r>
      <w:r w:rsidRPr="009C5E54">
        <w:rPr>
          <w:rFonts w:ascii="Times New Roman" w:hAnsi="Times New Roman"/>
          <w:b w:val="0"/>
          <w:szCs w:val="22"/>
          <w:lang w:val="cy-GB"/>
        </w:rPr>
        <w:t xml:space="preserve"> the total number of known landings made at sites covered by ATCM Visitor Site Guidelines</w:t>
      </w:r>
      <w:r>
        <w:rPr>
          <w:rFonts w:ascii="Times New Roman" w:hAnsi="Times New Roman"/>
          <w:b w:val="0"/>
          <w:szCs w:val="22"/>
          <w:lang w:val="cy-GB"/>
        </w:rPr>
        <w:t>.</w:t>
      </w:r>
      <w:r w:rsidRPr="009C5E54">
        <w:rPr>
          <w:rFonts w:ascii="Times New Roman" w:hAnsi="Times New Roman"/>
          <w:b w:val="0"/>
          <w:szCs w:val="22"/>
          <w:lang w:val="cy-GB"/>
        </w:rPr>
        <w:t xml:space="preserve"> An assessment of the use of the sites covered by the ATCM Visitor Site Guidelines was conducted through an analysis of the </w:t>
      </w:r>
      <w:r>
        <w:rPr>
          <w:rFonts w:ascii="Times New Roman" w:hAnsi="Times New Roman"/>
          <w:b w:val="0"/>
          <w:szCs w:val="22"/>
          <w:lang w:val="cy-GB"/>
        </w:rPr>
        <w:t xml:space="preserve">ATCM </w:t>
      </w:r>
      <w:r w:rsidRPr="009C5E54">
        <w:rPr>
          <w:rFonts w:ascii="Times New Roman" w:hAnsi="Times New Roman"/>
          <w:b w:val="0"/>
          <w:szCs w:val="22"/>
          <w:lang w:val="cy-GB"/>
        </w:rPr>
        <w:t>Post Visit Report Forms</w:t>
      </w:r>
      <w:r>
        <w:rPr>
          <w:rFonts w:ascii="Times New Roman" w:hAnsi="Times New Roman"/>
          <w:b w:val="0"/>
          <w:szCs w:val="22"/>
          <w:lang w:val="cy-GB"/>
        </w:rPr>
        <w:t xml:space="preserve"> for traditional commercial ship-borne tourism in the Antarctic Peninsula.</w:t>
      </w:r>
    </w:p>
    <w:p w14:paraId="4D34F953" w14:textId="77777777" w:rsidR="00FF1F3A" w:rsidRPr="009C5E54" w:rsidRDefault="00FF1F3A" w:rsidP="00FF1F3A">
      <w:pPr>
        <w:pStyle w:val="ATSHeading2"/>
        <w:rPr>
          <w:rFonts w:ascii="Times New Roman" w:hAnsi="Times New Roman"/>
        </w:rPr>
      </w:pPr>
      <w:r w:rsidRPr="009C5E54">
        <w:rPr>
          <w:rFonts w:ascii="Times New Roman" w:hAnsi="Times New Roman"/>
        </w:rPr>
        <w:t>C</w:t>
      </w:r>
      <w:r>
        <w:rPr>
          <w:rFonts w:ascii="Times New Roman" w:hAnsi="Times New Roman"/>
        </w:rPr>
        <w:t>o</w:t>
      </w:r>
      <w:r w:rsidRPr="009C5E54">
        <w:rPr>
          <w:rFonts w:ascii="Times New Roman" w:hAnsi="Times New Roman"/>
        </w:rPr>
        <w:t>nclusion</w:t>
      </w:r>
    </w:p>
    <w:p w14:paraId="044DD46D" w14:textId="77777777" w:rsidR="00FF1F3A" w:rsidRPr="009C5E54" w:rsidRDefault="00FF1F3A" w:rsidP="00FF1F3A">
      <w:pPr>
        <w:pStyle w:val="AtsNormal0"/>
      </w:pPr>
      <w:r w:rsidRPr="009C5E54">
        <w:t xml:space="preserve">The information extracted from </w:t>
      </w:r>
      <w:r>
        <w:t>these</w:t>
      </w:r>
      <w:r w:rsidRPr="009C5E54">
        <w:t xml:space="preserve"> ATCM Post Visit Report</w:t>
      </w:r>
      <w:r>
        <w:t xml:space="preserve"> forms</w:t>
      </w:r>
      <w:r w:rsidRPr="009C5E54">
        <w:t xml:space="preserve"> for </w:t>
      </w:r>
      <w:r w:rsidRPr="009C5E54">
        <w:rPr>
          <w:lang w:val="cy-GB"/>
        </w:rPr>
        <w:t xml:space="preserve">traditional commercial ship-borne tourism </w:t>
      </w:r>
      <w:r w:rsidRPr="009C5E54">
        <w:t xml:space="preserve">in the Antarctic Peninsula shows that </w:t>
      </w:r>
      <w:r>
        <w:t xml:space="preserve">while </w:t>
      </w:r>
      <w:r w:rsidRPr="009C5E54">
        <w:t>overall tourism levels continue</w:t>
      </w:r>
      <w:r>
        <w:t>d</w:t>
      </w:r>
      <w:r w:rsidRPr="009C5E54">
        <w:t xml:space="preserve"> to rise</w:t>
      </w:r>
      <w:r>
        <w:t xml:space="preserve"> prior to the pandemic,</w:t>
      </w:r>
      <w:r w:rsidRPr="009C5E54">
        <w:t xml:space="preserve"> </w:t>
      </w:r>
      <w:r>
        <w:t>t</w:t>
      </w:r>
      <w:r w:rsidRPr="009C5E54">
        <w:t>he increase is not uniform across all visitor sites</w:t>
      </w:r>
      <w:r>
        <w:t xml:space="preserve"> as demonstrated in Appendix II.</w:t>
      </w:r>
      <w:r w:rsidRPr="009C5E54">
        <w:t xml:space="preserve"> </w:t>
      </w:r>
      <w:r>
        <w:t>A</w:t>
      </w:r>
      <w:r w:rsidRPr="009C5E54">
        <w:t xml:space="preserve"> few sites continuing to </w:t>
      </w:r>
      <w:r>
        <w:t>prove very popular</w:t>
      </w:r>
      <w:r w:rsidRPr="009C5E54">
        <w:t xml:space="preserve"> </w:t>
      </w:r>
      <w:r>
        <w:t>with a greater increase in activity, while some</w:t>
      </w:r>
      <w:r w:rsidRPr="009C5E54">
        <w:t xml:space="preserve"> other</w:t>
      </w:r>
      <w:r>
        <w:t xml:space="preserve"> sites </w:t>
      </w:r>
      <w:proofErr w:type="gramStart"/>
      <w:r>
        <w:t>actually saw</w:t>
      </w:r>
      <w:proofErr w:type="gramEnd"/>
      <w:r>
        <w:t xml:space="preserve"> </w:t>
      </w:r>
      <w:r w:rsidRPr="009C5E54">
        <w:t>a decrease in activity. The pattern of concentrated increase is believed to be partially explained by the popularity of these sites for their reliable access, ease of visitor management and aesthetic value</w:t>
      </w:r>
      <w:r>
        <w:t xml:space="preserve"> and historic interest</w:t>
      </w:r>
      <w:r w:rsidRPr="009C5E54">
        <w:t>.  Additionally, factors such as ice patterns and weather strongly contribute to site selection and visitation patterns</w:t>
      </w:r>
      <w:r>
        <w:t xml:space="preserve"> by either allowing or restricting access.</w:t>
      </w:r>
      <w:r w:rsidRPr="009C5E54">
        <w:t xml:space="preserve"> </w:t>
      </w:r>
    </w:p>
    <w:p w14:paraId="38DB02F5" w14:textId="77777777" w:rsidR="00FF1F3A" w:rsidRPr="009C5E54" w:rsidRDefault="00FF1F3A" w:rsidP="00FF1F3A">
      <w:pPr>
        <w:pStyle w:val="AtsNormal0"/>
        <w:rPr>
          <w:szCs w:val="22"/>
        </w:rPr>
      </w:pPr>
      <w:proofErr w:type="gramStart"/>
      <w:r w:rsidRPr="009C5E54">
        <w:rPr>
          <w:szCs w:val="22"/>
        </w:rPr>
        <w:t>All of</w:t>
      </w:r>
      <w:proofErr w:type="gramEnd"/>
      <w:r w:rsidRPr="009C5E54">
        <w:rPr>
          <w:szCs w:val="22"/>
        </w:rPr>
        <w:t xml:space="preserve"> the top twenty landing sites on the Peninsula are managed by ACTM Visitor Site Guidelines or through National Program Management guidelines. </w:t>
      </w:r>
    </w:p>
    <w:p w14:paraId="450D5508" w14:textId="77777777" w:rsidR="00FF1F3A" w:rsidRPr="009C5E54" w:rsidRDefault="00FF1F3A" w:rsidP="00FF1F3A">
      <w:pPr>
        <w:pStyle w:val="AtsNormal0"/>
        <w:rPr>
          <w:szCs w:val="22"/>
        </w:rPr>
      </w:pPr>
      <w:r>
        <w:rPr>
          <w:szCs w:val="22"/>
        </w:rPr>
        <w:t>I</w:t>
      </w:r>
      <w:r w:rsidRPr="009C5E54">
        <w:rPr>
          <w:szCs w:val="22"/>
        </w:rPr>
        <w:t>t is important to note the 2021</w:t>
      </w:r>
      <w:r>
        <w:rPr>
          <w:lang w:val="en-US"/>
        </w:rPr>
        <w:t>–</w:t>
      </w:r>
      <w:r w:rsidRPr="009C5E54">
        <w:rPr>
          <w:szCs w:val="22"/>
        </w:rPr>
        <w:t xml:space="preserve">22 season </w:t>
      </w:r>
      <w:r>
        <w:rPr>
          <w:szCs w:val="22"/>
        </w:rPr>
        <w:t xml:space="preserve">was greatly affected </w:t>
      </w:r>
      <w:r w:rsidRPr="009C5E54">
        <w:rPr>
          <w:szCs w:val="22"/>
        </w:rPr>
        <w:t xml:space="preserve">by the pandemic, and </w:t>
      </w:r>
      <w:r>
        <w:rPr>
          <w:szCs w:val="22"/>
        </w:rPr>
        <w:t>do</w:t>
      </w:r>
      <w:r w:rsidRPr="009C5E54">
        <w:rPr>
          <w:szCs w:val="22"/>
        </w:rPr>
        <w:t xml:space="preserve"> not reflect recent tourism trends</w:t>
      </w:r>
      <w:r>
        <w:rPr>
          <w:szCs w:val="22"/>
        </w:rPr>
        <w:t>, as mentioned in Appendix IV</w:t>
      </w:r>
      <w:r w:rsidRPr="009C5E54">
        <w:rPr>
          <w:szCs w:val="22"/>
        </w:rPr>
        <w:t xml:space="preserve">.  </w:t>
      </w:r>
    </w:p>
    <w:p w14:paraId="2B84008E" w14:textId="77777777" w:rsidR="00FF1F3A" w:rsidRPr="009C5E54" w:rsidRDefault="00FF1F3A" w:rsidP="00FF1F3A">
      <w:pPr>
        <w:pStyle w:val="AtsNormal0"/>
        <w:rPr>
          <w:szCs w:val="22"/>
        </w:rPr>
      </w:pPr>
      <w:r w:rsidRPr="009C5E54">
        <w:rPr>
          <w:szCs w:val="22"/>
        </w:rPr>
        <w:lastRenderedPageBreak/>
        <w:t>IAATO will continue to provide information annually to the CEP and ATCM on its Operators’ activities. In addition, IAATO Operators remain interested in gaining a better understanding of the use of ATCM Visitor Site Guidelines by non-IAATO visitors.</w:t>
      </w:r>
    </w:p>
    <w:p w14:paraId="0216099A" w14:textId="77777777" w:rsidR="00FF1F3A" w:rsidRPr="009C5E54" w:rsidRDefault="00FF1F3A" w:rsidP="00FF1F3A">
      <w:pPr>
        <w:pStyle w:val="ATSHeading2"/>
        <w:rPr>
          <w:rFonts w:ascii="Times New Roman" w:hAnsi="Times New Roman"/>
        </w:rPr>
      </w:pPr>
      <w:r w:rsidRPr="009C5E54">
        <w:rPr>
          <w:rFonts w:ascii="Times New Roman" w:hAnsi="Times New Roman"/>
        </w:rPr>
        <w:t>Appendices</w:t>
      </w:r>
    </w:p>
    <w:p w14:paraId="227B0D66" w14:textId="77777777" w:rsidR="00FF1F3A" w:rsidRPr="00E120B5" w:rsidRDefault="00FF1F3A" w:rsidP="00FF1F3A">
      <w:pPr>
        <w:ind w:left="1134" w:hanging="1134"/>
        <w:rPr>
          <w:szCs w:val="22"/>
        </w:rPr>
      </w:pPr>
      <w:r w:rsidRPr="00BC5435">
        <w:rPr>
          <w:b/>
          <w:bCs/>
          <w:szCs w:val="22"/>
        </w:rPr>
        <w:t>Appendix I</w:t>
      </w:r>
      <w:r w:rsidRPr="00BC5435">
        <w:rPr>
          <w:szCs w:val="22"/>
        </w:rPr>
        <w:t xml:space="preserve">:  </w:t>
      </w:r>
      <w:r w:rsidRPr="00E120B5">
        <w:rPr>
          <w:bCs/>
          <w:szCs w:val="22"/>
          <w:lang w:val="cy-GB"/>
        </w:rPr>
        <w:t>IAATO Cat</w:t>
      </w:r>
      <w:r>
        <w:rPr>
          <w:bCs/>
          <w:szCs w:val="22"/>
          <w:lang w:val="cy-GB"/>
        </w:rPr>
        <w:t>egory</w:t>
      </w:r>
      <w:r w:rsidRPr="00E120B5">
        <w:rPr>
          <w:bCs/>
          <w:szCs w:val="22"/>
          <w:lang w:val="cy-GB"/>
        </w:rPr>
        <w:t xml:space="preserve"> 1 and Cat</w:t>
      </w:r>
      <w:r>
        <w:rPr>
          <w:bCs/>
          <w:szCs w:val="22"/>
          <w:lang w:val="cy-GB"/>
        </w:rPr>
        <w:t>egory</w:t>
      </w:r>
      <w:r w:rsidRPr="00E120B5">
        <w:rPr>
          <w:bCs/>
          <w:szCs w:val="22"/>
          <w:lang w:val="cy-GB"/>
        </w:rPr>
        <w:t xml:space="preserve"> 2 Vessel withdrawals/additions </w:t>
      </w:r>
      <w:r w:rsidRPr="00E120B5">
        <w:rPr>
          <w:szCs w:val="22"/>
        </w:rPr>
        <w:t>between the 2019</w:t>
      </w:r>
      <w:r>
        <w:rPr>
          <w:lang w:val="en-US"/>
        </w:rPr>
        <w:t>–</w:t>
      </w:r>
      <w:r w:rsidRPr="00E120B5">
        <w:rPr>
          <w:szCs w:val="22"/>
        </w:rPr>
        <w:t>20 and 2021</w:t>
      </w:r>
      <w:r>
        <w:rPr>
          <w:lang w:val="en-US"/>
        </w:rPr>
        <w:t>–</w:t>
      </w:r>
      <w:r w:rsidRPr="00E120B5">
        <w:rPr>
          <w:szCs w:val="22"/>
        </w:rPr>
        <w:t>22 seasons</w:t>
      </w:r>
    </w:p>
    <w:p w14:paraId="65BDBB3A" w14:textId="77777777" w:rsidR="00FF1F3A" w:rsidRDefault="00FF1F3A" w:rsidP="00FF1F3A">
      <w:pPr>
        <w:pStyle w:val="Atsheading20"/>
        <w:spacing w:before="0" w:after="0"/>
        <w:ind w:left="1418" w:hanging="1418"/>
        <w:outlineLvl w:val="0"/>
        <w:rPr>
          <w:b w:val="0"/>
        </w:rPr>
      </w:pPr>
    </w:p>
    <w:p w14:paraId="3AC48141" w14:textId="77777777" w:rsidR="00FF1F3A" w:rsidRPr="009C5E54" w:rsidRDefault="00FF1F3A" w:rsidP="00FF1F3A">
      <w:pPr>
        <w:ind w:left="1416" w:hanging="1416"/>
        <w:rPr>
          <w:bCs/>
        </w:rPr>
      </w:pPr>
      <w:r w:rsidRPr="009C5E54">
        <w:rPr>
          <w:b/>
        </w:rPr>
        <w:t>Appendix II:</w:t>
      </w:r>
      <w:r w:rsidRPr="009C5E54">
        <w:t xml:space="preserve"> </w:t>
      </w:r>
      <w:r w:rsidRPr="009C5E54">
        <w:rPr>
          <w:bCs/>
          <w:lang w:val="cy-GB"/>
        </w:rPr>
        <w:t xml:space="preserve">Top Twenty Most-Visited Sites </w:t>
      </w:r>
      <w:r>
        <w:rPr>
          <w:bCs/>
          <w:lang w:val="cy-GB"/>
        </w:rPr>
        <w:t xml:space="preserve">between 2015–20 </w:t>
      </w:r>
      <w:r w:rsidRPr="009C5E54">
        <w:rPr>
          <w:bCs/>
          <w:lang w:val="cy-GB"/>
        </w:rPr>
        <w:t>Season</w:t>
      </w:r>
      <w:r>
        <w:rPr>
          <w:bCs/>
          <w:lang w:val="cy-GB"/>
        </w:rPr>
        <w:t>s</w:t>
      </w:r>
      <w:r w:rsidRPr="009C5E54">
        <w:rPr>
          <w:bCs/>
          <w:lang w:val="cy-GB"/>
        </w:rPr>
        <w:t xml:space="preserve"> (including yacht visits)</w:t>
      </w:r>
    </w:p>
    <w:p w14:paraId="1F9F64A5" w14:textId="77777777" w:rsidR="00FF1F3A" w:rsidRPr="009C5E54" w:rsidRDefault="00FF1F3A" w:rsidP="00FF1F3A">
      <w:pPr>
        <w:ind w:left="1416" w:hanging="1416"/>
        <w:rPr>
          <w:bCs/>
          <w:lang w:val="cy-GB"/>
        </w:rPr>
      </w:pPr>
    </w:p>
    <w:p w14:paraId="40E4D31A" w14:textId="77777777" w:rsidR="00FF1F3A" w:rsidRDefault="00FF1F3A" w:rsidP="00FF1F3A">
      <w:pPr>
        <w:ind w:left="1416" w:hanging="1416"/>
      </w:pPr>
      <w:r w:rsidRPr="009C5E54">
        <w:rPr>
          <w:b/>
        </w:rPr>
        <w:t>Appendix III:</w:t>
      </w:r>
      <w:r w:rsidRPr="009C5E54">
        <w:t xml:space="preserve"> Site </w:t>
      </w:r>
      <w:r>
        <w:t>visits</w:t>
      </w:r>
      <w:r w:rsidRPr="009C5E54">
        <w:t xml:space="preserve"> </w:t>
      </w:r>
      <w:r>
        <w:t xml:space="preserve">per season </w:t>
      </w:r>
      <w:r w:rsidRPr="009C5E54">
        <w:t xml:space="preserve">covered by the ATCM Visitor Site Guidelines </w:t>
      </w:r>
      <w:r>
        <w:t>from</w:t>
      </w:r>
      <w:r w:rsidRPr="009C5E54">
        <w:t xml:space="preserve"> 20</w:t>
      </w:r>
      <w:r>
        <w:t>15</w:t>
      </w:r>
      <w:r>
        <w:rPr>
          <w:lang w:val="en-US"/>
        </w:rPr>
        <w:t>–</w:t>
      </w:r>
      <w:r w:rsidRPr="009C5E54">
        <w:t xml:space="preserve">20 </w:t>
      </w:r>
      <w:proofErr w:type="gramStart"/>
      <w:r w:rsidRPr="009C5E54">
        <w:t>season</w:t>
      </w:r>
      <w:proofErr w:type="gramEnd"/>
      <w:r w:rsidRPr="009C5E54">
        <w:t xml:space="preserve"> </w:t>
      </w:r>
    </w:p>
    <w:p w14:paraId="25835906" w14:textId="77777777" w:rsidR="00FF1F3A" w:rsidRPr="009C5E54" w:rsidRDefault="00FF1F3A" w:rsidP="00FF1F3A">
      <w:pPr>
        <w:ind w:left="1416" w:hanging="1416"/>
      </w:pPr>
    </w:p>
    <w:p w14:paraId="3AFB0715" w14:textId="77777777" w:rsidR="00FF1F3A" w:rsidRDefault="00FF1F3A" w:rsidP="00FF1F3A">
      <w:pPr>
        <w:ind w:left="1416" w:hanging="1416"/>
      </w:pPr>
      <w:r w:rsidRPr="009C5E54">
        <w:rPr>
          <w:b/>
        </w:rPr>
        <w:t xml:space="preserve">Appendix </w:t>
      </w:r>
      <w:r>
        <w:rPr>
          <w:b/>
        </w:rPr>
        <w:t>IV</w:t>
      </w:r>
      <w:r w:rsidRPr="009C5E54">
        <w:rPr>
          <w:b/>
        </w:rPr>
        <w:t>:</w:t>
      </w:r>
      <w:r w:rsidRPr="009C5E54">
        <w:t xml:space="preserve"> Site use covered by the ATCM Visitor Site Guidelines </w:t>
      </w:r>
      <w:r>
        <w:t>from</w:t>
      </w:r>
      <w:r w:rsidRPr="009C5E54">
        <w:t xml:space="preserve"> </w:t>
      </w:r>
      <w:r>
        <w:t>2020</w:t>
      </w:r>
      <w:r>
        <w:rPr>
          <w:lang w:val="en-US"/>
        </w:rPr>
        <w:t>–</w:t>
      </w:r>
      <w:r>
        <w:t>21</w:t>
      </w:r>
      <w:r w:rsidRPr="009C5E54">
        <w:t xml:space="preserve"> </w:t>
      </w:r>
      <w:proofErr w:type="gramStart"/>
      <w:r w:rsidRPr="009C5E54">
        <w:t>season</w:t>
      </w:r>
      <w:proofErr w:type="gramEnd"/>
    </w:p>
    <w:p w14:paraId="4B4B8A8B" w14:textId="77777777" w:rsidR="00FF1F3A" w:rsidRDefault="00FF1F3A" w:rsidP="00FF1F3A">
      <w:pPr>
        <w:ind w:left="1416" w:hanging="1416"/>
      </w:pPr>
    </w:p>
    <w:p w14:paraId="2C0ECF23" w14:textId="77777777" w:rsidR="00FF1F3A" w:rsidRDefault="00FF1F3A" w:rsidP="00FF1F3A">
      <w:pPr>
        <w:ind w:left="1134" w:hanging="1134"/>
        <w:rPr>
          <w:b/>
        </w:rPr>
      </w:pPr>
    </w:p>
    <w:p w14:paraId="4F2D46FC" w14:textId="77777777" w:rsidR="00FF1F3A" w:rsidRDefault="00FF1F3A" w:rsidP="00FF1F3A">
      <w:pPr>
        <w:ind w:left="1134" w:hanging="1134"/>
        <w:rPr>
          <w:b/>
        </w:rPr>
      </w:pPr>
    </w:p>
    <w:p w14:paraId="17090026" w14:textId="77777777" w:rsidR="00FF1F3A" w:rsidRDefault="00FF1F3A" w:rsidP="00FF1F3A">
      <w:pPr>
        <w:ind w:left="1134" w:hanging="1134"/>
        <w:rPr>
          <w:b/>
        </w:rPr>
      </w:pPr>
    </w:p>
    <w:p w14:paraId="4F577A09" w14:textId="77777777" w:rsidR="00FF1F3A" w:rsidRDefault="00FF1F3A" w:rsidP="00FF1F3A">
      <w:pPr>
        <w:ind w:left="1134" w:hanging="1134"/>
        <w:rPr>
          <w:b/>
        </w:rPr>
      </w:pPr>
    </w:p>
    <w:p w14:paraId="69F18901" w14:textId="77777777" w:rsidR="00FF1F3A" w:rsidRDefault="00FF1F3A" w:rsidP="00FF1F3A">
      <w:pPr>
        <w:ind w:left="1134" w:hanging="1134"/>
        <w:rPr>
          <w:b/>
        </w:rPr>
      </w:pPr>
    </w:p>
    <w:p w14:paraId="7221CE1E" w14:textId="77777777" w:rsidR="00FF1F3A" w:rsidRDefault="00FF1F3A" w:rsidP="00FF1F3A">
      <w:pPr>
        <w:ind w:left="1134" w:hanging="1134"/>
        <w:rPr>
          <w:b/>
        </w:rPr>
      </w:pPr>
    </w:p>
    <w:p w14:paraId="15ED3E2D" w14:textId="77777777" w:rsidR="00FF1F3A" w:rsidRDefault="00FF1F3A" w:rsidP="00FF1F3A">
      <w:pPr>
        <w:ind w:left="1134" w:hanging="1134"/>
        <w:rPr>
          <w:b/>
        </w:rPr>
      </w:pPr>
    </w:p>
    <w:p w14:paraId="4976FFC4" w14:textId="77777777" w:rsidR="00FF1F3A" w:rsidRDefault="00FF1F3A" w:rsidP="00FF1F3A">
      <w:pPr>
        <w:ind w:left="1134" w:hanging="1134"/>
        <w:rPr>
          <w:b/>
        </w:rPr>
      </w:pPr>
    </w:p>
    <w:p w14:paraId="753EDD9D" w14:textId="77777777" w:rsidR="00FF1F3A" w:rsidRDefault="00FF1F3A" w:rsidP="00FF1F3A">
      <w:pPr>
        <w:ind w:left="1134" w:hanging="1134"/>
        <w:rPr>
          <w:b/>
        </w:rPr>
      </w:pPr>
    </w:p>
    <w:p w14:paraId="07C8C0F5" w14:textId="77777777" w:rsidR="00FF1F3A" w:rsidRDefault="00FF1F3A" w:rsidP="00FF1F3A">
      <w:pPr>
        <w:ind w:left="1134" w:hanging="1134"/>
        <w:rPr>
          <w:b/>
        </w:rPr>
      </w:pPr>
    </w:p>
    <w:p w14:paraId="3B9F204A" w14:textId="77777777" w:rsidR="00FF1F3A" w:rsidRDefault="00FF1F3A" w:rsidP="00FF1F3A">
      <w:pPr>
        <w:ind w:left="1134" w:hanging="1134"/>
        <w:rPr>
          <w:b/>
        </w:rPr>
      </w:pPr>
    </w:p>
    <w:p w14:paraId="62A693F1" w14:textId="77777777" w:rsidR="00FF1F3A" w:rsidRDefault="00FF1F3A" w:rsidP="00FF1F3A">
      <w:pPr>
        <w:ind w:left="1134" w:hanging="1134"/>
        <w:rPr>
          <w:b/>
        </w:rPr>
      </w:pPr>
    </w:p>
    <w:p w14:paraId="2B867552" w14:textId="77777777" w:rsidR="00FF1F3A" w:rsidRDefault="00FF1F3A" w:rsidP="00FF1F3A">
      <w:pPr>
        <w:ind w:left="1134" w:hanging="1134"/>
        <w:rPr>
          <w:b/>
        </w:rPr>
      </w:pPr>
    </w:p>
    <w:p w14:paraId="604F8C6D" w14:textId="77777777" w:rsidR="00FF1F3A" w:rsidRDefault="00FF1F3A" w:rsidP="00FF1F3A">
      <w:pPr>
        <w:ind w:left="1134" w:hanging="1134"/>
        <w:rPr>
          <w:b/>
        </w:rPr>
      </w:pPr>
    </w:p>
    <w:p w14:paraId="66CB0FEE" w14:textId="77777777" w:rsidR="00FF1F3A" w:rsidRDefault="00FF1F3A" w:rsidP="00FF1F3A">
      <w:pPr>
        <w:ind w:left="1134" w:hanging="1134"/>
        <w:rPr>
          <w:b/>
        </w:rPr>
      </w:pPr>
    </w:p>
    <w:p w14:paraId="172F119A" w14:textId="77777777" w:rsidR="00FF1F3A" w:rsidRDefault="00FF1F3A" w:rsidP="00FF1F3A">
      <w:pPr>
        <w:ind w:left="1134" w:hanging="1134"/>
        <w:rPr>
          <w:b/>
        </w:rPr>
      </w:pPr>
    </w:p>
    <w:p w14:paraId="03C30941" w14:textId="77777777" w:rsidR="00FF1F3A" w:rsidRDefault="00FF1F3A" w:rsidP="00FF1F3A">
      <w:pPr>
        <w:ind w:left="1134" w:hanging="1134"/>
        <w:rPr>
          <w:b/>
        </w:rPr>
      </w:pPr>
    </w:p>
    <w:p w14:paraId="6C46C0F4" w14:textId="77777777" w:rsidR="00FF1F3A" w:rsidRDefault="00FF1F3A" w:rsidP="00FF1F3A">
      <w:pPr>
        <w:ind w:left="1134" w:hanging="1134"/>
        <w:rPr>
          <w:b/>
        </w:rPr>
      </w:pPr>
    </w:p>
    <w:p w14:paraId="71652F46" w14:textId="77777777" w:rsidR="00FF1F3A" w:rsidRDefault="00FF1F3A" w:rsidP="00FF1F3A">
      <w:pPr>
        <w:ind w:left="1134" w:hanging="1134"/>
        <w:rPr>
          <w:b/>
        </w:rPr>
      </w:pPr>
    </w:p>
    <w:p w14:paraId="51D37A27" w14:textId="77777777" w:rsidR="00FF1F3A" w:rsidRDefault="00FF1F3A" w:rsidP="00FF1F3A">
      <w:pPr>
        <w:ind w:left="1134" w:hanging="1134"/>
        <w:rPr>
          <w:b/>
        </w:rPr>
      </w:pPr>
    </w:p>
    <w:p w14:paraId="39020F66" w14:textId="77777777" w:rsidR="00FF1F3A" w:rsidRDefault="00FF1F3A" w:rsidP="00FF1F3A">
      <w:pPr>
        <w:ind w:left="1134" w:hanging="1134"/>
        <w:rPr>
          <w:b/>
        </w:rPr>
      </w:pPr>
    </w:p>
    <w:p w14:paraId="1F157EBE" w14:textId="77777777" w:rsidR="00FF1F3A" w:rsidRDefault="00FF1F3A" w:rsidP="00FF1F3A">
      <w:pPr>
        <w:ind w:left="1134" w:hanging="1134"/>
        <w:rPr>
          <w:b/>
        </w:rPr>
      </w:pPr>
    </w:p>
    <w:p w14:paraId="16AC0BD4" w14:textId="77777777" w:rsidR="00FF1F3A" w:rsidRDefault="00FF1F3A" w:rsidP="00FF1F3A">
      <w:pPr>
        <w:ind w:left="1134" w:hanging="1134"/>
        <w:rPr>
          <w:b/>
        </w:rPr>
      </w:pPr>
    </w:p>
    <w:p w14:paraId="614E7E75" w14:textId="77777777" w:rsidR="00FF1F3A" w:rsidRDefault="00FF1F3A" w:rsidP="00FF1F3A">
      <w:pPr>
        <w:ind w:left="1134" w:hanging="1134"/>
        <w:rPr>
          <w:b/>
        </w:rPr>
      </w:pPr>
    </w:p>
    <w:p w14:paraId="1B56426C" w14:textId="77777777" w:rsidR="00FF1F3A" w:rsidRDefault="00FF1F3A" w:rsidP="00FF1F3A">
      <w:pPr>
        <w:ind w:left="1134" w:hanging="1134"/>
        <w:rPr>
          <w:b/>
        </w:rPr>
      </w:pPr>
    </w:p>
    <w:p w14:paraId="573EDCA2" w14:textId="77777777" w:rsidR="00FF1F3A" w:rsidRDefault="00FF1F3A" w:rsidP="00FF1F3A">
      <w:pPr>
        <w:ind w:left="1134" w:hanging="1134"/>
        <w:rPr>
          <w:b/>
        </w:rPr>
      </w:pPr>
    </w:p>
    <w:p w14:paraId="21A323EC" w14:textId="77777777" w:rsidR="00FF1F3A" w:rsidRDefault="00FF1F3A" w:rsidP="00FF1F3A">
      <w:pPr>
        <w:ind w:left="1134" w:hanging="1134"/>
        <w:rPr>
          <w:b/>
        </w:rPr>
      </w:pPr>
    </w:p>
    <w:p w14:paraId="0AA5CBE3" w14:textId="77777777" w:rsidR="00FF1F3A" w:rsidRDefault="00FF1F3A" w:rsidP="00FF1F3A">
      <w:pPr>
        <w:ind w:left="1134" w:hanging="1134"/>
        <w:rPr>
          <w:b/>
        </w:rPr>
      </w:pPr>
    </w:p>
    <w:p w14:paraId="158B6AF4" w14:textId="77777777" w:rsidR="00FF1F3A" w:rsidRDefault="00FF1F3A" w:rsidP="00FF1F3A">
      <w:pPr>
        <w:ind w:left="1134" w:hanging="1134"/>
        <w:rPr>
          <w:b/>
        </w:rPr>
      </w:pPr>
    </w:p>
    <w:p w14:paraId="2092E1EB" w14:textId="77777777" w:rsidR="00FF1F3A" w:rsidRDefault="00FF1F3A" w:rsidP="00FF1F3A">
      <w:pPr>
        <w:ind w:left="1134" w:hanging="1134"/>
        <w:rPr>
          <w:b/>
        </w:rPr>
      </w:pPr>
    </w:p>
    <w:p w14:paraId="3DF1AE97" w14:textId="77777777" w:rsidR="00FF1F3A" w:rsidRDefault="00FF1F3A" w:rsidP="00FF1F3A">
      <w:pPr>
        <w:ind w:left="1134" w:hanging="1134"/>
        <w:rPr>
          <w:b/>
        </w:rPr>
      </w:pPr>
    </w:p>
    <w:p w14:paraId="7BC3B5DC" w14:textId="77777777" w:rsidR="00FF1F3A" w:rsidRDefault="00FF1F3A" w:rsidP="00FF1F3A">
      <w:pPr>
        <w:ind w:left="1134" w:hanging="1134"/>
        <w:rPr>
          <w:b/>
        </w:rPr>
      </w:pPr>
    </w:p>
    <w:p w14:paraId="1E24C56A" w14:textId="77777777" w:rsidR="00FF1F3A" w:rsidRDefault="00FF1F3A" w:rsidP="00FF1F3A">
      <w:pPr>
        <w:ind w:left="1134" w:hanging="1134"/>
        <w:rPr>
          <w:b/>
        </w:rPr>
      </w:pPr>
    </w:p>
    <w:p w14:paraId="03B63D2B" w14:textId="77777777" w:rsidR="00FF1F3A" w:rsidRDefault="00FF1F3A" w:rsidP="00FF1F3A">
      <w:pPr>
        <w:ind w:left="1134" w:hanging="1134"/>
        <w:rPr>
          <w:b/>
        </w:rPr>
      </w:pPr>
    </w:p>
    <w:p w14:paraId="01553CF1" w14:textId="77777777" w:rsidR="00FF1F3A" w:rsidRDefault="00FF1F3A" w:rsidP="00FF1F3A">
      <w:pPr>
        <w:ind w:left="1134" w:hanging="1134"/>
        <w:rPr>
          <w:b/>
        </w:rPr>
      </w:pPr>
    </w:p>
    <w:p w14:paraId="3E0FA45F" w14:textId="77777777" w:rsidR="00FF1F3A" w:rsidRDefault="00FF1F3A" w:rsidP="00FF1F3A">
      <w:pPr>
        <w:ind w:left="1134" w:hanging="1134"/>
        <w:rPr>
          <w:b/>
        </w:rPr>
      </w:pPr>
    </w:p>
    <w:p w14:paraId="79219A8A" w14:textId="77777777" w:rsidR="00FF1F3A" w:rsidRDefault="00FF1F3A" w:rsidP="00FF1F3A">
      <w:pPr>
        <w:ind w:left="1134" w:hanging="1134"/>
        <w:rPr>
          <w:b/>
        </w:rPr>
      </w:pPr>
    </w:p>
    <w:p w14:paraId="1932971F" w14:textId="77777777" w:rsidR="00FF1F3A" w:rsidRDefault="00FF1F3A" w:rsidP="00FF1F3A">
      <w:pPr>
        <w:ind w:left="1134" w:hanging="1134"/>
        <w:rPr>
          <w:b/>
        </w:rPr>
      </w:pPr>
    </w:p>
    <w:p w14:paraId="44DC44D2" w14:textId="77777777" w:rsidR="00FF1F3A" w:rsidRDefault="00FF1F3A" w:rsidP="00FF1F3A">
      <w:pPr>
        <w:ind w:left="1134" w:hanging="1134"/>
        <w:rPr>
          <w:b/>
        </w:rPr>
      </w:pPr>
    </w:p>
    <w:p w14:paraId="51490DD8" w14:textId="77777777" w:rsidR="00FF1F3A" w:rsidRDefault="00FF1F3A" w:rsidP="00FF1F3A">
      <w:pPr>
        <w:ind w:left="1134" w:hanging="1134"/>
        <w:rPr>
          <w:b/>
        </w:rPr>
      </w:pPr>
    </w:p>
    <w:p w14:paraId="7AA50456" w14:textId="77777777" w:rsidR="00FF1F3A" w:rsidRDefault="00FF1F3A" w:rsidP="00FF1F3A">
      <w:pPr>
        <w:ind w:left="1134" w:hanging="1134"/>
        <w:rPr>
          <w:b/>
        </w:rPr>
      </w:pPr>
    </w:p>
    <w:p w14:paraId="27A45486" w14:textId="77777777" w:rsidR="00FF1F3A" w:rsidRDefault="00FF1F3A" w:rsidP="00FF1F3A">
      <w:pPr>
        <w:ind w:left="1134" w:hanging="1134"/>
        <w:rPr>
          <w:b/>
        </w:rPr>
      </w:pPr>
    </w:p>
    <w:p w14:paraId="664B6721" w14:textId="77777777" w:rsidR="00FF1F3A" w:rsidRDefault="00FF1F3A" w:rsidP="00FF1F3A">
      <w:pPr>
        <w:ind w:left="1134" w:hanging="1134"/>
        <w:rPr>
          <w:b/>
        </w:rPr>
      </w:pPr>
    </w:p>
    <w:p w14:paraId="75C03DA5" w14:textId="77777777" w:rsidR="00FF1F3A" w:rsidRDefault="00FF1F3A" w:rsidP="00FF1F3A">
      <w:pPr>
        <w:ind w:left="1134" w:hanging="1134"/>
        <w:rPr>
          <w:b/>
        </w:rPr>
      </w:pPr>
    </w:p>
    <w:p w14:paraId="6B09C8EB" w14:textId="77777777" w:rsidR="00FF1F3A" w:rsidRDefault="00FF1F3A" w:rsidP="00FF1F3A">
      <w:pPr>
        <w:ind w:left="1134" w:hanging="1134"/>
        <w:rPr>
          <w:b/>
        </w:rPr>
      </w:pPr>
    </w:p>
    <w:p w14:paraId="716DC173" w14:textId="77777777" w:rsidR="00FF1F3A" w:rsidRPr="009C5E54" w:rsidRDefault="00FF1F3A" w:rsidP="00FF1F3A">
      <w:pPr>
        <w:ind w:left="1134" w:hanging="1134"/>
        <w:rPr>
          <w:b/>
          <w:bCs/>
        </w:rPr>
      </w:pPr>
      <w:r w:rsidRPr="009C5E54">
        <w:rPr>
          <w:b/>
        </w:rPr>
        <w:t xml:space="preserve">Appendix I: </w:t>
      </w:r>
      <w:r>
        <w:rPr>
          <w:b/>
        </w:rPr>
        <w:t xml:space="preserve">Projected </w:t>
      </w:r>
      <w:r w:rsidRPr="009C5E54">
        <w:rPr>
          <w:b/>
          <w:bCs/>
        </w:rPr>
        <w:t xml:space="preserve">IAATO Category 1 and Category 2 Vessel withdrawals/additions between </w:t>
      </w:r>
      <w:r>
        <w:rPr>
          <w:b/>
          <w:bCs/>
        </w:rPr>
        <w:t>2019-20</w:t>
      </w:r>
      <w:r w:rsidRPr="009C5E54">
        <w:rPr>
          <w:b/>
          <w:bCs/>
        </w:rPr>
        <w:t xml:space="preserve"> and </w:t>
      </w:r>
      <w:r>
        <w:rPr>
          <w:b/>
          <w:bCs/>
        </w:rPr>
        <w:t>2021-22</w:t>
      </w:r>
      <w:r w:rsidRPr="009C5E54">
        <w:rPr>
          <w:b/>
          <w:bCs/>
        </w:rPr>
        <w:t xml:space="preserve"> seasons.</w:t>
      </w:r>
    </w:p>
    <w:p w14:paraId="1AA35024" w14:textId="77777777" w:rsidR="00FF1F3A" w:rsidRPr="009C5E54" w:rsidRDefault="00FF1F3A" w:rsidP="00FF1F3A">
      <w:pPr>
        <w:rPr>
          <w:i/>
        </w:rPr>
      </w:pPr>
    </w:p>
    <w:tbl>
      <w:tblPr>
        <w:tblW w:w="9060" w:type="dxa"/>
        <w:tblLook w:val="04A0" w:firstRow="1" w:lastRow="0" w:firstColumn="1" w:lastColumn="0" w:noHBand="0" w:noVBand="1"/>
      </w:tblPr>
      <w:tblGrid>
        <w:gridCol w:w="4300"/>
        <w:gridCol w:w="4760"/>
      </w:tblGrid>
      <w:tr w:rsidR="00FF1F3A" w:rsidRPr="009C5E54" w14:paraId="7CDC8277" w14:textId="77777777" w:rsidTr="00A44582">
        <w:trPr>
          <w:trHeight w:val="840"/>
        </w:trPr>
        <w:tc>
          <w:tcPr>
            <w:tcW w:w="4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463632" w14:textId="77777777" w:rsidR="00FF1F3A" w:rsidRPr="009C5E54" w:rsidRDefault="00FF1F3A" w:rsidP="00A44582">
            <w:pPr>
              <w:jc w:val="center"/>
              <w:rPr>
                <w:b/>
                <w:bCs/>
                <w:color w:val="4472C4"/>
              </w:rPr>
            </w:pPr>
            <w:r w:rsidRPr="00394EE1">
              <w:rPr>
                <w:b/>
                <w:bCs/>
                <w:color w:val="000000"/>
              </w:rPr>
              <w:t>IAATO Cat 1</w:t>
            </w:r>
            <w:r>
              <w:rPr>
                <w:b/>
                <w:bCs/>
                <w:color w:val="000000"/>
              </w:rPr>
              <w:t xml:space="preserve"> </w:t>
            </w:r>
            <w:r w:rsidRPr="00394EE1">
              <w:rPr>
                <w:b/>
                <w:bCs/>
                <w:color w:val="000000"/>
              </w:rPr>
              <w:t>&amp;</w:t>
            </w:r>
            <w:r>
              <w:rPr>
                <w:b/>
                <w:bCs/>
                <w:color w:val="000000"/>
              </w:rPr>
              <w:t xml:space="preserve"> </w:t>
            </w:r>
            <w:r w:rsidRPr="00394EE1">
              <w:rPr>
                <w:b/>
                <w:bCs/>
                <w:color w:val="000000"/>
              </w:rPr>
              <w:t>2 Vessels Additions</w:t>
            </w:r>
          </w:p>
        </w:tc>
        <w:tc>
          <w:tcPr>
            <w:tcW w:w="4760" w:type="dxa"/>
            <w:tcBorders>
              <w:top w:val="single" w:sz="4" w:space="0" w:color="auto"/>
              <w:left w:val="nil"/>
              <w:bottom w:val="single" w:sz="4" w:space="0" w:color="auto"/>
              <w:right w:val="single" w:sz="4" w:space="0" w:color="auto"/>
            </w:tcBorders>
            <w:shd w:val="clear" w:color="000000" w:fill="D9D9D9"/>
            <w:noWrap/>
            <w:vAlign w:val="center"/>
            <w:hideMark/>
          </w:tcPr>
          <w:p w14:paraId="4E99C9B8" w14:textId="77777777" w:rsidR="00FF1F3A" w:rsidRPr="009C5E54" w:rsidRDefault="00FF1F3A" w:rsidP="00A44582">
            <w:pPr>
              <w:jc w:val="center"/>
              <w:rPr>
                <w:b/>
                <w:bCs/>
                <w:color w:val="4472C4"/>
              </w:rPr>
            </w:pPr>
            <w:r w:rsidRPr="00394EE1">
              <w:rPr>
                <w:b/>
                <w:bCs/>
                <w:color w:val="000000"/>
              </w:rPr>
              <w:t>IAATO Cat 1</w:t>
            </w:r>
            <w:r>
              <w:rPr>
                <w:b/>
                <w:bCs/>
                <w:color w:val="000000"/>
              </w:rPr>
              <w:t xml:space="preserve"> </w:t>
            </w:r>
            <w:r w:rsidRPr="00394EE1">
              <w:rPr>
                <w:b/>
                <w:bCs/>
                <w:color w:val="000000"/>
              </w:rPr>
              <w:t>&amp;</w:t>
            </w:r>
            <w:r>
              <w:rPr>
                <w:b/>
                <w:bCs/>
                <w:color w:val="000000"/>
              </w:rPr>
              <w:t xml:space="preserve"> </w:t>
            </w:r>
            <w:r w:rsidRPr="00394EE1">
              <w:rPr>
                <w:b/>
                <w:bCs/>
                <w:color w:val="000000"/>
              </w:rPr>
              <w:t>2 Vessels Withdrawn</w:t>
            </w:r>
          </w:p>
        </w:tc>
      </w:tr>
      <w:tr w:rsidR="00FF1F3A" w:rsidRPr="009C5E54" w14:paraId="4955192E"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3285FB47" w14:textId="77777777" w:rsidR="00FF1F3A" w:rsidRPr="009C5E54" w:rsidRDefault="00FF1F3A" w:rsidP="00A44582">
            <w:pPr>
              <w:rPr>
                <w:color w:val="000000"/>
              </w:rPr>
            </w:pPr>
            <w:r>
              <w:rPr>
                <w:color w:val="000000"/>
              </w:rPr>
              <w:t>Crystal Endeavor</w:t>
            </w:r>
            <w:r w:rsidRPr="009C5E54">
              <w:rPr>
                <w:color w:val="000000"/>
              </w:rPr>
              <w:t xml:space="preserve"> – Category 1</w:t>
            </w:r>
          </w:p>
        </w:tc>
        <w:tc>
          <w:tcPr>
            <w:tcW w:w="4760" w:type="dxa"/>
            <w:tcBorders>
              <w:top w:val="nil"/>
              <w:left w:val="nil"/>
              <w:bottom w:val="single" w:sz="4" w:space="0" w:color="auto"/>
              <w:right w:val="single" w:sz="4" w:space="0" w:color="auto"/>
            </w:tcBorders>
            <w:noWrap/>
            <w:vAlign w:val="bottom"/>
            <w:hideMark/>
          </w:tcPr>
          <w:p w14:paraId="5905A9EF" w14:textId="77777777" w:rsidR="00FF1F3A" w:rsidRPr="009C5E54" w:rsidRDefault="00FF1F3A" w:rsidP="00A44582">
            <w:pPr>
              <w:rPr>
                <w:color w:val="000000"/>
              </w:rPr>
            </w:pPr>
            <w:proofErr w:type="spellStart"/>
            <w:r>
              <w:rPr>
                <w:color w:val="000000"/>
              </w:rPr>
              <w:t>Akademik</w:t>
            </w:r>
            <w:proofErr w:type="spellEnd"/>
            <w:r>
              <w:rPr>
                <w:color w:val="000000"/>
              </w:rPr>
              <w:t xml:space="preserve"> </w:t>
            </w:r>
            <w:proofErr w:type="spellStart"/>
            <w:r>
              <w:rPr>
                <w:color w:val="000000"/>
              </w:rPr>
              <w:t>Shokalskiy</w:t>
            </w:r>
            <w:proofErr w:type="spellEnd"/>
            <w:r>
              <w:rPr>
                <w:color w:val="000000"/>
              </w:rPr>
              <w:t xml:space="preserve"> – Category 1</w:t>
            </w:r>
          </w:p>
        </w:tc>
      </w:tr>
      <w:tr w:rsidR="00FF1F3A" w:rsidRPr="009C5E54" w14:paraId="3D0D23AC"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60B3CE01" w14:textId="77777777" w:rsidR="00FF1F3A" w:rsidRPr="009C5E54" w:rsidRDefault="00FF1F3A" w:rsidP="00A44582">
            <w:pPr>
              <w:rPr>
                <w:color w:val="000000"/>
              </w:rPr>
            </w:pPr>
            <w:proofErr w:type="spellStart"/>
            <w:r>
              <w:rPr>
                <w:color w:val="000000"/>
              </w:rPr>
              <w:t>Fridtjof</w:t>
            </w:r>
            <w:proofErr w:type="spellEnd"/>
            <w:r>
              <w:rPr>
                <w:color w:val="000000"/>
              </w:rPr>
              <w:t xml:space="preserve"> Nansen</w:t>
            </w:r>
            <w:r w:rsidRPr="009C5E54">
              <w:rPr>
                <w:color w:val="000000"/>
              </w:rPr>
              <w:t xml:space="preserve"> – Category </w:t>
            </w:r>
            <w:r>
              <w:rPr>
                <w:color w:val="000000"/>
              </w:rPr>
              <w:t>2</w:t>
            </w:r>
          </w:p>
        </w:tc>
        <w:tc>
          <w:tcPr>
            <w:tcW w:w="4760" w:type="dxa"/>
            <w:tcBorders>
              <w:top w:val="nil"/>
              <w:left w:val="nil"/>
              <w:bottom w:val="single" w:sz="4" w:space="0" w:color="auto"/>
              <w:right w:val="single" w:sz="4" w:space="0" w:color="auto"/>
            </w:tcBorders>
            <w:noWrap/>
            <w:vAlign w:val="bottom"/>
            <w:hideMark/>
          </w:tcPr>
          <w:p w14:paraId="6CF2E376" w14:textId="77777777" w:rsidR="00FF1F3A" w:rsidRPr="009C5E54" w:rsidRDefault="00FF1F3A" w:rsidP="00A44582">
            <w:pPr>
              <w:rPr>
                <w:color w:val="000000"/>
              </w:rPr>
            </w:pPr>
            <w:proofErr w:type="spellStart"/>
            <w:r>
              <w:rPr>
                <w:color w:val="000000"/>
              </w:rPr>
              <w:t>Midnatsol</w:t>
            </w:r>
            <w:proofErr w:type="spellEnd"/>
            <w:r w:rsidRPr="009C5E54">
              <w:rPr>
                <w:color w:val="000000"/>
              </w:rPr>
              <w:t xml:space="preserve"> – Category </w:t>
            </w:r>
            <w:r>
              <w:rPr>
                <w:color w:val="000000"/>
              </w:rPr>
              <w:t>2</w:t>
            </w:r>
          </w:p>
        </w:tc>
      </w:tr>
      <w:tr w:rsidR="00FF1F3A" w:rsidRPr="009C5E54" w14:paraId="0ABF6D5C"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3C1E566D" w14:textId="77777777" w:rsidR="00FF1F3A" w:rsidRPr="009C5E54" w:rsidRDefault="00FF1F3A" w:rsidP="00A44582">
            <w:pPr>
              <w:rPr>
                <w:color w:val="000000"/>
              </w:rPr>
            </w:pPr>
            <w:r w:rsidRPr="009C5E54">
              <w:rPr>
                <w:color w:val="000000"/>
              </w:rPr>
              <w:t xml:space="preserve">Hanseatic </w:t>
            </w:r>
            <w:r>
              <w:rPr>
                <w:color w:val="000000"/>
              </w:rPr>
              <w:t>Spirit</w:t>
            </w:r>
            <w:r w:rsidRPr="009C5E54">
              <w:rPr>
                <w:color w:val="000000"/>
              </w:rPr>
              <w:t xml:space="preserve"> – Category 1</w:t>
            </w:r>
          </w:p>
        </w:tc>
        <w:tc>
          <w:tcPr>
            <w:tcW w:w="4760" w:type="dxa"/>
            <w:tcBorders>
              <w:top w:val="nil"/>
              <w:left w:val="nil"/>
              <w:bottom w:val="single" w:sz="4" w:space="0" w:color="auto"/>
              <w:right w:val="single" w:sz="4" w:space="0" w:color="auto"/>
            </w:tcBorders>
            <w:noWrap/>
            <w:vAlign w:val="bottom"/>
            <w:hideMark/>
          </w:tcPr>
          <w:p w14:paraId="72E65E60" w14:textId="77777777" w:rsidR="00FF1F3A" w:rsidRPr="009C5E54" w:rsidRDefault="00FF1F3A" w:rsidP="00A44582">
            <w:pPr>
              <w:rPr>
                <w:color w:val="000000"/>
              </w:rPr>
            </w:pPr>
            <w:r>
              <w:rPr>
                <w:color w:val="000000"/>
              </w:rPr>
              <w:t>National Geographic Orion</w:t>
            </w:r>
            <w:r w:rsidRPr="009C5E54">
              <w:rPr>
                <w:color w:val="000000"/>
              </w:rPr>
              <w:t xml:space="preserve"> – Category 1</w:t>
            </w:r>
          </w:p>
        </w:tc>
      </w:tr>
      <w:tr w:rsidR="00FF1F3A" w:rsidRPr="009C5E54" w14:paraId="447907DC"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6CD305DC" w14:textId="77777777" w:rsidR="00FF1F3A" w:rsidRPr="009C5E54" w:rsidRDefault="00FF1F3A" w:rsidP="00A44582">
            <w:pPr>
              <w:rPr>
                <w:color w:val="000000"/>
              </w:rPr>
            </w:pPr>
            <w:r w:rsidRPr="009C5E54">
              <w:rPr>
                <w:color w:val="000000"/>
              </w:rPr>
              <w:t> </w:t>
            </w:r>
            <w:proofErr w:type="spellStart"/>
            <w:r>
              <w:rPr>
                <w:color w:val="000000"/>
              </w:rPr>
              <w:t>Janssonius</w:t>
            </w:r>
            <w:proofErr w:type="spellEnd"/>
            <w:r w:rsidRPr="009C5E54">
              <w:rPr>
                <w:color w:val="000000"/>
              </w:rPr>
              <w:t xml:space="preserve"> – Category 1</w:t>
            </w:r>
          </w:p>
        </w:tc>
        <w:tc>
          <w:tcPr>
            <w:tcW w:w="4760" w:type="dxa"/>
            <w:tcBorders>
              <w:top w:val="nil"/>
              <w:left w:val="nil"/>
              <w:bottom w:val="single" w:sz="4" w:space="0" w:color="auto"/>
              <w:right w:val="single" w:sz="4" w:space="0" w:color="auto"/>
            </w:tcBorders>
            <w:noWrap/>
            <w:vAlign w:val="bottom"/>
            <w:hideMark/>
          </w:tcPr>
          <w:p w14:paraId="7694C5E6" w14:textId="77777777" w:rsidR="00FF1F3A" w:rsidRPr="009C5E54" w:rsidRDefault="00FF1F3A" w:rsidP="00A44582">
            <w:pPr>
              <w:rPr>
                <w:color w:val="000000"/>
              </w:rPr>
            </w:pPr>
            <w:r>
              <w:rPr>
                <w:color w:val="000000"/>
              </w:rPr>
              <w:t>Ocean Endeavor* – Category 1</w:t>
            </w:r>
          </w:p>
        </w:tc>
      </w:tr>
      <w:tr w:rsidR="00FF1F3A" w:rsidRPr="009C5E54" w14:paraId="51FA9EFF"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722F4DC6" w14:textId="77777777" w:rsidR="00FF1F3A" w:rsidRPr="009C5E54" w:rsidRDefault="00FF1F3A" w:rsidP="00A44582">
            <w:pPr>
              <w:rPr>
                <w:color w:val="000000"/>
              </w:rPr>
            </w:pPr>
            <w:r w:rsidRPr="009C5E54">
              <w:rPr>
                <w:color w:val="000000"/>
              </w:rPr>
              <w:t> </w:t>
            </w:r>
            <w:r>
              <w:rPr>
                <w:color w:val="000000"/>
              </w:rPr>
              <w:t xml:space="preserve">Le Commandant </w:t>
            </w:r>
            <w:proofErr w:type="gramStart"/>
            <w:r>
              <w:rPr>
                <w:color w:val="000000"/>
              </w:rPr>
              <w:t xml:space="preserve">Charcot </w:t>
            </w:r>
            <w:r w:rsidRPr="009C5E54">
              <w:rPr>
                <w:color w:val="000000"/>
              </w:rPr>
              <w:t xml:space="preserve"> –</w:t>
            </w:r>
            <w:proofErr w:type="gramEnd"/>
            <w:r w:rsidRPr="009C5E54">
              <w:rPr>
                <w:color w:val="000000"/>
              </w:rPr>
              <w:t xml:space="preserve"> Category </w:t>
            </w:r>
            <w:r>
              <w:rPr>
                <w:color w:val="000000"/>
              </w:rPr>
              <w:t>2</w:t>
            </w:r>
          </w:p>
        </w:tc>
        <w:tc>
          <w:tcPr>
            <w:tcW w:w="4760" w:type="dxa"/>
            <w:tcBorders>
              <w:top w:val="nil"/>
              <w:left w:val="nil"/>
              <w:bottom w:val="single" w:sz="4" w:space="0" w:color="auto"/>
              <w:right w:val="single" w:sz="4" w:space="0" w:color="auto"/>
            </w:tcBorders>
            <w:noWrap/>
            <w:vAlign w:val="bottom"/>
          </w:tcPr>
          <w:p w14:paraId="1BC79061" w14:textId="77777777" w:rsidR="00FF1F3A" w:rsidRPr="009C5E54" w:rsidRDefault="00FF1F3A" w:rsidP="00A44582">
            <w:pPr>
              <w:rPr>
                <w:color w:val="000000"/>
              </w:rPr>
            </w:pPr>
          </w:p>
        </w:tc>
      </w:tr>
      <w:tr w:rsidR="00FF1F3A" w:rsidRPr="009C5E54" w14:paraId="619264A6"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16B27A9A" w14:textId="77777777" w:rsidR="00FF1F3A" w:rsidRPr="009C5E54" w:rsidRDefault="00FF1F3A" w:rsidP="00A44582">
            <w:pPr>
              <w:rPr>
                <w:color w:val="000000"/>
              </w:rPr>
            </w:pPr>
            <w:r>
              <w:rPr>
                <w:color w:val="000000"/>
              </w:rPr>
              <w:t>National Geographic Endurance</w:t>
            </w:r>
            <w:r w:rsidRPr="009C5E54">
              <w:rPr>
                <w:color w:val="000000"/>
              </w:rPr>
              <w:t xml:space="preserve"> – Category 1</w:t>
            </w:r>
          </w:p>
        </w:tc>
        <w:tc>
          <w:tcPr>
            <w:tcW w:w="4760" w:type="dxa"/>
            <w:tcBorders>
              <w:top w:val="nil"/>
              <w:left w:val="nil"/>
              <w:bottom w:val="single" w:sz="4" w:space="0" w:color="auto"/>
              <w:right w:val="single" w:sz="4" w:space="0" w:color="auto"/>
            </w:tcBorders>
            <w:noWrap/>
            <w:vAlign w:val="bottom"/>
          </w:tcPr>
          <w:p w14:paraId="581610E1" w14:textId="77777777" w:rsidR="00FF1F3A" w:rsidRPr="009C5E54" w:rsidRDefault="00FF1F3A" w:rsidP="00A44582">
            <w:pPr>
              <w:rPr>
                <w:color w:val="000000"/>
              </w:rPr>
            </w:pPr>
          </w:p>
        </w:tc>
      </w:tr>
      <w:tr w:rsidR="00FF1F3A" w:rsidRPr="009C5E54" w14:paraId="7E799BCD"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482C1723" w14:textId="77777777" w:rsidR="00FF1F3A" w:rsidRPr="009C5E54" w:rsidRDefault="00FF1F3A" w:rsidP="00A44582">
            <w:pPr>
              <w:rPr>
                <w:color w:val="000000"/>
              </w:rPr>
            </w:pPr>
            <w:r>
              <w:rPr>
                <w:color w:val="000000"/>
              </w:rPr>
              <w:t>National Geographic Resolution</w:t>
            </w:r>
            <w:r w:rsidRPr="009C5E54">
              <w:rPr>
                <w:color w:val="000000"/>
              </w:rPr>
              <w:t xml:space="preserve"> – Category </w:t>
            </w:r>
            <w:r>
              <w:rPr>
                <w:color w:val="000000"/>
              </w:rPr>
              <w:t>1</w:t>
            </w:r>
          </w:p>
        </w:tc>
        <w:tc>
          <w:tcPr>
            <w:tcW w:w="4760" w:type="dxa"/>
            <w:tcBorders>
              <w:top w:val="nil"/>
              <w:left w:val="nil"/>
              <w:bottom w:val="single" w:sz="4" w:space="0" w:color="auto"/>
              <w:right w:val="single" w:sz="4" w:space="0" w:color="auto"/>
            </w:tcBorders>
            <w:noWrap/>
            <w:vAlign w:val="bottom"/>
          </w:tcPr>
          <w:p w14:paraId="5E806398" w14:textId="77777777" w:rsidR="00FF1F3A" w:rsidRPr="009C5E54" w:rsidRDefault="00FF1F3A" w:rsidP="00A44582">
            <w:pPr>
              <w:rPr>
                <w:color w:val="000000"/>
              </w:rPr>
            </w:pPr>
          </w:p>
        </w:tc>
      </w:tr>
      <w:tr w:rsidR="00FF1F3A" w:rsidRPr="009C5E54" w14:paraId="7A9D9607"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1A5B02A8" w14:textId="77777777" w:rsidR="00FF1F3A" w:rsidRPr="009C5E54" w:rsidRDefault="00FF1F3A" w:rsidP="00A44582">
            <w:pPr>
              <w:rPr>
                <w:color w:val="000000"/>
              </w:rPr>
            </w:pPr>
            <w:r>
              <w:rPr>
                <w:color w:val="000000"/>
              </w:rPr>
              <w:t>Ocean Explorer – Category 1</w:t>
            </w:r>
          </w:p>
        </w:tc>
        <w:tc>
          <w:tcPr>
            <w:tcW w:w="4760" w:type="dxa"/>
            <w:tcBorders>
              <w:top w:val="nil"/>
              <w:left w:val="nil"/>
              <w:bottom w:val="single" w:sz="4" w:space="0" w:color="auto"/>
              <w:right w:val="single" w:sz="4" w:space="0" w:color="auto"/>
            </w:tcBorders>
            <w:noWrap/>
            <w:vAlign w:val="bottom"/>
          </w:tcPr>
          <w:p w14:paraId="3081B230" w14:textId="77777777" w:rsidR="00FF1F3A" w:rsidRPr="009C5E54" w:rsidRDefault="00FF1F3A" w:rsidP="00A44582">
            <w:pPr>
              <w:rPr>
                <w:color w:val="000000"/>
              </w:rPr>
            </w:pPr>
          </w:p>
        </w:tc>
      </w:tr>
      <w:tr w:rsidR="00FF1F3A" w:rsidRPr="009C5E54" w14:paraId="4F1A794E" w14:textId="77777777" w:rsidTr="00A44582">
        <w:trPr>
          <w:trHeight w:val="500"/>
        </w:trPr>
        <w:tc>
          <w:tcPr>
            <w:tcW w:w="4300" w:type="dxa"/>
            <w:tcBorders>
              <w:top w:val="nil"/>
              <w:left w:val="single" w:sz="4" w:space="0" w:color="auto"/>
              <w:bottom w:val="single" w:sz="4" w:space="0" w:color="auto"/>
              <w:right w:val="single" w:sz="4" w:space="0" w:color="auto"/>
            </w:tcBorders>
            <w:noWrap/>
            <w:vAlign w:val="bottom"/>
            <w:hideMark/>
          </w:tcPr>
          <w:p w14:paraId="0A918C66" w14:textId="77777777" w:rsidR="00FF1F3A" w:rsidRPr="009C5E54" w:rsidRDefault="00FF1F3A" w:rsidP="00A44582">
            <w:pPr>
              <w:rPr>
                <w:color w:val="000000"/>
              </w:rPr>
            </w:pPr>
            <w:r>
              <w:rPr>
                <w:color w:val="000000"/>
              </w:rPr>
              <w:t>Ocean Victory -</w:t>
            </w:r>
            <w:r w:rsidRPr="009C5E54">
              <w:rPr>
                <w:color w:val="000000"/>
              </w:rPr>
              <w:t xml:space="preserve"> Category 1</w:t>
            </w:r>
          </w:p>
        </w:tc>
        <w:tc>
          <w:tcPr>
            <w:tcW w:w="4760" w:type="dxa"/>
            <w:tcBorders>
              <w:top w:val="nil"/>
              <w:left w:val="nil"/>
              <w:bottom w:val="single" w:sz="4" w:space="0" w:color="auto"/>
              <w:right w:val="single" w:sz="4" w:space="0" w:color="auto"/>
            </w:tcBorders>
            <w:noWrap/>
            <w:vAlign w:val="bottom"/>
          </w:tcPr>
          <w:p w14:paraId="0CC3D04B" w14:textId="77777777" w:rsidR="00FF1F3A" w:rsidRPr="009C5E54" w:rsidRDefault="00FF1F3A" w:rsidP="00A44582">
            <w:pPr>
              <w:rPr>
                <w:color w:val="000000"/>
              </w:rPr>
            </w:pPr>
          </w:p>
        </w:tc>
      </w:tr>
      <w:tr w:rsidR="00FF1F3A" w:rsidRPr="009C5E54" w14:paraId="143A4324" w14:textId="77777777" w:rsidTr="00A44582">
        <w:trPr>
          <w:trHeight w:val="500"/>
        </w:trPr>
        <w:tc>
          <w:tcPr>
            <w:tcW w:w="4300" w:type="dxa"/>
            <w:tcBorders>
              <w:top w:val="single" w:sz="4" w:space="0" w:color="auto"/>
              <w:left w:val="single" w:sz="4" w:space="0" w:color="auto"/>
              <w:bottom w:val="single" w:sz="4" w:space="0" w:color="auto"/>
              <w:right w:val="single" w:sz="4" w:space="0" w:color="auto"/>
            </w:tcBorders>
            <w:noWrap/>
            <w:vAlign w:val="bottom"/>
            <w:hideMark/>
          </w:tcPr>
          <w:p w14:paraId="45AC77AF" w14:textId="77777777" w:rsidR="00FF1F3A" w:rsidRPr="009C5E54" w:rsidRDefault="00FF1F3A" w:rsidP="00A44582">
            <w:pPr>
              <w:rPr>
                <w:color w:val="000000"/>
              </w:rPr>
            </w:pPr>
            <w:proofErr w:type="spellStart"/>
            <w:r>
              <w:rPr>
                <w:color w:val="000000"/>
              </w:rPr>
              <w:t>Seaventure</w:t>
            </w:r>
            <w:proofErr w:type="spellEnd"/>
            <w:r>
              <w:rPr>
                <w:color w:val="000000"/>
              </w:rPr>
              <w:t>*</w:t>
            </w:r>
            <w:r w:rsidRPr="009C5E54">
              <w:rPr>
                <w:color w:val="000000"/>
              </w:rPr>
              <w:t xml:space="preserve">– Category </w:t>
            </w:r>
            <w:r>
              <w:rPr>
                <w:color w:val="000000"/>
              </w:rPr>
              <w:t>1</w:t>
            </w:r>
          </w:p>
        </w:tc>
        <w:tc>
          <w:tcPr>
            <w:tcW w:w="4760" w:type="dxa"/>
            <w:tcBorders>
              <w:top w:val="single" w:sz="4" w:space="0" w:color="auto"/>
              <w:left w:val="nil"/>
              <w:bottom w:val="single" w:sz="4" w:space="0" w:color="auto"/>
              <w:right w:val="single" w:sz="4" w:space="0" w:color="auto"/>
            </w:tcBorders>
            <w:noWrap/>
            <w:vAlign w:val="bottom"/>
          </w:tcPr>
          <w:p w14:paraId="04783FF5" w14:textId="77777777" w:rsidR="00FF1F3A" w:rsidRPr="009C5E54" w:rsidRDefault="00FF1F3A" w:rsidP="00A44582">
            <w:pPr>
              <w:rPr>
                <w:color w:val="000000"/>
              </w:rPr>
            </w:pPr>
          </w:p>
        </w:tc>
      </w:tr>
      <w:tr w:rsidR="00FF1F3A" w:rsidRPr="009C5E54" w14:paraId="21169B06" w14:textId="77777777" w:rsidTr="00A44582">
        <w:trPr>
          <w:trHeight w:val="500"/>
        </w:trPr>
        <w:tc>
          <w:tcPr>
            <w:tcW w:w="4300" w:type="dxa"/>
            <w:tcBorders>
              <w:top w:val="single" w:sz="4" w:space="0" w:color="auto"/>
              <w:left w:val="single" w:sz="4" w:space="0" w:color="auto"/>
              <w:bottom w:val="single" w:sz="4" w:space="0" w:color="auto"/>
              <w:right w:val="single" w:sz="4" w:space="0" w:color="auto"/>
            </w:tcBorders>
            <w:noWrap/>
            <w:vAlign w:val="bottom"/>
          </w:tcPr>
          <w:p w14:paraId="1A2E8B34" w14:textId="77777777" w:rsidR="00FF1F3A" w:rsidRDefault="00FF1F3A" w:rsidP="00A44582">
            <w:pPr>
              <w:rPr>
                <w:color w:val="000000"/>
              </w:rPr>
            </w:pPr>
            <w:r>
              <w:rPr>
                <w:color w:val="000000"/>
              </w:rPr>
              <w:t>Ocean Explorer – Category 1</w:t>
            </w:r>
          </w:p>
        </w:tc>
        <w:tc>
          <w:tcPr>
            <w:tcW w:w="4760" w:type="dxa"/>
            <w:tcBorders>
              <w:top w:val="single" w:sz="4" w:space="0" w:color="auto"/>
              <w:left w:val="nil"/>
              <w:bottom w:val="single" w:sz="4" w:space="0" w:color="auto"/>
              <w:right w:val="single" w:sz="4" w:space="0" w:color="auto"/>
            </w:tcBorders>
            <w:noWrap/>
            <w:vAlign w:val="bottom"/>
          </w:tcPr>
          <w:p w14:paraId="069F1C8A" w14:textId="77777777" w:rsidR="00FF1F3A" w:rsidRPr="009C5E54" w:rsidRDefault="00FF1F3A" w:rsidP="00A44582">
            <w:pPr>
              <w:rPr>
                <w:color w:val="000000"/>
              </w:rPr>
            </w:pPr>
          </w:p>
        </w:tc>
      </w:tr>
      <w:tr w:rsidR="00FF1F3A" w:rsidRPr="009C5E54" w14:paraId="702FF3F1" w14:textId="77777777" w:rsidTr="00A44582">
        <w:trPr>
          <w:trHeight w:val="500"/>
        </w:trPr>
        <w:tc>
          <w:tcPr>
            <w:tcW w:w="4300" w:type="dxa"/>
            <w:tcBorders>
              <w:top w:val="single" w:sz="4" w:space="0" w:color="auto"/>
              <w:left w:val="single" w:sz="4" w:space="0" w:color="auto"/>
              <w:bottom w:val="single" w:sz="4" w:space="0" w:color="auto"/>
              <w:right w:val="single" w:sz="4" w:space="0" w:color="auto"/>
            </w:tcBorders>
            <w:noWrap/>
            <w:vAlign w:val="bottom"/>
          </w:tcPr>
          <w:p w14:paraId="7B45F431" w14:textId="77777777" w:rsidR="00FF1F3A" w:rsidRDefault="00FF1F3A" w:rsidP="00A44582">
            <w:pPr>
              <w:rPr>
                <w:color w:val="000000"/>
              </w:rPr>
            </w:pPr>
            <w:r>
              <w:rPr>
                <w:color w:val="000000"/>
              </w:rPr>
              <w:t>Swan Hellenic Minerva – Category 1</w:t>
            </w:r>
          </w:p>
        </w:tc>
        <w:tc>
          <w:tcPr>
            <w:tcW w:w="4760" w:type="dxa"/>
            <w:tcBorders>
              <w:top w:val="single" w:sz="4" w:space="0" w:color="auto"/>
              <w:left w:val="nil"/>
              <w:bottom w:val="single" w:sz="4" w:space="0" w:color="auto"/>
              <w:right w:val="single" w:sz="4" w:space="0" w:color="auto"/>
            </w:tcBorders>
            <w:noWrap/>
            <w:vAlign w:val="bottom"/>
          </w:tcPr>
          <w:p w14:paraId="45B5F2C9" w14:textId="77777777" w:rsidR="00FF1F3A" w:rsidRPr="009C5E54" w:rsidRDefault="00FF1F3A" w:rsidP="00A44582">
            <w:pPr>
              <w:rPr>
                <w:color w:val="000000"/>
              </w:rPr>
            </w:pPr>
          </w:p>
        </w:tc>
      </w:tr>
      <w:tr w:rsidR="00FF1F3A" w:rsidRPr="009C5E54" w14:paraId="2BA9B7F2" w14:textId="77777777" w:rsidTr="00A44582">
        <w:trPr>
          <w:trHeight w:val="500"/>
        </w:trPr>
        <w:tc>
          <w:tcPr>
            <w:tcW w:w="4300" w:type="dxa"/>
            <w:tcBorders>
              <w:top w:val="single" w:sz="4" w:space="0" w:color="auto"/>
              <w:left w:val="single" w:sz="4" w:space="0" w:color="auto"/>
              <w:bottom w:val="single" w:sz="4" w:space="0" w:color="auto"/>
              <w:right w:val="single" w:sz="4" w:space="0" w:color="auto"/>
            </w:tcBorders>
            <w:noWrap/>
            <w:vAlign w:val="bottom"/>
          </w:tcPr>
          <w:p w14:paraId="7AAE461B" w14:textId="77777777" w:rsidR="00FF1F3A" w:rsidRDefault="00FF1F3A" w:rsidP="00A44582">
            <w:pPr>
              <w:rPr>
                <w:color w:val="000000"/>
              </w:rPr>
            </w:pPr>
            <w:r>
              <w:rPr>
                <w:color w:val="000000"/>
              </w:rPr>
              <w:t>Sylvia Earle</w:t>
            </w:r>
            <w:r w:rsidRPr="009C5E54">
              <w:rPr>
                <w:color w:val="000000"/>
              </w:rPr>
              <w:t xml:space="preserve"> – Category 1</w:t>
            </w:r>
          </w:p>
        </w:tc>
        <w:tc>
          <w:tcPr>
            <w:tcW w:w="4760" w:type="dxa"/>
            <w:tcBorders>
              <w:top w:val="single" w:sz="4" w:space="0" w:color="auto"/>
              <w:left w:val="nil"/>
              <w:bottom w:val="single" w:sz="4" w:space="0" w:color="auto"/>
              <w:right w:val="single" w:sz="4" w:space="0" w:color="auto"/>
            </w:tcBorders>
            <w:noWrap/>
            <w:vAlign w:val="bottom"/>
          </w:tcPr>
          <w:p w14:paraId="0AC466D5" w14:textId="77777777" w:rsidR="00FF1F3A" w:rsidRPr="009C5E54" w:rsidRDefault="00FF1F3A" w:rsidP="00A44582">
            <w:pPr>
              <w:rPr>
                <w:color w:val="000000"/>
              </w:rPr>
            </w:pPr>
          </w:p>
        </w:tc>
      </w:tr>
      <w:tr w:rsidR="00FF1F3A" w:rsidRPr="009C5E54" w14:paraId="642811E3" w14:textId="77777777" w:rsidTr="00A44582">
        <w:trPr>
          <w:trHeight w:val="500"/>
        </w:trPr>
        <w:tc>
          <w:tcPr>
            <w:tcW w:w="4300" w:type="dxa"/>
            <w:tcBorders>
              <w:top w:val="single" w:sz="4" w:space="0" w:color="auto"/>
              <w:left w:val="single" w:sz="4" w:space="0" w:color="auto"/>
              <w:bottom w:val="single" w:sz="4" w:space="0" w:color="auto"/>
              <w:right w:val="single" w:sz="4" w:space="0" w:color="auto"/>
            </w:tcBorders>
            <w:noWrap/>
            <w:vAlign w:val="bottom"/>
          </w:tcPr>
          <w:p w14:paraId="29028C18" w14:textId="77777777" w:rsidR="00FF1F3A" w:rsidRDefault="00FF1F3A" w:rsidP="00A44582">
            <w:pPr>
              <w:rPr>
                <w:color w:val="000000"/>
              </w:rPr>
            </w:pPr>
            <w:r>
              <w:rPr>
                <w:color w:val="000000"/>
              </w:rPr>
              <w:t>Ultramarine – Category 1</w:t>
            </w:r>
          </w:p>
        </w:tc>
        <w:tc>
          <w:tcPr>
            <w:tcW w:w="4760" w:type="dxa"/>
            <w:tcBorders>
              <w:top w:val="single" w:sz="4" w:space="0" w:color="auto"/>
              <w:left w:val="nil"/>
              <w:bottom w:val="single" w:sz="4" w:space="0" w:color="auto"/>
              <w:right w:val="single" w:sz="4" w:space="0" w:color="auto"/>
            </w:tcBorders>
            <w:noWrap/>
            <w:vAlign w:val="bottom"/>
          </w:tcPr>
          <w:p w14:paraId="61C52BA4" w14:textId="77777777" w:rsidR="00FF1F3A" w:rsidRPr="009C5E54" w:rsidRDefault="00FF1F3A" w:rsidP="00A44582">
            <w:pPr>
              <w:rPr>
                <w:color w:val="000000"/>
              </w:rPr>
            </w:pPr>
          </w:p>
        </w:tc>
      </w:tr>
      <w:tr w:rsidR="00FF1F3A" w:rsidRPr="009C5E54" w14:paraId="459CF0A4" w14:textId="77777777" w:rsidTr="00A44582">
        <w:trPr>
          <w:trHeight w:val="500"/>
        </w:trPr>
        <w:tc>
          <w:tcPr>
            <w:tcW w:w="4300" w:type="dxa"/>
            <w:tcBorders>
              <w:top w:val="single" w:sz="4" w:space="0" w:color="auto"/>
              <w:left w:val="single" w:sz="4" w:space="0" w:color="auto"/>
              <w:bottom w:val="single" w:sz="4" w:space="0" w:color="auto"/>
              <w:right w:val="single" w:sz="4" w:space="0" w:color="auto"/>
            </w:tcBorders>
            <w:noWrap/>
            <w:vAlign w:val="bottom"/>
          </w:tcPr>
          <w:p w14:paraId="70430D19" w14:textId="77777777" w:rsidR="00FF1F3A" w:rsidRDefault="00FF1F3A" w:rsidP="00A44582">
            <w:pPr>
              <w:rPr>
                <w:color w:val="000000"/>
              </w:rPr>
            </w:pPr>
            <w:r>
              <w:rPr>
                <w:color w:val="000000"/>
              </w:rPr>
              <w:t xml:space="preserve">Viking </w:t>
            </w:r>
            <w:proofErr w:type="spellStart"/>
            <w:r>
              <w:rPr>
                <w:color w:val="000000"/>
              </w:rPr>
              <w:t>Octanis</w:t>
            </w:r>
            <w:proofErr w:type="spellEnd"/>
            <w:r>
              <w:rPr>
                <w:color w:val="000000"/>
              </w:rPr>
              <w:t xml:space="preserve"> – Category 2</w:t>
            </w:r>
          </w:p>
        </w:tc>
        <w:tc>
          <w:tcPr>
            <w:tcW w:w="4760" w:type="dxa"/>
            <w:tcBorders>
              <w:top w:val="single" w:sz="4" w:space="0" w:color="auto"/>
              <w:left w:val="nil"/>
              <w:bottom w:val="single" w:sz="4" w:space="0" w:color="auto"/>
              <w:right w:val="single" w:sz="4" w:space="0" w:color="auto"/>
            </w:tcBorders>
            <w:noWrap/>
            <w:vAlign w:val="bottom"/>
          </w:tcPr>
          <w:p w14:paraId="575A7DE7" w14:textId="77777777" w:rsidR="00FF1F3A" w:rsidRPr="009C5E54" w:rsidRDefault="00FF1F3A" w:rsidP="00A44582">
            <w:pPr>
              <w:rPr>
                <w:color w:val="000000"/>
              </w:rPr>
            </w:pPr>
          </w:p>
        </w:tc>
      </w:tr>
    </w:tbl>
    <w:p w14:paraId="30C8A8BC" w14:textId="77777777" w:rsidR="00FF1F3A" w:rsidRPr="009C5E54" w:rsidRDefault="00FF1F3A" w:rsidP="00FF1F3A">
      <w:pPr>
        <w:rPr>
          <w:iCs/>
        </w:rPr>
      </w:pPr>
    </w:p>
    <w:p w14:paraId="1CFDF004" w14:textId="77777777" w:rsidR="00FF1F3A" w:rsidRDefault="00FF1F3A" w:rsidP="00FF1F3A">
      <w:pPr>
        <w:ind w:left="1416" w:hanging="1416"/>
      </w:pPr>
      <w:r w:rsidRPr="00394EE1">
        <w:rPr>
          <w:iCs/>
          <w:szCs w:val="22"/>
        </w:rPr>
        <w:t xml:space="preserve">* </w:t>
      </w:r>
      <w:proofErr w:type="spellStart"/>
      <w:r>
        <w:rPr>
          <w:iCs/>
          <w:szCs w:val="22"/>
        </w:rPr>
        <w:t>Seaventure</w:t>
      </w:r>
      <w:proofErr w:type="spellEnd"/>
      <w:r>
        <w:rPr>
          <w:iCs/>
          <w:szCs w:val="22"/>
        </w:rPr>
        <w:t xml:space="preserve"> is formerly the Ocean Endeavour which did Operate during the 2019</w:t>
      </w:r>
      <w:r>
        <w:rPr>
          <w:lang w:val="en-US"/>
        </w:rPr>
        <w:t>–</w:t>
      </w:r>
      <w:r>
        <w:rPr>
          <w:iCs/>
          <w:szCs w:val="22"/>
        </w:rPr>
        <w:t xml:space="preserve">20 </w:t>
      </w:r>
      <w:proofErr w:type="gramStart"/>
      <w:r>
        <w:rPr>
          <w:iCs/>
          <w:szCs w:val="22"/>
        </w:rPr>
        <w:t>season</w:t>
      </w:r>
      <w:proofErr w:type="gramEnd"/>
    </w:p>
    <w:p w14:paraId="54ED9A60" w14:textId="77777777" w:rsidR="00FF1F3A" w:rsidRDefault="00FF1F3A" w:rsidP="00FF1F3A">
      <w:pPr>
        <w:ind w:left="1416" w:hanging="1416"/>
      </w:pPr>
    </w:p>
    <w:p w14:paraId="3A48354F" w14:textId="77777777" w:rsidR="00FF1F3A" w:rsidRDefault="00FF1F3A" w:rsidP="00FF1F3A">
      <w:pPr>
        <w:ind w:left="1416" w:hanging="1416"/>
      </w:pPr>
    </w:p>
    <w:p w14:paraId="7F31E8C5" w14:textId="77777777" w:rsidR="00FF1F3A" w:rsidRDefault="00FF1F3A" w:rsidP="00FF1F3A">
      <w:pPr>
        <w:ind w:left="1416" w:hanging="1416"/>
      </w:pPr>
    </w:p>
    <w:p w14:paraId="38BBBBF0" w14:textId="77777777" w:rsidR="00FF1F3A" w:rsidRDefault="00FF1F3A" w:rsidP="00FF1F3A">
      <w:pPr>
        <w:ind w:left="1416" w:hanging="1416"/>
      </w:pPr>
    </w:p>
    <w:p w14:paraId="1525AF18" w14:textId="77777777" w:rsidR="00FF1F3A" w:rsidRDefault="00FF1F3A" w:rsidP="00FF1F3A">
      <w:pPr>
        <w:ind w:left="1416" w:hanging="1416"/>
      </w:pPr>
    </w:p>
    <w:p w14:paraId="61BAFB71" w14:textId="77777777" w:rsidR="00FF1F3A" w:rsidRDefault="00FF1F3A" w:rsidP="00FF1F3A">
      <w:pPr>
        <w:ind w:left="1416" w:hanging="1416"/>
      </w:pPr>
    </w:p>
    <w:p w14:paraId="5D4D0214" w14:textId="77777777" w:rsidR="00FF1F3A" w:rsidRDefault="00FF1F3A" w:rsidP="00FF1F3A">
      <w:pPr>
        <w:ind w:left="1416" w:hanging="1416"/>
      </w:pPr>
    </w:p>
    <w:p w14:paraId="6E55A5E9" w14:textId="77777777" w:rsidR="00FF1F3A" w:rsidRDefault="00FF1F3A" w:rsidP="00FF1F3A">
      <w:pPr>
        <w:ind w:left="1416" w:hanging="1416"/>
      </w:pPr>
    </w:p>
    <w:p w14:paraId="66CAC405" w14:textId="77777777" w:rsidR="00FF1F3A" w:rsidRDefault="00FF1F3A" w:rsidP="00FF1F3A">
      <w:pPr>
        <w:ind w:left="1416" w:hanging="1416"/>
      </w:pPr>
    </w:p>
    <w:p w14:paraId="0BCECEB5" w14:textId="77777777" w:rsidR="00FF1F3A" w:rsidRDefault="00FF1F3A" w:rsidP="00FF1F3A">
      <w:pPr>
        <w:ind w:left="1416" w:hanging="1416"/>
      </w:pPr>
    </w:p>
    <w:p w14:paraId="17DCB5E5" w14:textId="77777777" w:rsidR="00FF1F3A" w:rsidRDefault="00FF1F3A" w:rsidP="00FF1F3A">
      <w:pPr>
        <w:ind w:left="1416" w:hanging="1416"/>
      </w:pPr>
    </w:p>
    <w:p w14:paraId="093AD841" w14:textId="77777777" w:rsidR="00FF1F3A" w:rsidRDefault="00FF1F3A" w:rsidP="00FF1F3A">
      <w:pPr>
        <w:ind w:left="1416" w:hanging="1416"/>
      </w:pPr>
    </w:p>
    <w:p w14:paraId="3186E2B9" w14:textId="77777777" w:rsidR="00FF1F3A" w:rsidRDefault="00FF1F3A" w:rsidP="00FF1F3A">
      <w:pPr>
        <w:ind w:left="1416" w:hanging="1416"/>
      </w:pPr>
    </w:p>
    <w:p w14:paraId="1EB49406" w14:textId="77777777" w:rsidR="00FF1F3A" w:rsidRDefault="00FF1F3A" w:rsidP="00FF1F3A">
      <w:pPr>
        <w:ind w:left="1416" w:hanging="1416"/>
      </w:pPr>
    </w:p>
    <w:p w14:paraId="109F623B" w14:textId="77777777" w:rsidR="00FF1F3A" w:rsidRDefault="00FF1F3A" w:rsidP="00FF1F3A">
      <w:pPr>
        <w:ind w:left="1416" w:hanging="1416"/>
      </w:pPr>
    </w:p>
    <w:p w14:paraId="4D881FD0" w14:textId="77777777" w:rsidR="00FF1F3A" w:rsidRDefault="00FF1F3A" w:rsidP="00FF1F3A">
      <w:pPr>
        <w:ind w:left="1416" w:hanging="1416"/>
      </w:pPr>
    </w:p>
    <w:p w14:paraId="7A39591B" w14:textId="77777777" w:rsidR="00FF1F3A" w:rsidRDefault="00FF1F3A" w:rsidP="00FF1F3A">
      <w:pPr>
        <w:ind w:left="1416" w:hanging="1416"/>
      </w:pPr>
    </w:p>
    <w:p w14:paraId="051C6C41" w14:textId="77777777" w:rsidR="00FF1F3A" w:rsidRDefault="00FF1F3A" w:rsidP="00FF1F3A">
      <w:pPr>
        <w:ind w:left="1416" w:hanging="1416"/>
      </w:pPr>
    </w:p>
    <w:p w14:paraId="2E71AE70" w14:textId="77777777" w:rsidR="00FF1F3A" w:rsidRDefault="00FF1F3A" w:rsidP="00FF1F3A">
      <w:pPr>
        <w:ind w:left="1416" w:hanging="1416"/>
      </w:pPr>
    </w:p>
    <w:p w14:paraId="5A3DDAB3" w14:textId="77777777" w:rsidR="00FF1F3A" w:rsidRPr="009C5E54" w:rsidRDefault="00FF1F3A" w:rsidP="00FF1F3A">
      <w:pPr>
        <w:ind w:left="1416" w:hanging="1416"/>
      </w:pPr>
      <w:r w:rsidRPr="009C5E54">
        <w:rPr>
          <w:b/>
        </w:rPr>
        <w:t>Appendix II:</w:t>
      </w:r>
      <w:r w:rsidRPr="009C5E54">
        <w:t xml:space="preserve"> </w:t>
      </w:r>
      <w:r w:rsidRPr="009C5E54">
        <w:rPr>
          <w:bCs/>
          <w:lang w:val="cy-GB"/>
        </w:rPr>
        <w:t xml:space="preserve">Top Twenty Most-Visited Sites </w:t>
      </w:r>
      <w:r>
        <w:rPr>
          <w:bCs/>
          <w:lang w:val="cy-GB"/>
        </w:rPr>
        <w:t>between 2015</w:t>
      </w:r>
      <w:r>
        <w:rPr>
          <w:lang w:val="en-US"/>
        </w:rPr>
        <w:t>–</w:t>
      </w:r>
      <w:r>
        <w:rPr>
          <w:bCs/>
          <w:lang w:val="cy-GB"/>
        </w:rPr>
        <w:t xml:space="preserve">20 </w:t>
      </w:r>
      <w:r w:rsidRPr="009C5E54">
        <w:rPr>
          <w:bCs/>
          <w:lang w:val="cy-GB"/>
        </w:rPr>
        <w:t>Season</w:t>
      </w:r>
      <w:r>
        <w:rPr>
          <w:bCs/>
          <w:lang w:val="cy-GB"/>
        </w:rPr>
        <w:t>s</w:t>
      </w:r>
      <w:r w:rsidRPr="009C5E54">
        <w:rPr>
          <w:bCs/>
          <w:lang w:val="cy-GB"/>
        </w:rPr>
        <w:t xml:space="preserve"> (including yacht visits)</w:t>
      </w:r>
    </w:p>
    <w:p w14:paraId="11FBE0F8" w14:textId="77777777" w:rsidR="00FF1F3A" w:rsidRDefault="00FF1F3A" w:rsidP="00FF1F3A"/>
    <w:tbl>
      <w:tblPr>
        <w:tblW w:w="9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1408"/>
        <w:gridCol w:w="1285"/>
        <w:gridCol w:w="1309"/>
        <w:gridCol w:w="1309"/>
        <w:gridCol w:w="1210"/>
      </w:tblGrid>
      <w:tr w:rsidR="00FF1F3A" w:rsidRPr="009B7927" w14:paraId="2E602B3A" w14:textId="77777777" w:rsidTr="00A44582">
        <w:trPr>
          <w:trHeight w:val="507"/>
        </w:trPr>
        <w:tc>
          <w:tcPr>
            <w:tcW w:w="2990" w:type="dxa"/>
            <w:shd w:val="clear" w:color="auto" w:fill="auto"/>
            <w:vAlign w:val="center"/>
            <w:hideMark/>
          </w:tcPr>
          <w:p w14:paraId="06F238B4" w14:textId="77777777" w:rsidR="00FF1F3A" w:rsidRPr="009B7927" w:rsidRDefault="00FF1F3A" w:rsidP="00A44582">
            <w:pPr>
              <w:rPr>
                <w:rFonts w:ascii="Calibri" w:hAnsi="Calibri"/>
                <w:szCs w:val="22"/>
                <w:lang w:eastAsia="en-GB"/>
              </w:rPr>
            </w:pPr>
            <w:r w:rsidRPr="009B7927">
              <w:rPr>
                <w:rFonts w:ascii="Calibri" w:hAnsi="Calibri"/>
                <w:szCs w:val="22"/>
                <w:lang w:eastAsia="en-GB"/>
              </w:rPr>
              <w:t> </w:t>
            </w:r>
          </w:p>
        </w:tc>
        <w:tc>
          <w:tcPr>
            <w:tcW w:w="1408" w:type="dxa"/>
            <w:shd w:val="clear" w:color="auto" w:fill="auto"/>
            <w:noWrap/>
            <w:vAlign w:val="center"/>
            <w:hideMark/>
          </w:tcPr>
          <w:p w14:paraId="1576041F" w14:textId="77777777" w:rsidR="00FF1F3A" w:rsidRPr="009B7927" w:rsidRDefault="00FF1F3A" w:rsidP="00A44582">
            <w:pPr>
              <w:jc w:val="center"/>
              <w:rPr>
                <w:rFonts w:ascii="Calibri" w:hAnsi="Calibri"/>
                <w:b/>
                <w:bCs/>
                <w:szCs w:val="22"/>
                <w:lang w:eastAsia="en-GB"/>
              </w:rPr>
            </w:pPr>
            <w:r w:rsidRPr="009B7927">
              <w:rPr>
                <w:rFonts w:ascii="Calibri" w:hAnsi="Calibri"/>
                <w:b/>
                <w:bCs/>
                <w:szCs w:val="22"/>
                <w:lang w:eastAsia="en-GB"/>
              </w:rPr>
              <w:t>2015</w:t>
            </w:r>
            <w:r>
              <w:rPr>
                <w:rFonts w:ascii="Calibri" w:hAnsi="Calibri"/>
                <w:b/>
                <w:bCs/>
                <w:szCs w:val="22"/>
                <w:lang w:eastAsia="en-GB"/>
              </w:rPr>
              <w:t>/</w:t>
            </w:r>
            <w:r w:rsidRPr="009B7927">
              <w:rPr>
                <w:rFonts w:ascii="Calibri" w:hAnsi="Calibri"/>
                <w:b/>
                <w:bCs/>
                <w:szCs w:val="22"/>
                <w:lang w:eastAsia="en-GB"/>
              </w:rPr>
              <w:t>16</w:t>
            </w:r>
          </w:p>
        </w:tc>
        <w:tc>
          <w:tcPr>
            <w:tcW w:w="1285" w:type="dxa"/>
            <w:shd w:val="clear" w:color="auto" w:fill="auto"/>
            <w:noWrap/>
            <w:vAlign w:val="center"/>
            <w:hideMark/>
          </w:tcPr>
          <w:p w14:paraId="6B88CB9C" w14:textId="77777777" w:rsidR="00FF1F3A" w:rsidRPr="009B7927" w:rsidRDefault="00FF1F3A" w:rsidP="00A44582">
            <w:pPr>
              <w:jc w:val="center"/>
              <w:rPr>
                <w:rFonts w:ascii="Calibri" w:hAnsi="Calibri"/>
                <w:b/>
                <w:bCs/>
                <w:szCs w:val="22"/>
                <w:lang w:eastAsia="en-GB"/>
              </w:rPr>
            </w:pPr>
            <w:r w:rsidRPr="009B7927">
              <w:rPr>
                <w:rFonts w:ascii="Calibri" w:hAnsi="Calibri"/>
                <w:b/>
                <w:bCs/>
                <w:szCs w:val="22"/>
                <w:lang w:eastAsia="en-GB"/>
              </w:rPr>
              <w:t>2016</w:t>
            </w:r>
            <w:r>
              <w:rPr>
                <w:rFonts w:ascii="Calibri" w:hAnsi="Calibri"/>
                <w:b/>
                <w:bCs/>
                <w:szCs w:val="22"/>
                <w:lang w:eastAsia="en-GB"/>
              </w:rPr>
              <w:t>/</w:t>
            </w:r>
            <w:r w:rsidRPr="009B7927">
              <w:rPr>
                <w:rFonts w:ascii="Calibri" w:hAnsi="Calibri"/>
                <w:b/>
                <w:bCs/>
                <w:szCs w:val="22"/>
                <w:lang w:eastAsia="en-GB"/>
              </w:rPr>
              <w:t>17</w:t>
            </w:r>
          </w:p>
        </w:tc>
        <w:tc>
          <w:tcPr>
            <w:tcW w:w="1309" w:type="dxa"/>
            <w:shd w:val="clear" w:color="auto" w:fill="auto"/>
            <w:noWrap/>
            <w:vAlign w:val="center"/>
            <w:hideMark/>
          </w:tcPr>
          <w:p w14:paraId="79F82245" w14:textId="77777777" w:rsidR="00FF1F3A" w:rsidRPr="009B7927" w:rsidRDefault="00FF1F3A" w:rsidP="00A44582">
            <w:pPr>
              <w:jc w:val="center"/>
              <w:rPr>
                <w:rFonts w:ascii="Calibri" w:hAnsi="Calibri"/>
                <w:b/>
                <w:bCs/>
                <w:szCs w:val="22"/>
                <w:lang w:eastAsia="en-GB"/>
              </w:rPr>
            </w:pPr>
            <w:r w:rsidRPr="009B7927">
              <w:rPr>
                <w:rFonts w:ascii="Calibri" w:hAnsi="Calibri"/>
                <w:b/>
                <w:bCs/>
                <w:szCs w:val="22"/>
                <w:lang w:eastAsia="en-GB"/>
              </w:rPr>
              <w:t>2017</w:t>
            </w:r>
            <w:r>
              <w:rPr>
                <w:rFonts w:ascii="Calibri" w:hAnsi="Calibri"/>
                <w:b/>
                <w:bCs/>
                <w:szCs w:val="22"/>
                <w:lang w:eastAsia="en-GB"/>
              </w:rPr>
              <w:t>/</w:t>
            </w:r>
            <w:r w:rsidRPr="009B7927">
              <w:rPr>
                <w:rFonts w:ascii="Calibri" w:hAnsi="Calibri"/>
                <w:b/>
                <w:bCs/>
                <w:szCs w:val="22"/>
                <w:lang w:eastAsia="en-GB"/>
              </w:rPr>
              <w:t>18</w:t>
            </w:r>
          </w:p>
        </w:tc>
        <w:tc>
          <w:tcPr>
            <w:tcW w:w="1309" w:type="dxa"/>
            <w:shd w:val="clear" w:color="auto" w:fill="auto"/>
            <w:noWrap/>
            <w:vAlign w:val="center"/>
            <w:hideMark/>
          </w:tcPr>
          <w:p w14:paraId="3F47A1FC" w14:textId="77777777" w:rsidR="00FF1F3A" w:rsidRPr="009B7927" w:rsidRDefault="00FF1F3A" w:rsidP="00A44582">
            <w:pPr>
              <w:jc w:val="center"/>
              <w:rPr>
                <w:rFonts w:ascii="Calibri" w:hAnsi="Calibri"/>
                <w:b/>
                <w:bCs/>
                <w:szCs w:val="22"/>
                <w:lang w:eastAsia="en-GB"/>
              </w:rPr>
            </w:pPr>
            <w:r w:rsidRPr="009B7927">
              <w:rPr>
                <w:rFonts w:ascii="Calibri" w:hAnsi="Calibri"/>
                <w:b/>
                <w:bCs/>
                <w:szCs w:val="22"/>
                <w:lang w:eastAsia="en-GB"/>
              </w:rPr>
              <w:t>2018</w:t>
            </w:r>
            <w:r>
              <w:rPr>
                <w:rFonts w:ascii="Calibri" w:hAnsi="Calibri"/>
                <w:b/>
                <w:bCs/>
                <w:szCs w:val="22"/>
                <w:lang w:eastAsia="en-GB"/>
              </w:rPr>
              <w:t>/</w:t>
            </w:r>
            <w:r w:rsidRPr="009B7927">
              <w:rPr>
                <w:rFonts w:ascii="Calibri" w:hAnsi="Calibri"/>
                <w:b/>
                <w:bCs/>
                <w:szCs w:val="22"/>
                <w:lang w:eastAsia="en-GB"/>
              </w:rPr>
              <w:t>19</w:t>
            </w:r>
          </w:p>
        </w:tc>
        <w:tc>
          <w:tcPr>
            <w:tcW w:w="1210" w:type="dxa"/>
            <w:shd w:val="clear" w:color="auto" w:fill="auto"/>
            <w:noWrap/>
            <w:vAlign w:val="center"/>
            <w:hideMark/>
          </w:tcPr>
          <w:p w14:paraId="3A1E1032" w14:textId="77777777" w:rsidR="00FF1F3A" w:rsidRPr="009B7927" w:rsidRDefault="00FF1F3A" w:rsidP="00A44582">
            <w:pPr>
              <w:jc w:val="center"/>
              <w:rPr>
                <w:rFonts w:ascii="Calibri" w:hAnsi="Calibri"/>
                <w:b/>
                <w:bCs/>
                <w:szCs w:val="22"/>
                <w:lang w:eastAsia="en-GB"/>
              </w:rPr>
            </w:pPr>
            <w:r w:rsidRPr="009B7927">
              <w:rPr>
                <w:rFonts w:ascii="Calibri" w:hAnsi="Calibri"/>
                <w:b/>
                <w:bCs/>
                <w:szCs w:val="22"/>
                <w:lang w:eastAsia="en-GB"/>
              </w:rPr>
              <w:t>2019</w:t>
            </w:r>
            <w:r>
              <w:rPr>
                <w:rFonts w:ascii="Calibri" w:hAnsi="Calibri"/>
                <w:b/>
                <w:bCs/>
                <w:szCs w:val="22"/>
                <w:lang w:eastAsia="en-GB"/>
              </w:rPr>
              <w:t>/</w:t>
            </w:r>
            <w:r w:rsidRPr="009B7927">
              <w:rPr>
                <w:rFonts w:ascii="Calibri" w:hAnsi="Calibri"/>
                <w:b/>
                <w:bCs/>
                <w:szCs w:val="22"/>
                <w:lang w:eastAsia="en-GB"/>
              </w:rPr>
              <w:t>20</w:t>
            </w:r>
          </w:p>
        </w:tc>
      </w:tr>
      <w:tr w:rsidR="00FF1F3A" w:rsidRPr="009B7927" w14:paraId="75DAA3F6" w14:textId="77777777" w:rsidTr="00A44582">
        <w:trPr>
          <w:trHeight w:val="541"/>
        </w:trPr>
        <w:tc>
          <w:tcPr>
            <w:tcW w:w="2990" w:type="dxa"/>
            <w:shd w:val="clear" w:color="auto" w:fill="auto"/>
            <w:vAlign w:val="center"/>
            <w:hideMark/>
          </w:tcPr>
          <w:p w14:paraId="3A671A7A"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Goudier</w:t>
            </w:r>
            <w:proofErr w:type="spellEnd"/>
            <w:r w:rsidRPr="009B7927">
              <w:rPr>
                <w:rFonts w:ascii="Calibri" w:hAnsi="Calibri"/>
                <w:b/>
                <w:bCs/>
                <w:szCs w:val="22"/>
                <w:lang w:eastAsia="en-GB"/>
              </w:rPr>
              <w:t xml:space="preserve"> Island</w:t>
            </w:r>
          </w:p>
        </w:tc>
        <w:tc>
          <w:tcPr>
            <w:tcW w:w="1408" w:type="dxa"/>
            <w:shd w:val="clear" w:color="auto" w:fill="auto"/>
            <w:noWrap/>
            <w:vAlign w:val="center"/>
            <w:hideMark/>
          </w:tcPr>
          <w:p w14:paraId="206F7BF6"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150</w:t>
            </w:r>
          </w:p>
        </w:tc>
        <w:tc>
          <w:tcPr>
            <w:tcW w:w="1285" w:type="dxa"/>
            <w:shd w:val="clear" w:color="auto" w:fill="auto"/>
            <w:noWrap/>
            <w:vAlign w:val="center"/>
            <w:hideMark/>
          </w:tcPr>
          <w:p w14:paraId="6FF34456"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149</w:t>
            </w:r>
          </w:p>
        </w:tc>
        <w:tc>
          <w:tcPr>
            <w:tcW w:w="1309" w:type="dxa"/>
            <w:shd w:val="clear" w:color="auto" w:fill="auto"/>
            <w:noWrap/>
            <w:vAlign w:val="center"/>
            <w:hideMark/>
          </w:tcPr>
          <w:p w14:paraId="62918B6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159</w:t>
            </w:r>
          </w:p>
        </w:tc>
        <w:tc>
          <w:tcPr>
            <w:tcW w:w="1309" w:type="dxa"/>
            <w:shd w:val="clear" w:color="auto" w:fill="auto"/>
            <w:noWrap/>
            <w:vAlign w:val="center"/>
            <w:hideMark/>
          </w:tcPr>
          <w:p w14:paraId="049CF710"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174</w:t>
            </w:r>
          </w:p>
        </w:tc>
        <w:tc>
          <w:tcPr>
            <w:tcW w:w="1210" w:type="dxa"/>
            <w:shd w:val="clear" w:color="auto" w:fill="auto"/>
            <w:noWrap/>
            <w:vAlign w:val="center"/>
            <w:hideMark/>
          </w:tcPr>
          <w:p w14:paraId="14BEC6BB"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131</w:t>
            </w:r>
          </w:p>
        </w:tc>
      </w:tr>
      <w:tr w:rsidR="00FF1F3A" w:rsidRPr="009B7927" w14:paraId="0DD0DE0A" w14:textId="77777777" w:rsidTr="00A44582">
        <w:trPr>
          <w:trHeight w:val="541"/>
        </w:trPr>
        <w:tc>
          <w:tcPr>
            <w:tcW w:w="2990" w:type="dxa"/>
            <w:shd w:val="clear" w:color="auto" w:fill="auto"/>
            <w:vAlign w:val="center"/>
            <w:hideMark/>
          </w:tcPr>
          <w:p w14:paraId="5FD0FEC4"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Neko</w:t>
            </w:r>
            <w:proofErr w:type="spellEnd"/>
            <w:r w:rsidRPr="009B7927">
              <w:rPr>
                <w:rFonts w:ascii="Calibri" w:hAnsi="Calibri"/>
                <w:b/>
                <w:bCs/>
                <w:szCs w:val="22"/>
                <w:lang w:eastAsia="en-GB"/>
              </w:rPr>
              <w:t xml:space="preserve"> </w:t>
            </w:r>
            <w:proofErr w:type="spellStart"/>
            <w:r w:rsidRPr="009B7927">
              <w:rPr>
                <w:rFonts w:ascii="Calibri" w:hAnsi="Calibri"/>
                <w:b/>
                <w:bCs/>
                <w:szCs w:val="22"/>
                <w:lang w:eastAsia="en-GB"/>
              </w:rPr>
              <w:t>Harbor</w:t>
            </w:r>
            <w:proofErr w:type="spellEnd"/>
          </w:p>
        </w:tc>
        <w:tc>
          <w:tcPr>
            <w:tcW w:w="1408" w:type="dxa"/>
            <w:shd w:val="clear" w:color="auto" w:fill="auto"/>
            <w:noWrap/>
            <w:vAlign w:val="center"/>
            <w:hideMark/>
          </w:tcPr>
          <w:p w14:paraId="6FCA7C58"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135</w:t>
            </w:r>
          </w:p>
        </w:tc>
        <w:tc>
          <w:tcPr>
            <w:tcW w:w="1285" w:type="dxa"/>
            <w:shd w:val="clear" w:color="auto" w:fill="auto"/>
            <w:noWrap/>
            <w:vAlign w:val="center"/>
            <w:hideMark/>
          </w:tcPr>
          <w:p w14:paraId="46111F53"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116</w:t>
            </w:r>
          </w:p>
        </w:tc>
        <w:tc>
          <w:tcPr>
            <w:tcW w:w="1309" w:type="dxa"/>
            <w:shd w:val="clear" w:color="auto" w:fill="auto"/>
            <w:noWrap/>
            <w:vAlign w:val="center"/>
            <w:hideMark/>
          </w:tcPr>
          <w:p w14:paraId="19EB8799"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142</w:t>
            </w:r>
          </w:p>
        </w:tc>
        <w:tc>
          <w:tcPr>
            <w:tcW w:w="1309" w:type="dxa"/>
            <w:shd w:val="clear" w:color="auto" w:fill="auto"/>
            <w:noWrap/>
            <w:vAlign w:val="center"/>
            <w:hideMark/>
          </w:tcPr>
          <w:p w14:paraId="7BBDC74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157</w:t>
            </w:r>
          </w:p>
        </w:tc>
        <w:tc>
          <w:tcPr>
            <w:tcW w:w="1210" w:type="dxa"/>
            <w:shd w:val="clear" w:color="auto" w:fill="auto"/>
            <w:noWrap/>
            <w:vAlign w:val="center"/>
            <w:hideMark/>
          </w:tcPr>
          <w:p w14:paraId="3A91FE2D"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191</w:t>
            </w:r>
          </w:p>
        </w:tc>
      </w:tr>
      <w:tr w:rsidR="00FF1F3A" w:rsidRPr="009B7927" w14:paraId="2283DD80" w14:textId="77777777" w:rsidTr="00A44582">
        <w:trPr>
          <w:trHeight w:val="541"/>
        </w:trPr>
        <w:tc>
          <w:tcPr>
            <w:tcW w:w="2990" w:type="dxa"/>
            <w:shd w:val="clear" w:color="auto" w:fill="auto"/>
            <w:vAlign w:val="center"/>
            <w:hideMark/>
          </w:tcPr>
          <w:p w14:paraId="20E2E95F"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Cuverville</w:t>
            </w:r>
            <w:proofErr w:type="spellEnd"/>
            <w:r w:rsidRPr="009B7927">
              <w:rPr>
                <w:rFonts w:ascii="Calibri" w:hAnsi="Calibri"/>
                <w:b/>
                <w:bCs/>
                <w:szCs w:val="22"/>
                <w:lang w:eastAsia="en-GB"/>
              </w:rPr>
              <w:t xml:space="preserve"> Island</w:t>
            </w:r>
          </w:p>
        </w:tc>
        <w:tc>
          <w:tcPr>
            <w:tcW w:w="1408" w:type="dxa"/>
            <w:shd w:val="clear" w:color="auto" w:fill="auto"/>
            <w:noWrap/>
            <w:vAlign w:val="center"/>
            <w:hideMark/>
          </w:tcPr>
          <w:p w14:paraId="3C1F9CC8"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134</w:t>
            </w:r>
          </w:p>
        </w:tc>
        <w:tc>
          <w:tcPr>
            <w:tcW w:w="1285" w:type="dxa"/>
            <w:shd w:val="clear" w:color="auto" w:fill="auto"/>
            <w:noWrap/>
            <w:vAlign w:val="center"/>
            <w:hideMark/>
          </w:tcPr>
          <w:p w14:paraId="23CE7222"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159</w:t>
            </w:r>
          </w:p>
        </w:tc>
        <w:tc>
          <w:tcPr>
            <w:tcW w:w="1309" w:type="dxa"/>
            <w:shd w:val="clear" w:color="auto" w:fill="auto"/>
            <w:noWrap/>
            <w:vAlign w:val="center"/>
            <w:hideMark/>
          </w:tcPr>
          <w:p w14:paraId="41FD5526"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151</w:t>
            </w:r>
          </w:p>
        </w:tc>
        <w:tc>
          <w:tcPr>
            <w:tcW w:w="1309" w:type="dxa"/>
            <w:shd w:val="clear" w:color="auto" w:fill="auto"/>
            <w:noWrap/>
            <w:vAlign w:val="center"/>
            <w:hideMark/>
          </w:tcPr>
          <w:p w14:paraId="2EB861A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160</w:t>
            </w:r>
          </w:p>
        </w:tc>
        <w:tc>
          <w:tcPr>
            <w:tcW w:w="1210" w:type="dxa"/>
            <w:shd w:val="clear" w:color="auto" w:fill="auto"/>
            <w:noWrap/>
            <w:vAlign w:val="center"/>
            <w:hideMark/>
          </w:tcPr>
          <w:p w14:paraId="72863A9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173</w:t>
            </w:r>
          </w:p>
        </w:tc>
      </w:tr>
      <w:tr w:rsidR="00FF1F3A" w:rsidRPr="009B7927" w14:paraId="41776FAB" w14:textId="77777777" w:rsidTr="00A44582">
        <w:trPr>
          <w:trHeight w:val="541"/>
        </w:trPr>
        <w:tc>
          <w:tcPr>
            <w:tcW w:w="2990" w:type="dxa"/>
            <w:shd w:val="clear" w:color="auto" w:fill="auto"/>
            <w:vAlign w:val="center"/>
            <w:hideMark/>
          </w:tcPr>
          <w:p w14:paraId="37D5352B"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Whalers Bay</w:t>
            </w:r>
          </w:p>
        </w:tc>
        <w:tc>
          <w:tcPr>
            <w:tcW w:w="1408" w:type="dxa"/>
            <w:shd w:val="clear" w:color="auto" w:fill="auto"/>
            <w:noWrap/>
            <w:vAlign w:val="center"/>
            <w:hideMark/>
          </w:tcPr>
          <w:p w14:paraId="096578E8"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134</w:t>
            </w:r>
          </w:p>
        </w:tc>
        <w:tc>
          <w:tcPr>
            <w:tcW w:w="1285" w:type="dxa"/>
            <w:shd w:val="clear" w:color="auto" w:fill="auto"/>
            <w:noWrap/>
            <w:vAlign w:val="center"/>
            <w:hideMark/>
          </w:tcPr>
          <w:p w14:paraId="14DC1E4C"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154</w:t>
            </w:r>
          </w:p>
        </w:tc>
        <w:tc>
          <w:tcPr>
            <w:tcW w:w="1309" w:type="dxa"/>
            <w:shd w:val="clear" w:color="auto" w:fill="auto"/>
            <w:noWrap/>
            <w:vAlign w:val="center"/>
            <w:hideMark/>
          </w:tcPr>
          <w:p w14:paraId="5B82FE0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134</w:t>
            </w:r>
          </w:p>
        </w:tc>
        <w:tc>
          <w:tcPr>
            <w:tcW w:w="1309" w:type="dxa"/>
            <w:shd w:val="clear" w:color="auto" w:fill="auto"/>
            <w:noWrap/>
            <w:vAlign w:val="center"/>
            <w:hideMark/>
          </w:tcPr>
          <w:p w14:paraId="4B5964FC"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149</w:t>
            </w:r>
          </w:p>
        </w:tc>
        <w:tc>
          <w:tcPr>
            <w:tcW w:w="1210" w:type="dxa"/>
            <w:shd w:val="clear" w:color="auto" w:fill="auto"/>
            <w:noWrap/>
            <w:vAlign w:val="center"/>
            <w:hideMark/>
          </w:tcPr>
          <w:p w14:paraId="3F83E1B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147</w:t>
            </w:r>
          </w:p>
        </w:tc>
      </w:tr>
      <w:tr w:rsidR="00FF1F3A" w:rsidRPr="009B7927" w14:paraId="38447FF1" w14:textId="77777777" w:rsidTr="00A44582">
        <w:trPr>
          <w:trHeight w:val="752"/>
        </w:trPr>
        <w:tc>
          <w:tcPr>
            <w:tcW w:w="2990" w:type="dxa"/>
            <w:shd w:val="clear" w:color="auto" w:fill="auto"/>
            <w:vAlign w:val="center"/>
            <w:hideMark/>
          </w:tcPr>
          <w:p w14:paraId="1E03B775"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Half Moon Island - Chinstrap Colony</w:t>
            </w:r>
          </w:p>
        </w:tc>
        <w:tc>
          <w:tcPr>
            <w:tcW w:w="1408" w:type="dxa"/>
            <w:shd w:val="clear" w:color="auto" w:fill="auto"/>
            <w:noWrap/>
            <w:vAlign w:val="center"/>
            <w:hideMark/>
          </w:tcPr>
          <w:p w14:paraId="0FA1D029"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112</w:t>
            </w:r>
          </w:p>
        </w:tc>
        <w:tc>
          <w:tcPr>
            <w:tcW w:w="1285" w:type="dxa"/>
            <w:shd w:val="clear" w:color="auto" w:fill="auto"/>
            <w:noWrap/>
            <w:vAlign w:val="center"/>
            <w:hideMark/>
          </w:tcPr>
          <w:p w14:paraId="4DBB6167"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130</w:t>
            </w:r>
          </w:p>
        </w:tc>
        <w:tc>
          <w:tcPr>
            <w:tcW w:w="1309" w:type="dxa"/>
            <w:shd w:val="clear" w:color="auto" w:fill="auto"/>
            <w:noWrap/>
            <w:vAlign w:val="center"/>
            <w:hideMark/>
          </w:tcPr>
          <w:p w14:paraId="28948236"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139</w:t>
            </w:r>
          </w:p>
        </w:tc>
        <w:tc>
          <w:tcPr>
            <w:tcW w:w="1309" w:type="dxa"/>
            <w:shd w:val="clear" w:color="auto" w:fill="auto"/>
            <w:noWrap/>
            <w:vAlign w:val="center"/>
            <w:hideMark/>
          </w:tcPr>
          <w:p w14:paraId="64542AA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131</w:t>
            </w:r>
          </w:p>
        </w:tc>
        <w:tc>
          <w:tcPr>
            <w:tcW w:w="1210" w:type="dxa"/>
            <w:shd w:val="clear" w:color="auto" w:fill="auto"/>
            <w:noWrap/>
            <w:vAlign w:val="center"/>
            <w:hideMark/>
          </w:tcPr>
          <w:p w14:paraId="0BF45A9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155</w:t>
            </w:r>
          </w:p>
        </w:tc>
      </w:tr>
      <w:tr w:rsidR="00FF1F3A" w:rsidRPr="009B7927" w14:paraId="1D5A3B94" w14:textId="77777777" w:rsidTr="00A44582">
        <w:trPr>
          <w:trHeight w:val="541"/>
        </w:trPr>
        <w:tc>
          <w:tcPr>
            <w:tcW w:w="2990" w:type="dxa"/>
            <w:shd w:val="clear" w:color="auto" w:fill="auto"/>
            <w:vAlign w:val="center"/>
            <w:hideMark/>
          </w:tcPr>
          <w:p w14:paraId="36ED0AA8"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Brown Station</w:t>
            </w:r>
          </w:p>
        </w:tc>
        <w:tc>
          <w:tcPr>
            <w:tcW w:w="1408" w:type="dxa"/>
            <w:shd w:val="clear" w:color="auto" w:fill="auto"/>
            <w:noWrap/>
            <w:vAlign w:val="center"/>
            <w:hideMark/>
          </w:tcPr>
          <w:p w14:paraId="3EBE9B29"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84</w:t>
            </w:r>
          </w:p>
        </w:tc>
        <w:tc>
          <w:tcPr>
            <w:tcW w:w="1285" w:type="dxa"/>
            <w:shd w:val="clear" w:color="auto" w:fill="auto"/>
            <w:noWrap/>
            <w:vAlign w:val="center"/>
            <w:hideMark/>
          </w:tcPr>
          <w:p w14:paraId="31533C5A"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83</w:t>
            </w:r>
          </w:p>
        </w:tc>
        <w:tc>
          <w:tcPr>
            <w:tcW w:w="1309" w:type="dxa"/>
            <w:shd w:val="clear" w:color="auto" w:fill="auto"/>
            <w:noWrap/>
            <w:vAlign w:val="center"/>
            <w:hideMark/>
          </w:tcPr>
          <w:p w14:paraId="613F14F8"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97</w:t>
            </w:r>
          </w:p>
        </w:tc>
        <w:tc>
          <w:tcPr>
            <w:tcW w:w="1309" w:type="dxa"/>
            <w:shd w:val="clear" w:color="auto" w:fill="auto"/>
            <w:noWrap/>
            <w:vAlign w:val="center"/>
            <w:hideMark/>
          </w:tcPr>
          <w:p w14:paraId="4C146AD9"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122</w:t>
            </w:r>
          </w:p>
        </w:tc>
        <w:tc>
          <w:tcPr>
            <w:tcW w:w="1210" w:type="dxa"/>
            <w:shd w:val="clear" w:color="auto" w:fill="auto"/>
            <w:noWrap/>
            <w:vAlign w:val="center"/>
            <w:hideMark/>
          </w:tcPr>
          <w:p w14:paraId="4653F13B"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90</w:t>
            </w:r>
          </w:p>
        </w:tc>
      </w:tr>
      <w:tr w:rsidR="00FF1F3A" w:rsidRPr="009B7927" w14:paraId="666051A8" w14:textId="77777777" w:rsidTr="00A44582">
        <w:trPr>
          <w:trHeight w:val="541"/>
        </w:trPr>
        <w:tc>
          <w:tcPr>
            <w:tcW w:w="2990" w:type="dxa"/>
            <w:shd w:val="clear" w:color="auto" w:fill="auto"/>
            <w:vAlign w:val="center"/>
            <w:hideMark/>
          </w:tcPr>
          <w:p w14:paraId="29AC59C2"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Danco</w:t>
            </w:r>
            <w:proofErr w:type="spellEnd"/>
            <w:r w:rsidRPr="009B7927">
              <w:rPr>
                <w:rFonts w:ascii="Calibri" w:hAnsi="Calibri"/>
                <w:b/>
                <w:bCs/>
                <w:szCs w:val="22"/>
                <w:lang w:eastAsia="en-GB"/>
              </w:rPr>
              <w:t xml:space="preserve"> Island</w:t>
            </w:r>
          </w:p>
        </w:tc>
        <w:tc>
          <w:tcPr>
            <w:tcW w:w="1408" w:type="dxa"/>
            <w:shd w:val="clear" w:color="auto" w:fill="auto"/>
            <w:noWrap/>
            <w:vAlign w:val="center"/>
            <w:hideMark/>
          </w:tcPr>
          <w:p w14:paraId="53FC3BC5"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77</w:t>
            </w:r>
          </w:p>
        </w:tc>
        <w:tc>
          <w:tcPr>
            <w:tcW w:w="1285" w:type="dxa"/>
            <w:shd w:val="clear" w:color="auto" w:fill="auto"/>
            <w:noWrap/>
            <w:vAlign w:val="center"/>
            <w:hideMark/>
          </w:tcPr>
          <w:p w14:paraId="0E8DDBAC"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70</w:t>
            </w:r>
          </w:p>
        </w:tc>
        <w:tc>
          <w:tcPr>
            <w:tcW w:w="1309" w:type="dxa"/>
            <w:shd w:val="clear" w:color="auto" w:fill="auto"/>
            <w:noWrap/>
            <w:vAlign w:val="center"/>
            <w:hideMark/>
          </w:tcPr>
          <w:p w14:paraId="7331068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90</w:t>
            </w:r>
          </w:p>
        </w:tc>
        <w:tc>
          <w:tcPr>
            <w:tcW w:w="1309" w:type="dxa"/>
            <w:shd w:val="clear" w:color="auto" w:fill="auto"/>
            <w:noWrap/>
            <w:vAlign w:val="center"/>
            <w:hideMark/>
          </w:tcPr>
          <w:p w14:paraId="3AD59B2E"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107</w:t>
            </w:r>
          </w:p>
        </w:tc>
        <w:tc>
          <w:tcPr>
            <w:tcW w:w="1210" w:type="dxa"/>
            <w:shd w:val="clear" w:color="auto" w:fill="auto"/>
            <w:noWrap/>
            <w:vAlign w:val="center"/>
            <w:hideMark/>
          </w:tcPr>
          <w:p w14:paraId="2FAEF7AC"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112</w:t>
            </w:r>
          </w:p>
        </w:tc>
      </w:tr>
      <w:tr w:rsidR="00FF1F3A" w:rsidRPr="009B7927" w14:paraId="1DA30502" w14:textId="77777777" w:rsidTr="00A44582">
        <w:trPr>
          <w:trHeight w:val="541"/>
        </w:trPr>
        <w:tc>
          <w:tcPr>
            <w:tcW w:w="2990" w:type="dxa"/>
            <w:shd w:val="clear" w:color="auto" w:fill="auto"/>
            <w:vAlign w:val="center"/>
            <w:hideMark/>
          </w:tcPr>
          <w:p w14:paraId="18298183"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Jougla</w:t>
            </w:r>
            <w:proofErr w:type="spellEnd"/>
            <w:r w:rsidRPr="009B7927">
              <w:rPr>
                <w:rFonts w:ascii="Calibri" w:hAnsi="Calibri"/>
                <w:b/>
                <w:bCs/>
                <w:szCs w:val="22"/>
                <w:lang w:eastAsia="en-GB"/>
              </w:rPr>
              <w:t xml:space="preserve"> Point</w:t>
            </w:r>
          </w:p>
        </w:tc>
        <w:tc>
          <w:tcPr>
            <w:tcW w:w="1408" w:type="dxa"/>
            <w:shd w:val="clear" w:color="auto" w:fill="auto"/>
            <w:noWrap/>
            <w:vAlign w:val="center"/>
            <w:hideMark/>
          </w:tcPr>
          <w:p w14:paraId="0B5A2C26"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75</w:t>
            </w:r>
          </w:p>
        </w:tc>
        <w:tc>
          <w:tcPr>
            <w:tcW w:w="1285" w:type="dxa"/>
            <w:shd w:val="clear" w:color="auto" w:fill="auto"/>
            <w:noWrap/>
            <w:vAlign w:val="center"/>
            <w:hideMark/>
          </w:tcPr>
          <w:p w14:paraId="1D5C7211"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87</w:t>
            </w:r>
          </w:p>
        </w:tc>
        <w:tc>
          <w:tcPr>
            <w:tcW w:w="1309" w:type="dxa"/>
            <w:shd w:val="clear" w:color="auto" w:fill="auto"/>
            <w:noWrap/>
            <w:vAlign w:val="center"/>
            <w:hideMark/>
          </w:tcPr>
          <w:p w14:paraId="7E90BBDB"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93</w:t>
            </w:r>
          </w:p>
        </w:tc>
        <w:tc>
          <w:tcPr>
            <w:tcW w:w="1309" w:type="dxa"/>
            <w:shd w:val="clear" w:color="auto" w:fill="auto"/>
            <w:noWrap/>
            <w:vAlign w:val="center"/>
            <w:hideMark/>
          </w:tcPr>
          <w:p w14:paraId="1183BDEB"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95</w:t>
            </w:r>
          </w:p>
        </w:tc>
        <w:tc>
          <w:tcPr>
            <w:tcW w:w="1210" w:type="dxa"/>
            <w:shd w:val="clear" w:color="auto" w:fill="auto"/>
            <w:noWrap/>
            <w:vAlign w:val="center"/>
            <w:hideMark/>
          </w:tcPr>
          <w:p w14:paraId="06198F8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79</w:t>
            </w:r>
          </w:p>
        </w:tc>
      </w:tr>
      <w:tr w:rsidR="00FF1F3A" w:rsidRPr="009B7927" w14:paraId="0147A77F" w14:textId="77777777" w:rsidTr="00A44582">
        <w:trPr>
          <w:trHeight w:val="541"/>
        </w:trPr>
        <w:tc>
          <w:tcPr>
            <w:tcW w:w="2990" w:type="dxa"/>
            <w:shd w:val="clear" w:color="auto" w:fill="auto"/>
            <w:vAlign w:val="center"/>
            <w:hideMark/>
          </w:tcPr>
          <w:p w14:paraId="1203D999"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Petermann</w:t>
            </w:r>
            <w:proofErr w:type="spellEnd"/>
            <w:r w:rsidRPr="009B7927">
              <w:rPr>
                <w:rFonts w:ascii="Calibri" w:hAnsi="Calibri"/>
                <w:b/>
                <w:bCs/>
                <w:szCs w:val="22"/>
                <w:lang w:eastAsia="en-GB"/>
              </w:rPr>
              <w:t xml:space="preserve"> Island</w:t>
            </w:r>
          </w:p>
        </w:tc>
        <w:tc>
          <w:tcPr>
            <w:tcW w:w="1408" w:type="dxa"/>
            <w:shd w:val="clear" w:color="auto" w:fill="auto"/>
            <w:noWrap/>
            <w:vAlign w:val="center"/>
            <w:hideMark/>
          </w:tcPr>
          <w:p w14:paraId="38BF7B14"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74</w:t>
            </w:r>
          </w:p>
        </w:tc>
        <w:tc>
          <w:tcPr>
            <w:tcW w:w="1285" w:type="dxa"/>
            <w:shd w:val="clear" w:color="auto" w:fill="auto"/>
            <w:noWrap/>
            <w:vAlign w:val="center"/>
            <w:hideMark/>
          </w:tcPr>
          <w:p w14:paraId="24E18675"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64</w:t>
            </w:r>
          </w:p>
        </w:tc>
        <w:tc>
          <w:tcPr>
            <w:tcW w:w="1309" w:type="dxa"/>
            <w:shd w:val="clear" w:color="auto" w:fill="auto"/>
            <w:noWrap/>
            <w:vAlign w:val="center"/>
            <w:hideMark/>
          </w:tcPr>
          <w:p w14:paraId="7AF00853"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95</w:t>
            </w:r>
          </w:p>
        </w:tc>
        <w:tc>
          <w:tcPr>
            <w:tcW w:w="1309" w:type="dxa"/>
            <w:shd w:val="clear" w:color="auto" w:fill="auto"/>
            <w:noWrap/>
            <w:vAlign w:val="center"/>
            <w:hideMark/>
          </w:tcPr>
          <w:p w14:paraId="657C3F7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55</w:t>
            </w:r>
          </w:p>
        </w:tc>
        <w:tc>
          <w:tcPr>
            <w:tcW w:w="1210" w:type="dxa"/>
            <w:shd w:val="clear" w:color="auto" w:fill="auto"/>
            <w:noWrap/>
            <w:vAlign w:val="center"/>
            <w:hideMark/>
          </w:tcPr>
          <w:p w14:paraId="6A9C17BD"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107</w:t>
            </w:r>
          </w:p>
        </w:tc>
      </w:tr>
      <w:tr w:rsidR="00FF1F3A" w:rsidRPr="009B7927" w14:paraId="2B589129" w14:textId="77777777" w:rsidTr="00A44582">
        <w:trPr>
          <w:trHeight w:val="541"/>
        </w:trPr>
        <w:tc>
          <w:tcPr>
            <w:tcW w:w="2990" w:type="dxa"/>
            <w:shd w:val="clear" w:color="auto" w:fill="auto"/>
            <w:vAlign w:val="center"/>
            <w:hideMark/>
          </w:tcPr>
          <w:p w14:paraId="34F173F3"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Brown Bluff</w:t>
            </w:r>
          </w:p>
        </w:tc>
        <w:tc>
          <w:tcPr>
            <w:tcW w:w="1408" w:type="dxa"/>
            <w:shd w:val="clear" w:color="auto" w:fill="auto"/>
            <w:noWrap/>
            <w:vAlign w:val="center"/>
            <w:hideMark/>
          </w:tcPr>
          <w:p w14:paraId="2DFA0FB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72</w:t>
            </w:r>
          </w:p>
        </w:tc>
        <w:tc>
          <w:tcPr>
            <w:tcW w:w="1285" w:type="dxa"/>
            <w:shd w:val="clear" w:color="auto" w:fill="auto"/>
            <w:noWrap/>
            <w:vAlign w:val="center"/>
            <w:hideMark/>
          </w:tcPr>
          <w:p w14:paraId="6D38B32E"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75</w:t>
            </w:r>
          </w:p>
        </w:tc>
        <w:tc>
          <w:tcPr>
            <w:tcW w:w="1309" w:type="dxa"/>
            <w:shd w:val="clear" w:color="auto" w:fill="auto"/>
            <w:noWrap/>
            <w:vAlign w:val="center"/>
            <w:hideMark/>
          </w:tcPr>
          <w:p w14:paraId="333EE4E9"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65</w:t>
            </w:r>
          </w:p>
        </w:tc>
        <w:tc>
          <w:tcPr>
            <w:tcW w:w="1309" w:type="dxa"/>
            <w:shd w:val="clear" w:color="auto" w:fill="auto"/>
            <w:noWrap/>
            <w:vAlign w:val="center"/>
            <w:hideMark/>
          </w:tcPr>
          <w:p w14:paraId="0EE07DD0"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56</w:t>
            </w:r>
          </w:p>
        </w:tc>
        <w:tc>
          <w:tcPr>
            <w:tcW w:w="1210" w:type="dxa"/>
            <w:shd w:val="clear" w:color="auto" w:fill="auto"/>
            <w:noWrap/>
            <w:vAlign w:val="center"/>
            <w:hideMark/>
          </w:tcPr>
          <w:p w14:paraId="55474CC2"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90</w:t>
            </w:r>
          </w:p>
        </w:tc>
      </w:tr>
      <w:tr w:rsidR="00FF1F3A" w:rsidRPr="009B7927" w14:paraId="7BA1C737" w14:textId="77777777" w:rsidTr="00A44582">
        <w:trPr>
          <w:trHeight w:val="595"/>
        </w:trPr>
        <w:tc>
          <w:tcPr>
            <w:tcW w:w="2990" w:type="dxa"/>
            <w:shd w:val="clear" w:color="auto" w:fill="auto"/>
            <w:vAlign w:val="center"/>
            <w:hideMark/>
          </w:tcPr>
          <w:p w14:paraId="7FC58DD5"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 xml:space="preserve">Mikkelsen </w:t>
            </w:r>
            <w:proofErr w:type="spellStart"/>
            <w:r w:rsidRPr="009B7927">
              <w:rPr>
                <w:rFonts w:ascii="Calibri" w:hAnsi="Calibri"/>
                <w:b/>
                <w:bCs/>
                <w:szCs w:val="22"/>
                <w:lang w:eastAsia="en-GB"/>
              </w:rPr>
              <w:t>Harbor</w:t>
            </w:r>
            <w:proofErr w:type="spellEnd"/>
            <w:r w:rsidRPr="009B7927">
              <w:rPr>
                <w:rFonts w:ascii="Calibri" w:hAnsi="Calibri"/>
                <w:b/>
                <w:bCs/>
                <w:szCs w:val="22"/>
                <w:lang w:eastAsia="en-GB"/>
              </w:rPr>
              <w:t xml:space="preserve"> (</w:t>
            </w:r>
            <w:proofErr w:type="spellStart"/>
            <w:r w:rsidRPr="009B7927">
              <w:rPr>
                <w:rFonts w:ascii="Calibri" w:hAnsi="Calibri"/>
                <w:b/>
                <w:bCs/>
                <w:szCs w:val="22"/>
                <w:lang w:eastAsia="en-GB"/>
              </w:rPr>
              <w:t>D'Hainaut</w:t>
            </w:r>
            <w:proofErr w:type="spellEnd"/>
            <w:r w:rsidRPr="009B7927">
              <w:rPr>
                <w:rFonts w:ascii="Calibri" w:hAnsi="Calibri"/>
                <w:b/>
                <w:bCs/>
                <w:szCs w:val="22"/>
                <w:lang w:eastAsia="en-GB"/>
              </w:rPr>
              <w:t>)</w:t>
            </w:r>
          </w:p>
        </w:tc>
        <w:tc>
          <w:tcPr>
            <w:tcW w:w="1408" w:type="dxa"/>
            <w:shd w:val="clear" w:color="auto" w:fill="auto"/>
            <w:noWrap/>
            <w:vAlign w:val="center"/>
            <w:hideMark/>
          </w:tcPr>
          <w:p w14:paraId="58DF3092"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71</w:t>
            </w:r>
          </w:p>
        </w:tc>
        <w:tc>
          <w:tcPr>
            <w:tcW w:w="1285" w:type="dxa"/>
            <w:shd w:val="clear" w:color="auto" w:fill="auto"/>
            <w:noWrap/>
            <w:vAlign w:val="center"/>
            <w:hideMark/>
          </w:tcPr>
          <w:p w14:paraId="05572530"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80</w:t>
            </w:r>
          </w:p>
        </w:tc>
        <w:tc>
          <w:tcPr>
            <w:tcW w:w="1309" w:type="dxa"/>
            <w:shd w:val="clear" w:color="auto" w:fill="auto"/>
            <w:noWrap/>
            <w:vAlign w:val="center"/>
            <w:hideMark/>
          </w:tcPr>
          <w:p w14:paraId="7B3A553C"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69</w:t>
            </w:r>
          </w:p>
        </w:tc>
        <w:tc>
          <w:tcPr>
            <w:tcW w:w="1309" w:type="dxa"/>
            <w:shd w:val="clear" w:color="auto" w:fill="auto"/>
            <w:noWrap/>
            <w:vAlign w:val="center"/>
            <w:hideMark/>
          </w:tcPr>
          <w:p w14:paraId="07E4E4D9"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89</w:t>
            </w:r>
          </w:p>
        </w:tc>
        <w:tc>
          <w:tcPr>
            <w:tcW w:w="1210" w:type="dxa"/>
            <w:shd w:val="clear" w:color="auto" w:fill="auto"/>
            <w:noWrap/>
            <w:vAlign w:val="center"/>
            <w:hideMark/>
          </w:tcPr>
          <w:p w14:paraId="732C0AA8"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86</w:t>
            </w:r>
          </w:p>
        </w:tc>
      </w:tr>
      <w:tr w:rsidR="00FF1F3A" w:rsidRPr="009B7927" w14:paraId="1002AD8A" w14:textId="77777777" w:rsidTr="00A44582">
        <w:trPr>
          <w:trHeight w:val="541"/>
        </w:trPr>
        <w:tc>
          <w:tcPr>
            <w:tcW w:w="2990" w:type="dxa"/>
            <w:shd w:val="clear" w:color="auto" w:fill="auto"/>
            <w:vAlign w:val="center"/>
            <w:hideMark/>
          </w:tcPr>
          <w:p w14:paraId="0864704F"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Damoy</w:t>
            </w:r>
            <w:proofErr w:type="spellEnd"/>
            <w:r w:rsidRPr="009B7927">
              <w:rPr>
                <w:rFonts w:ascii="Calibri" w:hAnsi="Calibri"/>
                <w:b/>
                <w:bCs/>
                <w:szCs w:val="22"/>
                <w:lang w:eastAsia="en-GB"/>
              </w:rPr>
              <w:t xml:space="preserve"> Point/Dorian Bay</w:t>
            </w:r>
          </w:p>
        </w:tc>
        <w:tc>
          <w:tcPr>
            <w:tcW w:w="1408" w:type="dxa"/>
            <w:shd w:val="clear" w:color="auto" w:fill="auto"/>
            <w:noWrap/>
            <w:vAlign w:val="center"/>
            <w:hideMark/>
          </w:tcPr>
          <w:p w14:paraId="10354CC3"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61</w:t>
            </w:r>
          </w:p>
        </w:tc>
        <w:tc>
          <w:tcPr>
            <w:tcW w:w="1285" w:type="dxa"/>
            <w:shd w:val="clear" w:color="auto" w:fill="auto"/>
            <w:noWrap/>
            <w:vAlign w:val="center"/>
            <w:hideMark/>
          </w:tcPr>
          <w:p w14:paraId="67CE81F2"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71</w:t>
            </w:r>
          </w:p>
        </w:tc>
        <w:tc>
          <w:tcPr>
            <w:tcW w:w="1309" w:type="dxa"/>
            <w:shd w:val="clear" w:color="auto" w:fill="auto"/>
            <w:noWrap/>
            <w:vAlign w:val="center"/>
            <w:hideMark/>
          </w:tcPr>
          <w:p w14:paraId="785C0816"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79</w:t>
            </w:r>
          </w:p>
        </w:tc>
        <w:tc>
          <w:tcPr>
            <w:tcW w:w="1309" w:type="dxa"/>
            <w:shd w:val="clear" w:color="auto" w:fill="auto"/>
            <w:noWrap/>
            <w:vAlign w:val="center"/>
            <w:hideMark/>
          </w:tcPr>
          <w:p w14:paraId="7DAF38C3"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86</w:t>
            </w:r>
          </w:p>
        </w:tc>
        <w:tc>
          <w:tcPr>
            <w:tcW w:w="1210" w:type="dxa"/>
            <w:shd w:val="clear" w:color="auto" w:fill="auto"/>
            <w:noWrap/>
            <w:vAlign w:val="center"/>
            <w:hideMark/>
          </w:tcPr>
          <w:p w14:paraId="46218BF2"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95</w:t>
            </w:r>
          </w:p>
        </w:tc>
      </w:tr>
      <w:tr w:rsidR="00FF1F3A" w:rsidRPr="009B7927" w14:paraId="6FBDE703" w14:textId="77777777" w:rsidTr="00A44582">
        <w:trPr>
          <w:trHeight w:val="710"/>
        </w:trPr>
        <w:tc>
          <w:tcPr>
            <w:tcW w:w="2990" w:type="dxa"/>
            <w:shd w:val="clear" w:color="auto" w:fill="auto"/>
            <w:vAlign w:val="center"/>
            <w:hideMark/>
          </w:tcPr>
          <w:p w14:paraId="51C84CD1"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Aitcho</w:t>
            </w:r>
            <w:proofErr w:type="spellEnd"/>
            <w:r w:rsidRPr="009B7927">
              <w:rPr>
                <w:rFonts w:ascii="Calibri" w:hAnsi="Calibri"/>
                <w:b/>
                <w:bCs/>
                <w:szCs w:val="22"/>
                <w:lang w:eastAsia="en-GB"/>
              </w:rPr>
              <w:t xml:space="preserve"> Islands - Barrientos Island</w:t>
            </w:r>
          </w:p>
        </w:tc>
        <w:tc>
          <w:tcPr>
            <w:tcW w:w="1408" w:type="dxa"/>
            <w:shd w:val="clear" w:color="auto" w:fill="auto"/>
            <w:noWrap/>
            <w:vAlign w:val="center"/>
            <w:hideMark/>
          </w:tcPr>
          <w:p w14:paraId="0C37C4EC"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53</w:t>
            </w:r>
          </w:p>
        </w:tc>
        <w:tc>
          <w:tcPr>
            <w:tcW w:w="1285" w:type="dxa"/>
            <w:shd w:val="clear" w:color="auto" w:fill="auto"/>
            <w:noWrap/>
            <w:vAlign w:val="center"/>
            <w:hideMark/>
          </w:tcPr>
          <w:p w14:paraId="528A40CA"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50</w:t>
            </w:r>
          </w:p>
        </w:tc>
        <w:tc>
          <w:tcPr>
            <w:tcW w:w="1309" w:type="dxa"/>
            <w:shd w:val="clear" w:color="auto" w:fill="auto"/>
            <w:noWrap/>
            <w:vAlign w:val="center"/>
            <w:hideMark/>
          </w:tcPr>
          <w:p w14:paraId="1CE461EC"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61</w:t>
            </w:r>
          </w:p>
        </w:tc>
        <w:tc>
          <w:tcPr>
            <w:tcW w:w="1309" w:type="dxa"/>
            <w:shd w:val="clear" w:color="auto" w:fill="auto"/>
            <w:noWrap/>
            <w:vAlign w:val="center"/>
            <w:hideMark/>
          </w:tcPr>
          <w:p w14:paraId="008D5AB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42</w:t>
            </w:r>
          </w:p>
        </w:tc>
        <w:tc>
          <w:tcPr>
            <w:tcW w:w="1210" w:type="dxa"/>
            <w:shd w:val="clear" w:color="auto" w:fill="auto"/>
            <w:noWrap/>
            <w:vAlign w:val="center"/>
            <w:hideMark/>
          </w:tcPr>
          <w:p w14:paraId="49DE49B1"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52</w:t>
            </w:r>
          </w:p>
        </w:tc>
      </w:tr>
      <w:tr w:rsidR="00FF1F3A" w:rsidRPr="009B7927" w14:paraId="5828D011" w14:textId="77777777" w:rsidTr="00A44582">
        <w:trPr>
          <w:trHeight w:val="541"/>
        </w:trPr>
        <w:tc>
          <w:tcPr>
            <w:tcW w:w="2990" w:type="dxa"/>
            <w:shd w:val="clear" w:color="auto" w:fill="auto"/>
            <w:vAlign w:val="center"/>
            <w:hideMark/>
          </w:tcPr>
          <w:p w14:paraId="63544FFB"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Portal Point</w:t>
            </w:r>
          </w:p>
        </w:tc>
        <w:tc>
          <w:tcPr>
            <w:tcW w:w="1408" w:type="dxa"/>
            <w:shd w:val="clear" w:color="auto" w:fill="auto"/>
            <w:noWrap/>
            <w:vAlign w:val="center"/>
            <w:hideMark/>
          </w:tcPr>
          <w:p w14:paraId="348D2D9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41</w:t>
            </w:r>
          </w:p>
        </w:tc>
        <w:tc>
          <w:tcPr>
            <w:tcW w:w="1285" w:type="dxa"/>
            <w:shd w:val="clear" w:color="auto" w:fill="auto"/>
            <w:noWrap/>
            <w:vAlign w:val="center"/>
            <w:hideMark/>
          </w:tcPr>
          <w:p w14:paraId="271BF3A5"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34</w:t>
            </w:r>
          </w:p>
        </w:tc>
        <w:tc>
          <w:tcPr>
            <w:tcW w:w="1309" w:type="dxa"/>
            <w:shd w:val="clear" w:color="auto" w:fill="auto"/>
            <w:noWrap/>
            <w:vAlign w:val="center"/>
            <w:hideMark/>
          </w:tcPr>
          <w:p w14:paraId="765ED455"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51</w:t>
            </w:r>
          </w:p>
        </w:tc>
        <w:tc>
          <w:tcPr>
            <w:tcW w:w="1309" w:type="dxa"/>
            <w:shd w:val="clear" w:color="auto" w:fill="auto"/>
            <w:noWrap/>
            <w:vAlign w:val="center"/>
            <w:hideMark/>
          </w:tcPr>
          <w:p w14:paraId="2F04C774"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64</w:t>
            </w:r>
          </w:p>
        </w:tc>
        <w:tc>
          <w:tcPr>
            <w:tcW w:w="1210" w:type="dxa"/>
            <w:shd w:val="clear" w:color="auto" w:fill="auto"/>
            <w:noWrap/>
            <w:vAlign w:val="center"/>
            <w:hideMark/>
          </w:tcPr>
          <w:p w14:paraId="6564694E"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112</w:t>
            </w:r>
          </w:p>
        </w:tc>
      </w:tr>
      <w:tr w:rsidR="00FF1F3A" w:rsidRPr="009B7927" w14:paraId="0343CC20" w14:textId="77777777" w:rsidTr="00A44582">
        <w:trPr>
          <w:trHeight w:val="541"/>
        </w:trPr>
        <w:tc>
          <w:tcPr>
            <w:tcW w:w="2990" w:type="dxa"/>
            <w:shd w:val="clear" w:color="auto" w:fill="auto"/>
            <w:vAlign w:val="center"/>
            <w:hideMark/>
          </w:tcPr>
          <w:p w14:paraId="30C30A3F"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Vernadsky</w:t>
            </w:r>
            <w:proofErr w:type="spellEnd"/>
            <w:r w:rsidRPr="009B7927">
              <w:rPr>
                <w:rFonts w:ascii="Calibri" w:hAnsi="Calibri"/>
                <w:b/>
                <w:bCs/>
                <w:szCs w:val="22"/>
                <w:lang w:eastAsia="en-GB"/>
              </w:rPr>
              <w:t xml:space="preserve"> Station</w:t>
            </w:r>
          </w:p>
        </w:tc>
        <w:tc>
          <w:tcPr>
            <w:tcW w:w="1408" w:type="dxa"/>
            <w:shd w:val="clear" w:color="auto" w:fill="auto"/>
            <w:noWrap/>
            <w:vAlign w:val="center"/>
            <w:hideMark/>
          </w:tcPr>
          <w:p w14:paraId="456CE635"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38</w:t>
            </w:r>
          </w:p>
        </w:tc>
        <w:tc>
          <w:tcPr>
            <w:tcW w:w="1285" w:type="dxa"/>
            <w:shd w:val="clear" w:color="auto" w:fill="auto"/>
            <w:noWrap/>
            <w:vAlign w:val="center"/>
            <w:hideMark/>
          </w:tcPr>
          <w:p w14:paraId="7DC8587D"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42</w:t>
            </w:r>
          </w:p>
        </w:tc>
        <w:tc>
          <w:tcPr>
            <w:tcW w:w="1309" w:type="dxa"/>
            <w:shd w:val="clear" w:color="auto" w:fill="auto"/>
            <w:noWrap/>
            <w:vAlign w:val="center"/>
            <w:hideMark/>
          </w:tcPr>
          <w:p w14:paraId="09F7C06E"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52</w:t>
            </w:r>
          </w:p>
        </w:tc>
        <w:tc>
          <w:tcPr>
            <w:tcW w:w="1309" w:type="dxa"/>
            <w:shd w:val="clear" w:color="auto" w:fill="auto"/>
            <w:noWrap/>
            <w:vAlign w:val="center"/>
            <w:hideMark/>
          </w:tcPr>
          <w:p w14:paraId="009DE9B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45</w:t>
            </w:r>
          </w:p>
        </w:tc>
        <w:tc>
          <w:tcPr>
            <w:tcW w:w="1210" w:type="dxa"/>
            <w:shd w:val="clear" w:color="auto" w:fill="auto"/>
            <w:noWrap/>
            <w:vAlign w:val="center"/>
            <w:hideMark/>
          </w:tcPr>
          <w:p w14:paraId="451CF730"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55</w:t>
            </w:r>
          </w:p>
        </w:tc>
      </w:tr>
      <w:tr w:rsidR="00FF1F3A" w:rsidRPr="009B7927" w14:paraId="6FB1A071" w14:textId="77777777" w:rsidTr="00A44582">
        <w:trPr>
          <w:trHeight w:val="541"/>
        </w:trPr>
        <w:tc>
          <w:tcPr>
            <w:tcW w:w="2990" w:type="dxa"/>
            <w:shd w:val="clear" w:color="auto" w:fill="auto"/>
            <w:vAlign w:val="center"/>
            <w:hideMark/>
          </w:tcPr>
          <w:p w14:paraId="5AFAA4D7"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 xml:space="preserve">Orne </w:t>
            </w:r>
            <w:proofErr w:type="spellStart"/>
            <w:r w:rsidRPr="009B7927">
              <w:rPr>
                <w:rFonts w:ascii="Calibri" w:hAnsi="Calibri"/>
                <w:b/>
                <w:bCs/>
                <w:szCs w:val="22"/>
                <w:lang w:eastAsia="en-GB"/>
              </w:rPr>
              <w:t>Harbor</w:t>
            </w:r>
            <w:proofErr w:type="spellEnd"/>
          </w:p>
        </w:tc>
        <w:tc>
          <w:tcPr>
            <w:tcW w:w="1408" w:type="dxa"/>
            <w:shd w:val="clear" w:color="auto" w:fill="auto"/>
            <w:noWrap/>
            <w:vAlign w:val="center"/>
            <w:hideMark/>
          </w:tcPr>
          <w:p w14:paraId="5C92B54E"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35</w:t>
            </w:r>
          </w:p>
        </w:tc>
        <w:tc>
          <w:tcPr>
            <w:tcW w:w="1285" w:type="dxa"/>
            <w:shd w:val="clear" w:color="auto" w:fill="auto"/>
            <w:noWrap/>
            <w:vAlign w:val="center"/>
            <w:hideMark/>
          </w:tcPr>
          <w:p w14:paraId="03426315"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53</w:t>
            </w:r>
          </w:p>
        </w:tc>
        <w:tc>
          <w:tcPr>
            <w:tcW w:w="1309" w:type="dxa"/>
            <w:shd w:val="clear" w:color="auto" w:fill="auto"/>
            <w:noWrap/>
            <w:vAlign w:val="center"/>
            <w:hideMark/>
          </w:tcPr>
          <w:p w14:paraId="24DFC5C4"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53</w:t>
            </w:r>
          </w:p>
        </w:tc>
        <w:tc>
          <w:tcPr>
            <w:tcW w:w="1309" w:type="dxa"/>
            <w:shd w:val="clear" w:color="auto" w:fill="auto"/>
            <w:noWrap/>
            <w:vAlign w:val="center"/>
            <w:hideMark/>
          </w:tcPr>
          <w:p w14:paraId="37B2BF55"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58</w:t>
            </w:r>
          </w:p>
        </w:tc>
        <w:tc>
          <w:tcPr>
            <w:tcW w:w="1210" w:type="dxa"/>
            <w:shd w:val="clear" w:color="auto" w:fill="auto"/>
            <w:noWrap/>
            <w:vAlign w:val="center"/>
            <w:hideMark/>
          </w:tcPr>
          <w:p w14:paraId="5F62E32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76</w:t>
            </w:r>
          </w:p>
        </w:tc>
      </w:tr>
      <w:tr w:rsidR="00FF1F3A" w:rsidRPr="009B7927" w14:paraId="61BADFFF" w14:textId="77777777" w:rsidTr="00A44582">
        <w:trPr>
          <w:trHeight w:val="541"/>
        </w:trPr>
        <w:tc>
          <w:tcPr>
            <w:tcW w:w="2990" w:type="dxa"/>
            <w:shd w:val="clear" w:color="auto" w:fill="auto"/>
            <w:vAlign w:val="center"/>
            <w:hideMark/>
          </w:tcPr>
          <w:p w14:paraId="0C64F542"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 xml:space="preserve">Yankee </w:t>
            </w:r>
            <w:proofErr w:type="spellStart"/>
            <w:r w:rsidRPr="009B7927">
              <w:rPr>
                <w:rFonts w:ascii="Calibri" w:hAnsi="Calibri"/>
                <w:b/>
                <w:bCs/>
                <w:szCs w:val="22"/>
                <w:lang w:eastAsia="en-GB"/>
              </w:rPr>
              <w:t>Harbor</w:t>
            </w:r>
            <w:proofErr w:type="spellEnd"/>
          </w:p>
        </w:tc>
        <w:tc>
          <w:tcPr>
            <w:tcW w:w="1408" w:type="dxa"/>
            <w:shd w:val="clear" w:color="auto" w:fill="auto"/>
            <w:noWrap/>
            <w:vAlign w:val="center"/>
            <w:hideMark/>
          </w:tcPr>
          <w:p w14:paraId="18218F2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35</w:t>
            </w:r>
          </w:p>
        </w:tc>
        <w:tc>
          <w:tcPr>
            <w:tcW w:w="1285" w:type="dxa"/>
            <w:shd w:val="clear" w:color="auto" w:fill="auto"/>
            <w:noWrap/>
            <w:vAlign w:val="center"/>
            <w:hideMark/>
          </w:tcPr>
          <w:p w14:paraId="5A7DFBD9"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37</w:t>
            </w:r>
          </w:p>
        </w:tc>
        <w:tc>
          <w:tcPr>
            <w:tcW w:w="1309" w:type="dxa"/>
            <w:shd w:val="clear" w:color="auto" w:fill="auto"/>
            <w:noWrap/>
            <w:vAlign w:val="center"/>
            <w:hideMark/>
          </w:tcPr>
          <w:p w14:paraId="2E339983"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55</w:t>
            </w:r>
          </w:p>
        </w:tc>
        <w:tc>
          <w:tcPr>
            <w:tcW w:w="1309" w:type="dxa"/>
            <w:shd w:val="clear" w:color="auto" w:fill="auto"/>
            <w:noWrap/>
            <w:vAlign w:val="center"/>
            <w:hideMark/>
          </w:tcPr>
          <w:p w14:paraId="0C94FCBA"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53</w:t>
            </w:r>
          </w:p>
        </w:tc>
        <w:tc>
          <w:tcPr>
            <w:tcW w:w="1210" w:type="dxa"/>
            <w:shd w:val="clear" w:color="auto" w:fill="auto"/>
            <w:noWrap/>
            <w:vAlign w:val="center"/>
            <w:hideMark/>
          </w:tcPr>
          <w:p w14:paraId="4AB01FA5"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65</w:t>
            </w:r>
          </w:p>
        </w:tc>
      </w:tr>
      <w:tr w:rsidR="00FF1F3A" w:rsidRPr="009B7927" w14:paraId="0313995C" w14:textId="77777777" w:rsidTr="00A44582">
        <w:trPr>
          <w:trHeight w:val="541"/>
        </w:trPr>
        <w:tc>
          <w:tcPr>
            <w:tcW w:w="2990" w:type="dxa"/>
            <w:shd w:val="clear" w:color="auto" w:fill="auto"/>
            <w:vAlign w:val="center"/>
            <w:hideMark/>
          </w:tcPr>
          <w:p w14:paraId="5930186B"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Pleneau</w:t>
            </w:r>
            <w:proofErr w:type="spellEnd"/>
            <w:r w:rsidRPr="009B7927">
              <w:rPr>
                <w:rFonts w:ascii="Calibri" w:hAnsi="Calibri"/>
                <w:b/>
                <w:bCs/>
                <w:szCs w:val="22"/>
                <w:lang w:eastAsia="en-GB"/>
              </w:rPr>
              <w:t xml:space="preserve"> Island</w:t>
            </w:r>
          </w:p>
        </w:tc>
        <w:tc>
          <w:tcPr>
            <w:tcW w:w="1408" w:type="dxa"/>
            <w:shd w:val="clear" w:color="auto" w:fill="auto"/>
            <w:noWrap/>
            <w:vAlign w:val="center"/>
            <w:hideMark/>
          </w:tcPr>
          <w:p w14:paraId="2525B875"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34</w:t>
            </w:r>
          </w:p>
        </w:tc>
        <w:tc>
          <w:tcPr>
            <w:tcW w:w="1285" w:type="dxa"/>
            <w:shd w:val="clear" w:color="auto" w:fill="auto"/>
            <w:noWrap/>
            <w:vAlign w:val="center"/>
            <w:hideMark/>
          </w:tcPr>
          <w:p w14:paraId="33223673"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22</w:t>
            </w:r>
          </w:p>
        </w:tc>
        <w:tc>
          <w:tcPr>
            <w:tcW w:w="1309" w:type="dxa"/>
            <w:shd w:val="clear" w:color="auto" w:fill="auto"/>
            <w:noWrap/>
            <w:vAlign w:val="center"/>
            <w:hideMark/>
          </w:tcPr>
          <w:p w14:paraId="428F9A5E"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37</w:t>
            </w:r>
          </w:p>
        </w:tc>
        <w:tc>
          <w:tcPr>
            <w:tcW w:w="1309" w:type="dxa"/>
            <w:shd w:val="clear" w:color="auto" w:fill="auto"/>
            <w:noWrap/>
            <w:vAlign w:val="center"/>
            <w:hideMark/>
          </w:tcPr>
          <w:p w14:paraId="1A21D1A8"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25</w:t>
            </w:r>
          </w:p>
        </w:tc>
        <w:tc>
          <w:tcPr>
            <w:tcW w:w="1210" w:type="dxa"/>
            <w:shd w:val="clear" w:color="auto" w:fill="auto"/>
            <w:noWrap/>
            <w:vAlign w:val="center"/>
            <w:hideMark/>
          </w:tcPr>
          <w:p w14:paraId="1E74D4C7"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37</w:t>
            </w:r>
          </w:p>
        </w:tc>
      </w:tr>
      <w:tr w:rsidR="00FF1F3A" w:rsidRPr="009B7927" w14:paraId="012FEBBA" w14:textId="77777777" w:rsidTr="00A44582">
        <w:trPr>
          <w:trHeight w:val="541"/>
        </w:trPr>
        <w:tc>
          <w:tcPr>
            <w:tcW w:w="2990" w:type="dxa"/>
            <w:shd w:val="clear" w:color="auto" w:fill="auto"/>
            <w:vAlign w:val="center"/>
            <w:hideMark/>
          </w:tcPr>
          <w:p w14:paraId="21EF0157" w14:textId="77777777" w:rsidR="00FF1F3A" w:rsidRPr="009B7927" w:rsidRDefault="00FF1F3A" w:rsidP="00A44582">
            <w:pPr>
              <w:rPr>
                <w:rFonts w:ascii="Calibri" w:hAnsi="Calibri"/>
                <w:b/>
                <w:bCs/>
                <w:szCs w:val="22"/>
                <w:lang w:eastAsia="en-GB"/>
              </w:rPr>
            </w:pPr>
            <w:proofErr w:type="spellStart"/>
            <w:r w:rsidRPr="009B7927">
              <w:rPr>
                <w:rFonts w:ascii="Calibri" w:hAnsi="Calibri"/>
                <w:b/>
                <w:bCs/>
                <w:szCs w:val="22"/>
                <w:lang w:eastAsia="en-GB"/>
              </w:rPr>
              <w:t>Telefon</w:t>
            </w:r>
            <w:proofErr w:type="spellEnd"/>
            <w:r w:rsidRPr="009B7927">
              <w:rPr>
                <w:rFonts w:ascii="Calibri" w:hAnsi="Calibri"/>
                <w:b/>
                <w:bCs/>
                <w:szCs w:val="22"/>
                <w:lang w:eastAsia="en-GB"/>
              </w:rPr>
              <w:t xml:space="preserve"> Bay</w:t>
            </w:r>
          </w:p>
        </w:tc>
        <w:tc>
          <w:tcPr>
            <w:tcW w:w="1408" w:type="dxa"/>
            <w:shd w:val="clear" w:color="auto" w:fill="auto"/>
            <w:noWrap/>
            <w:vAlign w:val="center"/>
            <w:hideMark/>
          </w:tcPr>
          <w:p w14:paraId="691332C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32</w:t>
            </w:r>
          </w:p>
        </w:tc>
        <w:tc>
          <w:tcPr>
            <w:tcW w:w="1285" w:type="dxa"/>
            <w:shd w:val="clear" w:color="auto" w:fill="auto"/>
            <w:noWrap/>
            <w:vAlign w:val="center"/>
            <w:hideMark/>
          </w:tcPr>
          <w:p w14:paraId="209115A1" w14:textId="77777777" w:rsidR="00FF1F3A" w:rsidRPr="009B7927" w:rsidRDefault="00FF1F3A" w:rsidP="00A44582">
            <w:pPr>
              <w:jc w:val="center"/>
              <w:rPr>
                <w:rFonts w:ascii="Calibri" w:hAnsi="Calibri"/>
                <w:color w:val="000000"/>
                <w:sz w:val="24"/>
                <w:lang w:eastAsia="en-GB"/>
              </w:rPr>
            </w:pPr>
            <w:r w:rsidRPr="009B7927">
              <w:rPr>
                <w:rFonts w:ascii="Calibri" w:hAnsi="Calibri"/>
                <w:color w:val="000000"/>
                <w:sz w:val="24"/>
                <w:lang w:eastAsia="en-GB"/>
              </w:rPr>
              <w:t>50</w:t>
            </w:r>
          </w:p>
        </w:tc>
        <w:tc>
          <w:tcPr>
            <w:tcW w:w="1309" w:type="dxa"/>
            <w:shd w:val="clear" w:color="auto" w:fill="auto"/>
            <w:noWrap/>
            <w:vAlign w:val="center"/>
            <w:hideMark/>
          </w:tcPr>
          <w:p w14:paraId="78F78093"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58</w:t>
            </w:r>
          </w:p>
        </w:tc>
        <w:tc>
          <w:tcPr>
            <w:tcW w:w="1309" w:type="dxa"/>
            <w:shd w:val="clear" w:color="auto" w:fill="auto"/>
            <w:noWrap/>
            <w:vAlign w:val="center"/>
            <w:hideMark/>
          </w:tcPr>
          <w:p w14:paraId="4A0C855B"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71</w:t>
            </w:r>
          </w:p>
        </w:tc>
        <w:tc>
          <w:tcPr>
            <w:tcW w:w="1210" w:type="dxa"/>
            <w:shd w:val="clear" w:color="auto" w:fill="auto"/>
            <w:noWrap/>
            <w:vAlign w:val="center"/>
            <w:hideMark/>
          </w:tcPr>
          <w:p w14:paraId="5D64DAE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57</w:t>
            </w:r>
          </w:p>
        </w:tc>
      </w:tr>
      <w:tr w:rsidR="00FF1F3A" w:rsidRPr="009B7927" w14:paraId="2FB715F9" w14:textId="77777777" w:rsidTr="00A44582">
        <w:trPr>
          <w:trHeight w:val="541"/>
        </w:trPr>
        <w:tc>
          <w:tcPr>
            <w:tcW w:w="2990" w:type="dxa"/>
            <w:shd w:val="clear" w:color="auto" w:fill="auto"/>
            <w:vAlign w:val="center"/>
            <w:hideMark/>
          </w:tcPr>
          <w:p w14:paraId="2672FD70" w14:textId="77777777" w:rsidR="00FF1F3A" w:rsidRPr="009B7927" w:rsidRDefault="00FF1F3A" w:rsidP="00A44582">
            <w:pPr>
              <w:rPr>
                <w:rFonts w:ascii="Calibri" w:hAnsi="Calibri"/>
                <w:b/>
                <w:bCs/>
                <w:szCs w:val="22"/>
                <w:lang w:eastAsia="en-GB"/>
              </w:rPr>
            </w:pPr>
            <w:r w:rsidRPr="009B7927">
              <w:rPr>
                <w:rFonts w:ascii="Calibri" w:hAnsi="Calibri"/>
                <w:b/>
                <w:bCs/>
                <w:szCs w:val="22"/>
                <w:lang w:eastAsia="en-GB"/>
              </w:rPr>
              <w:t>Port Charcot</w:t>
            </w:r>
          </w:p>
        </w:tc>
        <w:tc>
          <w:tcPr>
            <w:tcW w:w="1408" w:type="dxa"/>
            <w:shd w:val="clear" w:color="auto" w:fill="auto"/>
            <w:noWrap/>
            <w:vAlign w:val="center"/>
            <w:hideMark/>
          </w:tcPr>
          <w:p w14:paraId="24717460"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30</w:t>
            </w:r>
          </w:p>
        </w:tc>
        <w:tc>
          <w:tcPr>
            <w:tcW w:w="1285" w:type="dxa"/>
            <w:shd w:val="clear" w:color="auto" w:fill="auto"/>
            <w:noWrap/>
            <w:vAlign w:val="center"/>
            <w:hideMark/>
          </w:tcPr>
          <w:p w14:paraId="2F8A5F2E"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31</w:t>
            </w:r>
          </w:p>
        </w:tc>
        <w:tc>
          <w:tcPr>
            <w:tcW w:w="1309" w:type="dxa"/>
            <w:shd w:val="clear" w:color="auto" w:fill="auto"/>
            <w:noWrap/>
            <w:vAlign w:val="center"/>
            <w:hideMark/>
          </w:tcPr>
          <w:p w14:paraId="6A7230CD"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70</w:t>
            </w:r>
          </w:p>
        </w:tc>
        <w:tc>
          <w:tcPr>
            <w:tcW w:w="1309" w:type="dxa"/>
            <w:shd w:val="clear" w:color="auto" w:fill="auto"/>
            <w:noWrap/>
            <w:vAlign w:val="center"/>
            <w:hideMark/>
          </w:tcPr>
          <w:p w14:paraId="39C71CCD"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50</w:t>
            </w:r>
          </w:p>
        </w:tc>
        <w:tc>
          <w:tcPr>
            <w:tcW w:w="1210" w:type="dxa"/>
            <w:shd w:val="clear" w:color="auto" w:fill="auto"/>
            <w:noWrap/>
            <w:vAlign w:val="center"/>
            <w:hideMark/>
          </w:tcPr>
          <w:p w14:paraId="26A8AB0F" w14:textId="77777777" w:rsidR="00FF1F3A" w:rsidRPr="009B7927" w:rsidRDefault="00FF1F3A" w:rsidP="00A44582">
            <w:pPr>
              <w:jc w:val="center"/>
              <w:rPr>
                <w:rFonts w:ascii="Calibri" w:hAnsi="Calibri"/>
                <w:szCs w:val="22"/>
                <w:lang w:eastAsia="en-GB"/>
              </w:rPr>
            </w:pPr>
            <w:r w:rsidRPr="009B7927">
              <w:rPr>
                <w:rFonts w:ascii="Calibri" w:hAnsi="Calibri"/>
                <w:szCs w:val="22"/>
                <w:lang w:eastAsia="en-GB"/>
              </w:rPr>
              <w:t>80</w:t>
            </w:r>
          </w:p>
        </w:tc>
      </w:tr>
    </w:tbl>
    <w:p w14:paraId="1DD2BBCA" w14:textId="77777777" w:rsidR="00FF1F3A" w:rsidRDefault="00FF1F3A" w:rsidP="00FF1F3A"/>
    <w:p w14:paraId="387AEF0D" w14:textId="77777777" w:rsidR="00FF1F3A" w:rsidRDefault="00FF1F3A" w:rsidP="00FF1F3A"/>
    <w:p w14:paraId="5F31A82D" w14:textId="77777777" w:rsidR="00FF1F3A" w:rsidRDefault="00FF1F3A" w:rsidP="00FF1F3A">
      <w:pPr>
        <w:rPr>
          <w:bCs/>
          <w:lang w:val="cy-GB"/>
        </w:rPr>
      </w:pPr>
      <w:r>
        <w:rPr>
          <w:b/>
        </w:rPr>
        <w:lastRenderedPageBreak/>
        <w:t xml:space="preserve">Graphical Depiction of </w:t>
      </w:r>
      <w:r w:rsidRPr="009C5E54">
        <w:rPr>
          <w:b/>
        </w:rPr>
        <w:t>Appendix II:</w:t>
      </w:r>
      <w:r w:rsidRPr="009C5E54">
        <w:t xml:space="preserve"> </w:t>
      </w:r>
      <w:r w:rsidRPr="009C5E54">
        <w:rPr>
          <w:bCs/>
          <w:lang w:val="cy-GB"/>
        </w:rPr>
        <w:t xml:space="preserve">Top Twenty Most-Visited Sites </w:t>
      </w:r>
      <w:r>
        <w:rPr>
          <w:bCs/>
          <w:lang w:val="cy-GB"/>
        </w:rPr>
        <w:t>between 2015</w:t>
      </w:r>
      <w:r>
        <w:rPr>
          <w:lang w:val="en-US"/>
        </w:rPr>
        <w:t>–</w:t>
      </w:r>
      <w:r>
        <w:rPr>
          <w:bCs/>
          <w:lang w:val="cy-GB"/>
        </w:rPr>
        <w:t xml:space="preserve">20 </w:t>
      </w:r>
      <w:r w:rsidRPr="009C5E54">
        <w:rPr>
          <w:bCs/>
          <w:lang w:val="cy-GB"/>
        </w:rPr>
        <w:t>Season</w:t>
      </w:r>
      <w:r>
        <w:rPr>
          <w:bCs/>
          <w:lang w:val="cy-GB"/>
        </w:rPr>
        <w:t>s</w:t>
      </w:r>
      <w:r w:rsidRPr="009C5E54">
        <w:rPr>
          <w:bCs/>
          <w:lang w:val="cy-GB"/>
        </w:rPr>
        <w:t xml:space="preserve"> (including yacht visits)</w:t>
      </w:r>
    </w:p>
    <w:p w14:paraId="0F0DBA1D" w14:textId="77777777" w:rsidR="00FF1F3A" w:rsidRDefault="00FF1F3A" w:rsidP="00FF1F3A"/>
    <w:p w14:paraId="1CA9B65D" w14:textId="77777777" w:rsidR="00FF1F3A" w:rsidRDefault="00FF1F3A" w:rsidP="00FF1F3A">
      <w:r>
        <w:rPr>
          <w:noProof/>
          <w:lang w:eastAsia="en-GB"/>
        </w:rPr>
        <w:drawing>
          <wp:inline distT="0" distB="0" distL="0" distR="0" wp14:anchorId="3DC352FD" wp14:editId="095385A9">
            <wp:extent cx="5936566" cy="3221501"/>
            <wp:effectExtent l="0" t="0" r="7620" b="17145"/>
            <wp:docPr id="5" name="Chart 5">
              <a:extLst xmlns:a="http://schemas.openxmlformats.org/drawingml/2006/main">
                <a:ext uri="{FF2B5EF4-FFF2-40B4-BE49-F238E27FC236}">
                  <a16:creationId xmlns:a16="http://schemas.microsoft.com/office/drawing/2014/main" id="{64D8C706-1EDA-564B-87CC-623643329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C5E0BB" w14:textId="77777777" w:rsidR="00FF1F3A" w:rsidRDefault="00FF1F3A" w:rsidP="00FF1F3A"/>
    <w:p w14:paraId="034B42B3" w14:textId="77777777" w:rsidR="00FF1F3A" w:rsidRDefault="00FF1F3A" w:rsidP="00FF1F3A">
      <w:pPr>
        <w:rPr>
          <w:b/>
        </w:rPr>
      </w:pPr>
    </w:p>
    <w:p w14:paraId="794A7B8E" w14:textId="77777777" w:rsidR="00FF1F3A" w:rsidRDefault="00FF1F3A" w:rsidP="00FF1F3A">
      <w:pPr>
        <w:rPr>
          <w:b/>
        </w:rPr>
      </w:pPr>
    </w:p>
    <w:p w14:paraId="3972EF13" w14:textId="77777777" w:rsidR="00FF1F3A" w:rsidRDefault="00FF1F3A" w:rsidP="00FF1F3A">
      <w:r w:rsidRPr="009C5E54">
        <w:rPr>
          <w:b/>
        </w:rPr>
        <w:t>Appendix III:</w:t>
      </w:r>
      <w:r w:rsidRPr="009C5E54">
        <w:t xml:space="preserve"> Site </w:t>
      </w:r>
      <w:r>
        <w:t>visits per season</w:t>
      </w:r>
      <w:r w:rsidRPr="009C5E54">
        <w:t xml:space="preserve"> covered by the ATCM Visitor Site Guidelines </w:t>
      </w:r>
      <w:r>
        <w:t>from</w:t>
      </w:r>
      <w:r w:rsidRPr="009C5E54">
        <w:t xml:space="preserve"> 20</w:t>
      </w:r>
      <w:r>
        <w:t>15</w:t>
      </w:r>
      <w:r>
        <w:rPr>
          <w:lang w:val="en-US"/>
        </w:rPr>
        <w:t>–</w:t>
      </w:r>
      <w:r w:rsidRPr="009C5E54">
        <w:t>20 season.</w:t>
      </w:r>
    </w:p>
    <w:p w14:paraId="094A7975" w14:textId="77777777" w:rsidR="00FF1F3A" w:rsidRDefault="00FF1F3A" w:rsidP="00FF1F3A"/>
    <w:tbl>
      <w:tblPr>
        <w:tblW w:w="9640" w:type="dxa"/>
        <w:tblLook w:val="04A0" w:firstRow="1" w:lastRow="0" w:firstColumn="1" w:lastColumn="0" w:noHBand="0" w:noVBand="1"/>
      </w:tblPr>
      <w:tblGrid>
        <w:gridCol w:w="3800"/>
        <w:gridCol w:w="1200"/>
        <w:gridCol w:w="1160"/>
        <w:gridCol w:w="1140"/>
        <w:gridCol w:w="1200"/>
        <w:gridCol w:w="1140"/>
      </w:tblGrid>
      <w:tr w:rsidR="00FF1F3A" w:rsidRPr="00E120B5" w14:paraId="534800AD" w14:textId="77777777" w:rsidTr="00A44582">
        <w:trPr>
          <w:trHeight w:val="340"/>
        </w:trPr>
        <w:tc>
          <w:tcPr>
            <w:tcW w:w="3800" w:type="dxa"/>
            <w:tcBorders>
              <w:top w:val="nil"/>
              <w:left w:val="nil"/>
              <w:bottom w:val="single" w:sz="4" w:space="0" w:color="auto"/>
              <w:right w:val="single" w:sz="4" w:space="0" w:color="auto"/>
            </w:tcBorders>
            <w:shd w:val="clear" w:color="auto" w:fill="auto"/>
            <w:noWrap/>
            <w:vAlign w:val="bottom"/>
            <w:hideMark/>
          </w:tcPr>
          <w:p w14:paraId="092230E9"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BAFEF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2015</w:t>
            </w:r>
            <w:r>
              <w:rPr>
                <w:rFonts w:ascii="Calibri" w:hAnsi="Calibri"/>
                <w:b/>
                <w:bCs/>
                <w:color w:val="000000"/>
                <w:sz w:val="24"/>
                <w:lang w:eastAsia="en-GB"/>
              </w:rPr>
              <w:t>/</w:t>
            </w:r>
            <w:r w:rsidRPr="00E120B5">
              <w:rPr>
                <w:rFonts w:ascii="Calibri" w:hAnsi="Calibri"/>
                <w:b/>
                <w:bCs/>
                <w:color w:val="000000"/>
                <w:sz w:val="24"/>
                <w:lang w:eastAsia="en-GB"/>
              </w:rPr>
              <w:t>16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3D4E70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2016</w:t>
            </w:r>
            <w:r>
              <w:rPr>
                <w:rFonts w:ascii="Calibri" w:hAnsi="Calibri"/>
                <w:b/>
                <w:bCs/>
                <w:color w:val="000000"/>
                <w:sz w:val="24"/>
                <w:lang w:eastAsia="en-GB"/>
              </w:rPr>
              <w:t>/</w:t>
            </w:r>
            <w:r w:rsidRPr="00E120B5">
              <w:rPr>
                <w:rFonts w:ascii="Calibri" w:hAnsi="Calibri"/>
                <w:b/>
                <w:bCs/>
                <w:color w:val="000000"/>
                <w:sz w:val="24"/>
                <w:lang w:eastAsia="en-GB"/>
              </w:rPr>
              <w:t>17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9B0F84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2017</w:t>
            </w:r>
            <w:r>
              <w:rPr>
                <w:rFonts w:ascii="Calibri" w:hAnsi="Calibri"/>
                <w:b/>
                <w:bCs/>
                <w:color w:val="000000"/>
                <w:sz w:val="24"/>
                <w:lang w:eastAsia="en-GB"/>
              </w:rPr>
              <w:t>/</w:t>
            </w:r>
            <w:r w:rsidRPr="00E120B5">
              <w:rPr>
                <w:rFonts w:ascii="Calibri" w:hAnsi="Calibri"/>
                <w:b/>
                <w:bCs/>
                <w:color w:val="000000"/>
                <w:sz w:val="24"/>
                <w:lang w:eastAsia="en-GB"/>
              </w:rPr>
              <w:t>18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32713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2018</w:t>
            </w:r>
            <w:r>
              <w:rPr>
                <w:rFonts w:ascii="Calibri" w:hAnsi="Calibri"/>
                <w:b/>
                <w:bCs/>
                <w:color w:val="000000"/>
                <w:sz w:val="24"/>
                <w:lang w:eastAsia="en-GB"/>
              </w:rPr>
              <w:t>/</w:t>
            </w:r>
            <w:r w:rsidRPr="00E120B5">
              <w:rPr>
                <w:rFonts w:ascii="Calibri" w:hAnsi="Calibri"/>
                <w:b/>
                <w:bCs/>
                <w:color w:val="000000"/>
                <w:sz w:val="24"/>
                <w:lang w:eastAsia="en-GB"/>
              </w:rPr>
              <w:t>19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B2F5E7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2019</w:t>
            </w:r>
            <w:r>
              <w:rPr>
                <w:rFonts w:ascii="Calibri" w:hAnsi="Calibri"/>
                <w:b/>
                <w:bCs/>
                <w:color w:val="000000"/>
                <w:sz w:val="24"/>
                <w:lang w:eastAsia="en-GB"/>
              </w:rPr>
              <w:t>/</w:t>
            </w:r>
            <w:r w:rsidRPr="00E120B5">
              <w:rPr>
                <w:rFonts w:ascii="Calibri" w:hAnsi="Calibri"/>
                <w:b/>
                <w:bCs/>
                <w:color w:val="000000"/>
                <w:sz w:val="24"/>
                <w:lang w:eastAsia="en-GB"/>
              </w:rPr>
              <w:t>20</w:t>
            </w:r>
          </w:p>
        </w:tc>
      </w:tr>
      <w:tr w:rsidR="00FF1F3A" w:rsidRPr="00E120B5" w14:paraId="6A385720"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ED9F2"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Ardley</w:t>
            </w:r>
            <w:proofErr w:type="spellEnd"/>
            <w:r w:rsidRPr="00E120B5">
              <w:rPr>
                <w:rFonts w:ascii="Calibri" w:hAnsi="Calibri"/>
                <w:color w:val="000000"/>
                <w:sz w:val="24"/>
                <w:lang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80BDE5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A5ECAF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19D212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0D8A3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67C50E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w:t>
            </w:r>
          </w:p>
        </w:tc>
      </w:tr>
      <w:tr w:rsidR="00FF1F3A" w:rsidRPr="00E120B5" w14:paraId="2E071B6E"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36316"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Astrolabe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ACEB27"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3C61ECB"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29833AD"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035D3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01B2FD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w:t>
            </w:r>
          </w:p>
        </w:tc>
      </w:tr>
      <w:tr w:rsidR="00FF1F3A" w:rsidRPr="00E120B5" w14:paraId="1FD84810"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41A03"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Baily Head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56BF2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BF021B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64B696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617D6D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B9A771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18</w:t>
            </w:r>
          </w:p>
        </w:tc>
      </w:tr>
      <w:tr w:rsidR="00FF1F3A" w:rsidRPr="00E120B5" w14:paraId="470822BB"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14E07"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Barrientos (</w:t>
            </w:r>
            <w:proofErr w:type="spellStart"/>
            <w:r w:rsidRPr="00E120B5">
              <w:rPr>
                <w:rFonts w:ascii="Calibri" w:hAnsi="Calibri"/>
                <w:color w:val="000000"/>
                <w:sz w:val="24"/>
                <w:lang w:eastAsia="en-GB"/>
              </w:rPr>
              <w:t>Aitcho</w:t>
            </w:r>
            <w:proofErr w:type="spellEnd"/>
            <w:r w:rsidRPr="00E120B5">
              <w:rPr>
                <w:rFonts w:ascii="Calibri" w:hAnsi="Calibri"/>
                <w:color w:val="000000"/>
                <w:sz w:val="24"/>
                <w:lang w:eastAsia="en-GB"/>
              </w:rPr>
              <w:t>)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2B2F9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4CCC36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E70948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FE66D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DBC2C9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52</w:t>
            </w:r>
          </w:p>
        </w:tc>
      </w:tr>
      <w:tr w:rsidR="00FF1F3A" w:rsidRPr="00E120B5" w14:paraId="0ACA7F33"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93368"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Brown Bluff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DA5DD9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F32EEA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FF96B3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93A0F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093A26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90</w:t>
            </w:r>
          </w:p>
        </w:tc>
      </w:tr>
      <w:tr w:rsidR="00FF1F3A" w:rsidRPr="00E120B5" w14:paraId="7115143F"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6DF8"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Cape Denison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4D7D8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DD5E4A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1B2E75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61BF7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BFAD6F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r>
      <w:tr w:rsidR="00FF1F3A" w:rsidRPr="00E120B5" w14:paraId="6E221355"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6AB46"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Cape Evans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D575F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A1B874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D20B27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6C322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3CC428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w:t>
            </w:r>
          </w:p>
        </w:tc>
      </w:tr>
      <w:tr w:rsidR="00FF1F3A" w:rsidRPr="00E120B5" w14:paraId="69290C5A"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C843D"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Cape Hallett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79E26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4EFD69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007859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9DCB8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F94C3D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r>
      <w:tr w:rsidR="00FF1F3A" w:rsidRPr="00E120B5" w14:paraId="6FFE59A3"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BDA52"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 xml:space="preserve">Cape </w:t>
            </w:r>
            <w:proofErr w:type="spellStart"/>
            <w:r w:rsidRPr="00E120B5">
              <w:rPr>
                <w:rFonts w:ascii="Calibri" w:hAnsi="Calibri"/>
                <w:color w:val="000000"/>
                <w:sz w:val="24"/>
                <w:lang w:eastAsia="en-GB"/>
              </w:rPr>
              <w:t>Royds</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835EC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BD7836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5D81BF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B4E87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D47A12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r>
      <w:tr w:rsidR="00FF1F3A" w:rsidRPr="00E120B5" w14:paraId="6B8942B8"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1C7D1"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Cuverville</w:t>
            </w:r>
            <w:proofErr w:type="spellEnd"/>
            <w:r w:rsidRPr="00E120B5">
              <w:rPr>
                <w:rFonts w:ascii="Calibri" w:hAnsi="Calibri"/>
                <w:color w:val="000000"/>
                <w:sz w:val="24"/>
                <w:lang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1B4B4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624D9E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EC7982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A25F7D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160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DA12EB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173</w:t>
            </w:r>
          </w:p>
        </w:tc>
      </w:tr>
      <w:tr w:rsidR="00FF1F3A" w:rsidRPr="00E120B5" w14:paraId="42A8B185"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187CE"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Damoy</w:t>
            </w:r>
            <w:proofErr w:type="spellEnd"/>
            <w:r w:rsidRPr="00E120B5">
              <w:rPr>
                <w:rFonts w:ascii="Calibri" w:hAnsi="Calibri"/>
                <w:color w:val="000000"/>
                <w:sz w:val="24"/>
                <w:lang w:eastAsia="en-GB"/>
              </w:rPr>
              <w:t xml:space="preserve"> Point / Dorian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53A02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33412D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FC2D88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F9C44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8EACC3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95</w:t>
            </w:r>
          </w:p>
        </w:tc>
      </w:tr>
      <w:tr w:rsidR="00FF1F3A" w:rsidRPr="00E120B5" w14:paraId="3053925B"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F11DB"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Danco</w:t>
            </w:r>
            <w:proofErr w:type="spellEnd"/>
            <w:r w:rsidRPr="00E120B5">
              <w:rPr>
                <w:rFonts w:ascii="Calibri" w:hAnsi="Calibri"/>
                <w:color w:val="000000"/>
                <w:sz w:val="24"/>
                <w:lang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34CF6E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77</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AA87E1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CFA1C7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22A81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107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6986B2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112</w:t>
            </w:r>
          </w:p>
        </w:tc>
      </w:tr>
      <w:tr w:rsidR="00FF1F3A" w:rsidRPr="00E120B5" w14:paraId="3B433955"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28913"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Detaille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4F1537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91C444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C74A41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C91FE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DA282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w:t>
            </w:r>
          </w:p>
        </w:tc>
      </w:tr>
      <w:tr w:rsidR="00FF1F3A" w:rsidRPr="00E120B5" w14:paraId="2819C98B"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B5191"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Devil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74D96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DC61BD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425E61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CF8A69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A1AFAF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w:t>
            </w:r>
          </w:p>
        </w:tc>
      </w:tr>
      <w:tr w:rsidR="00FF1F3A" w:rsidRPr="00E120B5" w14:paraId="4CD57947"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592BF"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D'Hainaut</w:t>
            </w:r>
            <w:proofErr w:type="spellEnd"/>
            <w:r w:rsidRPr="00E120B5">
              <w:rPr>
                <w:rFonts w:ascii="Calibri" w:hAnsi="Calibri"/>
                <w:color w:val="000000"/>
                <w:sz w:val="24"/>
                <w:lang w:eastAsia="en-GB"/>
              </w:rPr>
              <w:t xml:space="preserve"> (Mikkelsen Harbour)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EB542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808EAF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92AB27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0D43A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5E8BE3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86</w:t>
            </w:r>
          </w:p>
        </w:tc>
      </w:tr>
      <w:tr w:rsidR="00FF1F3A" w:rsidRPr="00E120B5" w14:paraId="6342D23D"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A6EF6"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George’s Point (Ronge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39FA8DD"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F1DE36D"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8AAAED3"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01D9E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D103EB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28</w:t>
            </w:r>
          </w:p>
        </w:tc>
      </w:tr>
      <w:tr w:rsidR="00FF1F3A" w:rsidRPr="00E120B5" w14:paraId="10517AEE"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84D3F"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Goudier</w:t>
            </w:r>
            <w:proofErr w:type="spellEnd"/>
            <w:r w:rsidRPr="00E120B5">
              <w:rPr>
                <w:rFonts w:ascii="Calibri" w:hAnsi="Calibri"/>
                <w:color w:val="000000"/>
                <w:sz w:val="24"/>
                <w:lang w:eastAsia="en-GB"/>
              </w:rPr>
              <w:t xml:space="preserve"> (Port Lockroy)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908309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A3E093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8F491C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989FA8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172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D5CE88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131</w:t>
            </w:r>
          </w:p>
        </w:tc>
      </w:tr>
      <w:tr w:rsidR="00FF1F3A" w:rsidRPr="00E120B5" w14:paraId="02D4681D"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5C7EA"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 xml:space="preserve">Halfmoon Island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A33327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9243D5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129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E516C2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AFB7B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427B84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155</w:t>
            </w:r>
          </w:p>
        </w:tc>
      </w:tr>
      <w:tr w:rsidR="00FF1F3A" w:rsidRPr="00E120B5" w14:paraId="28A7119D"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AD37D"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Hannah Point &amp; Walker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98029A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CB6BF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AFAFE8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03B30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AF6C9C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r>
      <w:tr w:rsidR="00FF1F3A" w:rsidRPr="00E120B5" w14:paraId="34FE19E9"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B6A5C"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lastRenderedPageBreak/>
              <w:t>Horseshoe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0C195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D35419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F2180D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597DA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B36EBB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r>
      <w:tr w:rsidR="00FF1F3A" w:rsidRPr="00E120B5" w14:paraId="7A1ED7C8"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4C34F"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Jougla</w:t>
            </w:r>
            <w:proofErr w:type="spellEnd"/>
            <w:r w:rsidRPr="00E120B5">
              <w:rPr>
                <w:rFonts w:ascii="Calibri" w:hAnsi="Calibri"/>
                <w:color w:val="000000"/>
                <w:sz w:val="24"/>
                <w:lang w:eastAsia="en-GB"/>
              </w:rPr>
              <w:t xml:space="preserve"> Point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A3561F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CFD6B9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1159F0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81BBB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D0B008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79</w:t>
            </w:r>
          </w:p>
        </w:tc>
      </w:tr>
      <w:tr w:rsidR="00FF1F3A" w:rsidRPr="00E120B5" w14:paraId="24462598"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91715"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Neko</w:t>
            </w:r>
            <w:proofErr w:type="spellEnd"/>
            <w:r w:rsidRPr="00E120B5">
              <w:rPr>
                <w:rFonts w:ascii="Calibri" w:hAnsi="Calibri"/>
                <w:color w:val="000000"/>
                <w:sz w:val="24"/>
                <w:lang w:eastAsia="en-GB"/>
              </w:rPr>
              <w:t xml:space="preserve"> Harbour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074B2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1DC19A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3D0CB8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1D965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61CA72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191</w:t>
            </w:r>
          </w:p>
        </w:tc>
      </w:tr>
      <w:tr w:rsidR="00FF1F3A" w:rsidRPr="00E120B5" w14:paraId="793FAFB7"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CED32"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Orne Harbour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AC45AC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9DA4B7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68D2A2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962C6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C321AE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76</w:t>
            </w:r>
          </w:p>
        </w:tc>
      </w:tr>
      <w:tr w:rsidR="00FF1F3A" w:rsidRPr="00E120B5" w14:paraId="5102D728"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F379"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Orne Islands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3D235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781141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DECE0F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37F546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6D6944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22</w:t>
            </w:r>
          </w:p>
        </w:tc>
      </w:tr>
      <w:tr w:rsidR="00FF1F3A" w:rsidRPr="00E120B5" w14:paraId="1D7591D7"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0D4B"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Paulet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DDBE86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28</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870E3A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DD99A9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0D4DE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97375A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49</w:t>
            </w:r>
          </w:p>
        </w:tc>
      </w:tr>
      <w:tr w:rsidR="00FF1F3A" w:rsidRPr="00E120B5" w14:paraId="2F26FA79"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8967C"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Pendulum Cove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61E16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311C5EC"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E2D8D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A5450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755519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26</w:t>
            </w:r>
          </w:p>
        </w:tc>
      </w:tr>
      <w:tr w:rsidR="00FF1F3A" w:rsidRPr="00E120B5" w14:paraId="061FF45B"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3C2C9"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Penguin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344FC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4E5F01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43992C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C0BB1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FD5BF7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16</w:t>
            </w:r>
          </w:p>
        </w:tc>
      </w:tr>
      <w:tr w:rsidR="00FF1F3A" w:rsidRPr="00E120B5" w14:paraId="58FC2AA7"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E07A6"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Petermann</w:t>
            </w:r>
            <w:proofErr w:type="spellEnd"/>
            <w:r w:rsidRPr="00E120B5">
              <w:rPr>
                <w:rFonts w:ascii="Calibri" w:hAnsi="Calibri"/>
                <w:color w:val="000000"/>
                <w:sz w:val="24"/>
                <w:lang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A834C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FFECA4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CA3FBC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FE311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7AF3E7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107</w:t>
            </w:r>
          </w:p>
        </w:tc>
      </w:tr>
      <w:tr w:rsidR="00FF1F3A" w:rsidRPr="00E120B5" w14:paraId="27CA8D3D"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3730"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Pleneau</w:t>
            </w:r>
            <w:proofErr w:type="spellEnd"/>
            <w:r w:rsidRPr="00E120B5">
              <w:rPr>
                <w:rFonts w:ascii="Calibri" w:hAnsi="Calibri"/>
                <w:color w:val="000000"/>
                <w:sz w:val="24"/>
                <w:lang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3B033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7F6C8C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180F02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8ADA8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BEEEB6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37</w:t>
            </w:r>
          </w:p>
        </w:tc>
      </w:tr>
      <w:tr w:rsidR="00FF1F3A" w:rsidRPr="00E120B5" w14:paraId="16879DD4"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9326E"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Point Wild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307490"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DF4808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7F4323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37E43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139EEB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r>
      <w:tr w:rsidR="00FF1F3A" w:rsidRPr="00E120B5" w14:paraId="1888911E"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E7C18"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Portal Point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AB99C3"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33676D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B79643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05F9C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F4C2DD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112</w:t>
            </w:r>
          </w:p>
        </w:tc>
      </w:tr>
      <w:tr w:rsidR="00FF1F3A" w:rsidRPr="00E120B5" w14:paraId="04729171"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3DBDA"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Port Charcot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861DA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E2B5E6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0D0DEF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805C1B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FE5F848"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80</w:t>
            </w:r>
          </w:p>
        </w:tc>
      </w:tr>
      <w:tr w:rsidR="00FF1F3A" w:rsidRPr="00E120B5" w14:paraId="6B159E00"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240C4"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Shingle Cove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ABB793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5252C6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E25894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10D13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D373C6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r>
      <w:tr w:rsidR="00FF1F3A" w:rsidRPr="00E120B5" w14:paraId="3A604D64"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B4AA1"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Snow Hill Island, Nordenskjold’s hut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44ADA3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6A2D7D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03DF9E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A8639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B006CF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r>
      <w:tr w:rsidR="00FF1F3A" w:rsidRPr="00E120B5" w14:paraId="4B41B4DF"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5C820"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Stonington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65B427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61112E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80F6C7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C088F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F542CA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9</w:t>
            </w:r>
          </w:p>
        </w:tc>
      </w:tr>
      <w:tr w:rsidR="00FF1F3A" w:rsidRPr="00E120B5" w14:paraId="6AE17D2A"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4B451"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Taylor Valley / Canada Glacier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F46511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7A15B5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438C6E1"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32962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CB65B8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w:t>
            </w:r>
          </w:p>
        </w:tc>
      </w:tr>
      <w:tr w:rsidR="00FF1F3A" w:rsidRPr="00E120B5" w14:paraId="6FB82E05"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BA685"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Telefon</w:t>
            </w:r>
            <w:proofErr w:type="spellEnd"/>
            <w:r w:rsidRPr="00E120B5">
              <w:rPr>
                <w:rFonts w:ascii="Calibri" w:hAnsi="Calibri"/>
                <w:color w:val="000000"/>
                <w:sz w:val="24"/>
                <w:lang w:eastAsia="en-GB"/>
              </w:rPr>
              <w:t xml:space="preserve">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803CA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9A44BB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EFA161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2DF29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CC0E90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57</w:t>
            </w:r>
          </w:p>
        </w:tc>
      </w:tr>
      <w:tr w:rsidR="00FF1F3A" w:rsidRPr="00E120B5" w14:paraId="0A63D4AB"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A616B"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Torgersen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07F30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E0427D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07A4A1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79110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58FD82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8</w:t>
            </w:r>
          </w:p>
        </w:tc>
      </w:tr>
      <w:tr w:rsidR="00FF1F3A" w:rsidRPr="00E120B5" w14:paraId="795FDE4D"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253B4"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Turret Point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B1E0F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610C6B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CA32F0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50A26B"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F73D28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w:t>
            </w:r>
          </w:p>
        </w:tc>
      </w:tr>
      <w:tr w:rsidR="00FF1F3A" w:rsidRPr="00E120B5" w14:paraId="2179F115"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033B2"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Whalers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2C1A17"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FF1C9E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154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9DAC1A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134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44531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033E23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147</w:t>
            </w:r>
          </w:p>
        </w:tc>
      </w:tr>
      <w:tr w:rsidR="00FF1F3A" w:rsidRPr="00E120B5" w14:paraId="046E7426"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286B2"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Wordie House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965339"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17</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B039583"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38B9A5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AC7D40"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D4E004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25</w:t>
            </w:r>
          </w:p>
        </w:tc>
      </w:tr>
      <w:tr w:rsidR="00FF1F3A" w:rsidRPr="00E120B5" w14:paraId="596B3898"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A980B" w14:textId="77777777" w:rsidR="00FF1F3A" w:rsidRPr="00E120B5" w:rsidRDefault="00FF1F3A" w:rsidP="00A44582">
            <w:pPr>
              <w:rPr>
                <w:rFonts w:ascii="Calibri" w:hAnsi="Calibri"/>
                <w:color w:val="000000"/>
                <w:sz w:val="24"/>
                <w:lang w:eastAsia="en-GB"/>
              </w:rPr>
            </w:pPr>
            <w:proofErr w:type="spellStart"/>
            <w:r w:rsidRPr="00E120B5">
              <w:rPr>
                <w:rFonts w:ascii="Calibri" w:hAnsi="Calibri"/>
                <w:color w:val="000000"/>
                <w:sz w:val="24"/>
                <w:lang w:eastAsia="en-GB"/>
              </w:rPr>
              <w:t>Yalour</w:t>
            </w:r>
            <w:proofErr w:type="spellEnd"/>
            <w:r w:rsidRPr="00E120B5">
              <w:rPr>
                <w:rFonts w:ascii="Calibri" w:hAnsi="Calibri"/>
                <w:color w:val="000000"/>
                <w:sz w:val="24"/>
                <w:lang w:eastAsia="en-GB"/>
              </w:rPr>
              <w:t xml:space="preserve"> Islands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057A75A" w14:textId="77777777" w:rsidR="00FF1F3A" w:rsidRPr="00E120B5" w:rsidRDefault="00FF1F3A" w:rsidP="00A44582">
            <w:pPr>
              <w:jc w:val="center"/>
              <w:rPr>
                <w:rFonts w:ascii="Calibri" w:hAnsi="Calibri"/>
                <w:b/>
                <w:bCs/>
                <w:color w:val="000000"/>
                <w:sz w:val="24"/>
                <w:lang w:eastAsia="en-GB"/>
              </w:rPr>
            </w:pPr>
            <w:r>
              <w:rPr>
                <w:rFonts w:ascii="Calibri" w:hAnsi="Calibri"/>
                <w:b/>
                <w:bCs/>
                <w:color w:val="000000"/>
                <w:sz w:val="24"/>
                <w:lang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DBBFADD"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F93E1F4"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17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50163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672491A"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22</w:t>
            </w:r>
          </w:p>
        </w:tc>
      </w:tr>
      <w:tr w:rsidR="00FF1F3A" w:rsidRPr="00E120B5" w14:paraId="5A5DDD69" w14:textId="77777777" w:rsidTr="00A44582">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70A5F" w14:textId="77777777" w:rsidR="00FF1F3A" w:rsidRPr="00E120B5" w:rsidRDefault="00FF1F3A" w:rsidP="00A44582">
            <w:pPr>
              <w:rPr>
                <w:rFonts w:ascii="Calibri" w:hAnsi="Calibri"/>
                <w:color w:val="000000"/>
                <w:sz w:val="24"/>
                <w:lang w:eastAsia="en-GB"/>
              </w:rPr>
            </w:pPr>
            <w:r w:rsidRPr="00E120B5">
              <w:rPr>
                <w:rFonts w:ascii="Calibri" w:hAnsi="Calibri"/>
                <w:color w:val="000000"/>
                <w:sz w:val="24"/>
                <w:lang w:eastAsia="en-GB"/>
              </w:rPr>
              <w:t>Yankee Harbour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05883F"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448B966"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37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4FD3B32"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D4CF65"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53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C25348E" w14:textId="77777777" w:rsidR="00FF1F3A" w:rsidRPr="00E120B5" w:rsidRDefault="00FF1F3A" w:rsidP="00A44582">
            <w:pPr>
              <w:jc w:val="center"/>
              <w:rPr>
                <w:rFonts w:ascii="Calibri" w:hAnsi="Calibri"/>
                <w:b/>
                <w:bCs/>
                <w:color w:val="000000"/>
                <w:sz w:val="24"/>
                <w:lang w:eastAsia="en-GB"/>
              </w:rPr>
            </w:pPr>
            <w:r w:rsidRPr="00E120B5">
              <w:rPr>
                <w:rFonts w:ascii="Calibri" w:hAnsi="Calibri"/>
                <w:b/>
                <w:bCs/>
                <w:color w:val="000000"/>
                <w:sz w:val="24"/>
                <w:lang w:eastAsia="en-GB"/>
              </w:rPr>
              <w:t>65</w:t>
            </w:r>
          </w:p>
        </w:tc>
      </w:tr>
    </w:tbl>
    <w:p w14:paraId="5E03FD54" w14:textId="77777777" w:rsidR="00FF1F3A" w:rsidRDefault="00FF1F3A" w:rsidP="00FF1F3A"/>
    <w:p w14:paraId="5A1A66D7" w14:textId="77777777" w:rsidR="00FF1F3A" w:rsidRDefault="00FF1F3A" w:rsidP="00FF1F3A">
      <w:r>
        <w:t>** IAATO Guidelines in place / Not yet part of the ATCM Guideline Suite</w:t>
      </w:r>
    </w:p>
    <w:p w14:paraId="41E83274" w14:textId="77777777" w:rsidR="00FF1F3A" w:rsidRDefault="00FF1F3A" w:rsidP="00FF1F3A"/>
    <w:p w14:paraId="03E458A5" w14:textId="77777777" w:rsidR="00FF1F3A" w:rsidRDefault="00FF1F3A" w:rsidP="00FF1F3A">
      <w:pPr>
        <w:ind w:left="1416" w:hanging="1416"/>
        <w:rPr>
          <w:b/>
        </w:rPr>
      </w:pPr>
    </w:p>
    <w:p w14:paraId="6A2976E0" w14:textId="77777777" w:rsidR="00FF1F3A" w:rsidRDefault="00FF1F3A" w:rsidP="00FF1F3A">
      <w:pPr>
        <w:ind w:left="1416" w:hanging="1416"/>
        <w:rPr>
          <w:b/>
        </w:rPr>
      </w:pPr>
    </w:p>
    <w:p w14:paraId="53C24D69" w14:textId="77777777" w:rsidR="00FF1F3A" w:rsidRDefault="00FF1F3A" w:rsidP="00FF1F3A">
      <w:pPr>
        <w:ind w:left="1416" w:hanging="1416"/>
        <w:rPr>
          <w:b/>
        </w:rPr>
      </w:pPr>
    </w:p>
    <w:p w14:paraId="60208D69" w14:textId="77777777" w:rsidR="00FF1F3A" w:rsidRDefault="00FF1F3A" w:rsidP="00FF1F3A">
      <w:pPr>
        <w:ind w:left="1416" w:hanging="1416"/>
        <w:rPr>
          <w:b/>
        </w:rPr>
      </w:pPr>
    </w:p>
    <w:p w14:paraId="5BDDCDEF" w14:textId="77777777" w:rsidR="00FF1F3A" w:rsidRDefault="00FF1F3A" w:rsidP="00FF1F3A">
      <w:pPr>
        <w:ind w:left="1416" w:hanging="1416"/>
        <w:rPr>
          <w:b/>
        </w:rPr>
      </w:pPr>
    </w:p>
    <w:p w14:paraId="67322D07" w14:textId="77777777" w:rsidR="00FF1F3A" w:rsidRDefault="00FF1F3A" w:rsidP="00FF1F3A">
      <w:pPr>
        <w:ind w:left="1416" w:hanging="1416"/>
        <w:rPr>
          <w:b/>
        </w:rPr>
      </w:pPr>
    </w:p>
    <w:p w14:paraId="0AF65244" w14:textId="77777777" w:rsidR="00FF1F3A" w:rsidRDefault="00FF1F3A" w:rsidP="00FF1F3A">
      <w:pPr>
        <w:ind w:left="1416" w:hanging="1416"/>
        <w:rPr>
          <w:b/>
        </w:rPr>
      </w:pPr>
    </w:p>
    <w:p w14:paraId="26BEC3AF" w14:textId="77777777" w:rsidR="00FF1F3A" w:rsidRDefault="00FF1F3A" w:rsidP="00FF1F3A">
      <w:pPr>
        <w:ind w:left="1416" w:hanging="1416"/>
        <w:rPr>
          <w:b/>
        </w:rPr>
      </w:pPr>
    </w:p>
    <w:p w14:paraId="7F65E743" w14:textId="77777777" w:rsidR="00FF1F3A" w:rsidRDefault="00FF1F3A" w:rsidP="00FF1F3A">
      <w:pPr>
        <w:ind w:left="1416" w:hanging="1416"/>
        <w:rPr>
          <w:b/>
        </w:rPr>
      </w:pPr>
    </w:p>
    <w:p w14:paraId="0365FB9E" w14:textId="77777777" w:rsidR="00FF1F3A" w:rsidRDefault="00FF1F3A" w:rsidP="00FF1F3A">
      <w:pPr>
        <w:ind w:left="1416" w:hanging="1416"/>
        <w:rPr>
          <w:b/>
        </w:rPr>
      </w:pPr>
    </w:p>
    <w:p w14:paraId="7A727CB0" w14:textId="77777777" w:rsidR="00FF1F3A" w:rsidRDefault="00FF1F3A" w:rsidP="00FF1F3A">
      <w:pPr>
        <w:ind w:left="1416" w:hanging="1416"/>
        <w:rPr>
          <w:b/>
        </w:rPr>
      </w:pPr>
    </w:p>
    <w:p w14:paraId="15267728" w14:textId="77777777" w:rsidR="00FF1F3A" w:rsidRDefault="00FF1F3A" w:rsidP="00FF1F3A">
      <w:pPr>
        <w:ind w:left="1416" w:hanging="1416"/>
        <w:rPr>
          <w:b/>
        </w:rPr>
      </w:pPr>
    </w:p>
    <w:p w14:paraId="7FB5FFE3" w14:textId="77777777" w:rsidR="00FF1F3A" w:rsidRDefault="00FF1F3A" w:rsidP="00FF1F3A">
      <w:pPr>
        <w:ind w:left="1416" w:hanging="1416"/>
        <w:rPr>
          <w:b/>
        </w:rPr>
      </w:pPr>
    </w:p>
    <w:p w14:paraId="042696D0" w14:textId="77777777" w:rsidR="00FF1F3A" w:rsidRDefault="00FF1F3A" w:rsidP="00FF1F3A">
      <w:pPr>
        <w:ind w:left="1416" w:hanging="1416"/>
        <w:rPr>
          <w:b/>
        </w:rPr>
      </w:pPr>
    </w:p>
    <w:p w14:paraId="57745A0A" w14:textId="77777777" w:rsidR="00FF1F3A" w:rsidRDefault="00FF1F3A" w:rsidP="00FF1F3A">
      <w:pPr>
        <w:ind w:left="1416" w:hanging="1416"/>
        <w:rPr>
          <w:b/>
        </w:rPr>
      </w:pPr>
    </w:p>
    <w:p w14:paraId="25AF1F7B" w14:textId="77777777" w:rsidR="00FF1F3A" w:rsidRDefault="00FF1F3A" w:rsidP="00FF1F3A">
      <w:pPr>
        <w:ind w:left="1416" w:hanging="1416"/>
        <w:rPr>
          <w:b/>
        </w:rPr>
      </w:pPr>
    </w:p>
    <w:p w14:paraId="4A577019" w14:textId="77777777" w:rsidR="00FF1F3A" w:rsidRDefault="00FF1F3A" w:rsidP="00FF1F3A">
      <w:pPr>
        <w:ind w:left="1416" w:hanging="1416"/>
        <w:rPr>
          <w:b/>
        </w:rPr>
      </w:pPr>
    </w:p>
    <w:p w14:paraId="177454B0" w14:textId="77777777" w:rsidR="00FF1F3A" w:rsidRDefault="00FF1F3A" w:rsidP="00FF1F3A">
      <w:pPr>
        <w:ind w:left="1416" w:hanging="1416"/>
        <w:rPr>
          <w:b/>
        </w:rPr>
      </w:pPr>
    </w:p>
    <w:p w14:paraId="64E1A31A" w14:textId="77777777" w:rsidR="00FF1F3A" w:rsidRDefault="00FF1F3A" w:rsidP="00FF1F3A">
      <w:pPr>
        <w:ind w:left="1416" w:hanging="1416"/>
        <w:rPr>
          <w:b/>
        </w:rPr>
      </w:pPr>
    </w:p>
    <w:p w14:paraId="3F3AFB01" w14:textId="77777777" w:rsidR="00FF1F3A" w:rsidRDefault="00FF1F3A" w:rsidP="00FF1F3A">
      <w:pPr>
        <w:ind w:left="1416" w:hanging="1416"/>
        <w:rPr>
          <w:b/>
        </w:rPr>
      </w:pPr>
    </w:p>
    <w:p w14:paraId="54BC380B" w14:textId="77777777" w:rsidR="00FF1F3A" w:rsidRDefault="00FF1F3A" w:rsidP="00FF1F3A">
      <w:pPr>
        <w:ind w:left="1416" w:hanging="1416"/>
      </w:pPr>
      <w:r w:rsidRPr="009C5E54">
        <w:rPr>
          <w:b/>
        </w:rPr>
        <w:lastRenderedPageBreak/>
        <w:t xml:space="preserve">Appendix </w:t>
      </w:r>
      <w:r>
        <w:rPr>
          <w:b/>
        </w:rPr>
        <w:t>IV</w:t>
      </w:r>
      <w:r w:rsidRPr="009C5E54">
        <w:rPr>
          <w:b/>
        </w:rPr>
        <w:t>:</w:t>
      </w:r>
      <w:r w:rsidRPr="009C5E54">
        <w:t xml:space="preserve"> Site use covered by the ATCM Visitor Site Guidelines </w:t>
      </w:r>
      <w:r>
        <w:t>from</w:t>
      </w:r>
      <w:r w:rsidRPr="009C5E54">
        <w:t xml:space="preserve"> </w:t>
      </w:r>
      <w:r>
        <w:t>2020</w:t>
      </w:r>
      <w:r>
        <w:rPr>
          <w:lang w:val="en-US"/>
        </w:rPr>
        <w:t>–</w:t>
      </w:r>
      <w:r>
        <w:t>21</w:t>
      </w:r>
      <w:r w:rsidRPr="009C5E54">
        <w:t xml:space="preserve"> season</w:t>
      </w:r>
      <w:r>
        <w:t>.</w:t>
      </w:r>
    </w:p>
    <w:p w14:paraId="53BEE04D" w14:textId="77777777" w:rsidR="00FF1F3A" w:rsidRDefault="00FF1F3A" w:rsidP="00FF1F3A">
      <w:pPr>
        <w:ind w:left="1416" w:hanging="1416"/>
      </w:pPr>
    </w:p>
    <w:p w14:paraId="5CAFCFCC" w14:textId="77777777" w:rsidR="00FF1F3A" w:rsidRDefault="00FF1F3A" w:rsidP="00FF1F3A">
      <w:pPr>
        <w:ind w:firstLine="2"/>
      </w:pPr>
      <w:r>
        <w:t>*2020/21 IAATO Tourism Season consisted of three yachts, 15 total passengers on two individual expeditions.</w:t>
      </w:r>
    </w:p>
    <w:p w14:paraId="5FC3BF8A" w14:textId="77777777" w:rsidR="00FF1F3A" w:rsidRDefault="00FF1F3A" w:rsidP="00FF1F3A"/>
    <w:tbl>
      <w:tblPr>
        <w:tblW w:w="7132" w:type="dxa"/>
        <w:tblInd w:w="108" w:type="dxa"/>
        <w:tblLook w:val="04A0" w:firstRow="1" w:lastRow="0" w:firstColumn="1" w:lastColumn="0" w:noHBand="0" w:noVBand="1"/>
      </w:tblPr>
      <w:tblGrid>
        <w:gridCol w:w="3947"/>
        <w:gridCol w:w="1411"/>
        <w:gridCol w:w="1774"/>
      </w:tblGrid>
      <w:tr w:rsidR="00FF1F3A" w:rsidRPr="00137E3E" w14:paraId="672ACD98" w14:textId="77777777" w:rsidTr="00A44582">
        <w:trPr>
          <w:trHeight w:val="497"/>
        </w:trPr>
        <w:tc>
          <w:tcPr>
            <w:tcW w:w="3947" w:type="dxa"/>
            <w:tcBorders>
              <w:top w:val="nil"/>
              <w:left w:val="nil"/>
              <w:bottom w:val="single" w:sz="8" w:space="0" w:color="auto"/>
              <w:right w:val="single" w:sz="8" w:space="0" w:color="auto"/>
            </w:tcBorders>
            <w:shd w:val="clear" w:color="auto" w:fill="auto"/>
            <w:noWrap/>
            <w:vAlign w:val="center"/>
            <w:hideMark/>
          </w:tcPr>
          <w:p w14:paraId="739809B1" w14:textId="77777777" w:rsidR="00FF1F3A" w:rsidRPr="00137E3E" w:rsidRDefault="00FF1F3A" w:rsidP="00A44582">
            <w:pPr>
              <w:rPr>
                <w:color w:val="000000"/>
                <w:szCs w:val="22"/>
                <w:lang w:eastAsia="en-GB"/>
              </w:rPr>
            </w:pPr>
          </w:p>
        </w:tc>
        <w:tc>
          <w:tcPr>
            <w:tcW w:w="1411" w:type="dxa"/>
            <w:tcBorders>
              <w:top w:val="single" w:sz="8" w:space="0" w:color="auto"/>
              <w:left w:val="nil"/>
              <w:bottom w:val="single" w:sz="8" w:space="0" w:color="auto"/>
              <w:right w:val="single" w:sz="8" w:space="0" w:color="auto"/>
            </w:tcBorders>
            <w:shd w:val="clear" w:color="auto" w:fill="auto"/>
            <w:noWrap/>
            <w:vAlign w:val="center"/>
            <w:hideMark/>
          </w:tcPr>
          <w:p w14:paraId="2AB8AF1B" w14:textId="77777777" w:rsidR="00FF1F3A" w:rsidRPr="00137E3E" w:rsidRDefault="00FF1F3A" w:rsidP="00A44582">
            <w:pPr>
              <w:jc w:val="center"/>
              <w:rPr>
                <w:b/>
                <w:bCs/>
                <w:color w:val="000000"/>
                <w:szCs w:val="22"/>
                <w:lang w:eastAsia="en-GB"/>
              </w:rPr>
            </w:pPr>
            <w:r w:rsidRPr="00137E3E">
              <w:rPr>
                <w:b/>
                <w:bCs/>
                <w:color w:val="000000"/>
                <w:szCs w:val="22"/>
                <w:lang w:eastAsia="en-GB"/>
              </w:rPr>
              <w:t>2020/21 Site Visits</w:t>
            </w:r>
          </w:p>
        </w:tc>
        <w:tc>
          <w:tcPr>
            <w:tcW w:w="1774" w:type="dxa"/>
            <w:tcBorders>
              <w:top w:val="single" w:sz="8" w:space="0" w:color="auto"/>
              <w:left w:val="nil"/>
              <w:bottom w:val="single" w:sz="8" w:space="0" w:color="auto"/>
              <w:right w:val="single" w:sz="8" w:space="0" w:color="auto"/>
            </w:tcBorders>
            <w:shd w:val="clear" w:color="auto" w:fill="auto"/>
            <w:noWrap/>
            <w:vAlign w:val="center"/>
            <w:hideMark/>
          </w:tcPr>
          <w:p w14:paraId="0A22768E" w14:textId="77777777" w:rsidR="00FF1F3A" w:rsidRPr="00137E3E" w:rsidRDefault="00FF1F3A" w:rsidP="00A44582">
            <w:pPr>
              <w:jc w:val="center"/>
              <w:rPr>
                <w:b/>
                <w:bCs/>
                <w:color w:val="000000"/>
                <w:szCs w:val="22"/>
                <w:lang w:eastAsia="en-GB"/>
              </w:rPr>
            </w:pPr>
            <w:r w:rsidRPr="00137E3E">
              <w:rPr>
                <w:b/>
                <w:bCs/>
                <w:color w:val="000000"/>
                <w:szCs w:val="22"/>
                <w:lang w:eastAsia="en-GB"/>
              </w:rPr>
              <w:t>2020/21 Passengers</w:t>
            </w:r>
          </w:p>
        </w:tc>
      </w:tr>
      <w:tr w:rsidR="00FF1F3A" w:rsidRPr="00137E3E" w14:paraId="4B843D4E"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701E4045" w14:textId="77777777" w:rsidR="00FF1F3A" w:rsidRPr="00137E3E" w:rsidRDefault="00FF1F3A" w:rsidP="00A44582">
            <w:pPr>
              <w:rPr>
                <w:color w:val="000000"/>
                <w:szCs w:val="22"/>
                <w:lang w:eastAsia="en-GB"/>
              </w:rPr>
            </w:pPr>
            <w:proofErr w:type="spellStart"/>
            <w:r w:rsidRPr="00137E3E">
              <w:rPr>
                <w:color w:val="000000"/>
                <w:szCs w:val="22"/>
                <w:lang w:eastAsia="en-GB"/>
              </w:rPr>
              <w:t>Ardley</w:t>
            </w:r>
            <w:proofErr w:type="spellEnd"/>
            <w:r w:rsidRPr="00137E3E">
              <w:rPr>
                <w:color w:val="000000"/>
                <w:szCs w:val="22"/>
                <w:lang w:eastAsia="en-GB"/>
              </w:rPr>
              <w:t xml:space="preserve"> Island</w:t>
            </w:r>
          </w:p>
        </w:tc>
        <w:tc>
          <w:tcPr>
            <w:tcW w:w="1411" w:type="dxa"/>
            <w:tcBorders>
              <w:top w:val="nil"/>
              <w:left w:val="nil"/>
              <w:bottom w:val="single" w:sz="8" w:space="0" w:color="auto"/>
              <w:right w:val="single" w:sz="8" w:space="0" w:color="auto"/>
            </w:tcBorders>
            <w:shd w:val="clear" w:color="auto" w:fill="auto"/>
            <w:noWrap/>
            <w:vAlign w:val="center"/>
            <w:hideMark/>
          </w:tcPr>
          <w:p w14:paraId="5394812A"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032C09E5" w14:textId="77777777" w:rsidR="00FF1F3A" w:rsidRPr="00137E3E" w:rsidRDefault="00FF1F3A" w:rsidP="00A44582">
            <w:pPr>
              <w:jc w:val="center"/>
              <w:rPr>
                <w:b/>
                <w:bCs/>
                <w:color w:val="000000"/>
                <w:szCs w:val="22"/>
                <w:lang w:eastAsia="en-GB"/>
              </w:rPr>
            </w:pPr>
            <w:r w:rsidRPr="00137E3E">
              <w:rPr>
                <w:b/>
                <w:bCs/>
                <w:color w:val="000000"/>
                <w:szCs w:val="22"/>
                <w:lang w:eastAsia="en-GB"/>
              </w:rPr>
              <w:t>3</w:t>
            </w:r>
          </w:p>
        </w:tc>
      </w:tr>
      <w:tr w:rsidR="00FF1F3A" w:rsidRPr="00137E3E" w14:paraId="0C9E6CDB"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2B30AC23" w14:textId="77777777" w:rsidR="00FF1F3A" w:rsidRPr="00137E3E" w:rsidRDefault="00FF1F3A" w:rsidP="00A44582">
            <w:pPr>
              <w:rPr>
                <w:color w:val="000000"/>
                <w:szCs w:val="22"/>
                <w:lang w:eastAsia="en-GB"/>
              </w:rPr>
            </w:pPr>
            <w:proofErr w:type="spellStart"/>
            <w:r w:rsidRPr="00137E3E">
              <w:rPr>
                <w:color w:val="000000"/>
                <w:szCs w:val="22"/>
                <w:lang w:eastAsia="en-GB"/>
              </w:rPr>
              <w:t>Cuverville</w:t>
            </w:r>
            <w:proofErr w:type="spellEnd"/>
            <w:r w:rsidRPr="00137E3E">
              <w:rPr>
                <w:color w:val="000000"/>
                <w:szCs w:val="22"/>
                <w:lang w:eastAsia="en-GB"/>
              </w:rPr>
              <w:t xml:space="preserve"> Island</w:t>
            </w:r>
          </w:p>
        </w:tc>
        <w:tc>
          <w:tcPr>
            <w:tcW w:w="1411" w:type="dxa"/>
            <w:tcBorders>
              <w:top w:val="nil"/>
              <w:left w:val="nil"/>
              <w:bottom w:val="single" w:sz="8" w:space="0" w:color="auto"/>
              <w:right w:val="single" w:sz="8" w:space="0" w:color="auto"/>
            </w:tcBorders>
            <w:shd w:val="clear" w:color="auto" w:fill="auto"/>
            <w:noWrap/>
            <w:vAlign w:val="center"/>
            <w:hideMark/>
          </w:tcPr>
          <w:p w14:paraId="05487A2F"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48840AC8" w14:textId="77777777" w:rsidR="00FF1F3A" w:rsidRPr="00137E3E" w:rsidRDefault="00FF1F3A" w:rsidP="00A44582">
            <w:pPr>
              <w:jc w:val="center"/>
              <w:rPr>
                <w:b/>
                <w:bCs/>
                <w:color w:val="000000"/>
                <w:szCs w:val="22"/>
                <w:lang w:eastAsia="en-GB"/>
              </w:rPr>
            </w:pPr>
            <w:r w:rsidRPr="00137E3E">
              <w:rPr>
                <w:b/>
                <w:bCs/>
                <w:color w:val="000000"/>
                <w:szCs w:val="22"/>
                <w:lang w:eastAsia="en-GB"/>
              </w:rPr>
              <w:t>7</w:t>
            </w:r>
          </w:p>
        </w:tc>
      </w:tr>
      <w:tr w:rsidR="00FF1F3A" w:rsidRPr="00137E3E" w14:paraId="41DAB3BE"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34C2CB00" w14:textId="77777777" w:rsidR="00FF1F3A" w:rsidRPr="00137E3E" w:rsidRDefault="00FF1F3A" w:rsidP="00A44582">
            <w:pPr>
              <w:rPr>
                <w:color w:val="000000"/>
                <w:szCs w:val="22"/>
                <w:lang w:eastAsia="en-GB"/>
              </w:rPr>
            </w:pPr>
            <w:proofErr w:type="spellStart"/>
            <w:r w:rsidRPr="00137E3E">
              <w:rPr>
                <w:color w:val="000000"/>
                <w:szCs w:val="22"/>
                <w:lang w:eastAsia="en-GB"/>
              </w:rPr>
              <w:t>Damoy</w:t>
            </w:r>
            <w:proofErr w:type="spellEnd"/>
            <w:r w:rsidRPr="00137E3E">
              <w:rPr>
                <w:color w:val="000000"/>
                <w:szCs w:val="22"/>
                <w:lang w:eastAsia="en-GB"/>
              </w:rPr>
              <w:t xml:space="preserve"> Point / Dorian Bay</w:t>
            </w:r>
          </w:p>
        </w:tc>
        <w:tc>
          <w:tcPr>
            <w:tcW w:w="1411" w:type="dxa"/>
            <w:tcBorders>
              <w:top w:val="nil"/>
              <w:left w:val="nil"/>
              <w:bottom w:val="single" w:sz="8" w:space="0" w:color="auto"/>
              <w:right w:val="single" w:sz="8" w:space="0" w:color="auto"/>
            </w:tcBorders>
            <w:shd w:val="clear" w:color="auto" w:fill="auto"/>
            <w:noWrap/>
            <w:vAlign w:val="center"/>
            <w:hideMark/>
          </w:tcPr>
          <w:p w14:paraId="2FF296BE"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088DC567" w14:textId="77777777" w:rsidR="00FF1F3A" w:rsidRPr="00137E3E" w:rsidRDefault="00FF1F3A" w:rsidP="00A44582">
            <w:pPr>
              <w:jc w:val="center"/>
              <w:rPr>
                <w:b/>
                <w:bCs/>
                <w:color w:val="000000"/>
                <w:szCs w:val="22"/>
                <w:lang w:eastAsia="en-GB"/>
              </w:rPr>
            </w:pPr>
            <w:r w:rsidRPr="00137E3E">
              <w:rPr>
                <w:b/>
                <w:bCs/>
                <w:color w:val="000000"/>
                <w:szCs w:val="22"/>
                <w:lang w:eastAsia="en-GB"/>
              </w:rPr>
              <w:t>3</w:t>
            </w:r>
          </w:p>
        </w:tc>
      </w:tr>
      <w:tr w:rsidR="00FF1F3A" w:rsidRPr="00137E3E" w14:paraId="3C2380CA"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7E2E6A1E" w14:textId="77777777" w:rsidR="00FF1F3A" w:rsidRPr="00137E3E" w:rsidRDefault="00FF1F3A" w:rsidP="00A44582">
            <w:pPr>
              <w:rPr>
                <w:color w:val="000000"/>
                <w:szCs w:val="22"/>
                <w:lang w:eastAsia="en-GB"/>
              </w:rPr>
            </w:pPr>
            <w:proofErr w:type="spellStart"/>
            <w:r w:rsidRPr="00137E3E">
              <w:rPr>
                <w:color w:val="000000"/>
                <w:szCs w:val="22"/>
                <w:lang w:eastAsia="en-GB"/>
              </w:rPr>
              <w:t>Goudier</w:t>
            </w:r>
            <w:proofErr w:type="spellEnd"/>
            <w:r w:rsidRPr="00137E3E">
              <w:rPr>
                <w:color w:val="000000"/>
                <w:szCs w:val="22"/>
                <w:lang w:eastAsia="en-GB"/>
              </w:rPr>
              <w:t xml:space="preserve"> (Port Lockroy) Island</w:t>
            </w:r>
          </w:p>
        </w:tc>
        <w:tc>
          <w:tcPr>
            <w:tcW w:w="1411" w:type="dxa"/>
            <w:tcBorders>
              <w:top w:val="nil"/>
              <w:left w:val="nil"/>
              <w:bottom w:val="single" w:sz="8" w:space="0" w:color="auto"/>
              <w:right w:val="single" w:sz="8" w:space="0" w:color="auto"/>
            </w:tcBorders>
            <w:shd w:val="clear" w:color="auto" w:fill="auto"/>
            <w:noWrap/>
            <w:vAlign w:val="center"/>
            <w:hideMark/>
          </w:tcPr>
          <w:p w14:paraId="55AA08E4"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772406BD" w14:textId="77777777" w:rsidR="00FF1F3A" w:rsidRPr="00137E3E" w:rsidRDefault="00FF1F3A" w:rsidP="00A44582">
            <w:pPr>
              <w:jc w:val="center"/>
              <w:rPr>
                <w:b/>
                <w:bCs/>
                <w:color w:val="000000"/>
                <w:szCs w:val="22"/>
                <w:lang w:eastAsia="en-GB"/>
              </w:rPr>
            </w:pPr>
            <w:r w:rsidRPr="00137E3E">
              <w:rPr>
                <w:b/>
                <w:bCs/>
                <w:color w:val="000000"/>
                <w:szCs w:val="22"/>
                <w:lang w:eastAsia="en-GB"/>
              </w:rPr>
              <w:t>6</w:t>
            </w:r>
          </w:p>
        </w:tc>
      </w:tr>
      <w:tr w:rsidR="00FF1F3A" w:rsidRPr="00137E3E" w14:paraId="44413729"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3910903D" w14:textId="77777777" w:rsidR="00FF1F3A" w:rsidRPr="00137E3E" w:rsidRDefault="00FF1F3A" w:rsidP="00A44582">
            <w:pPr>
              <w:rPr>
                <w:color w:val="000000"/>
                <w:szCs w:val="22"/>
                <w:lang w:eastAsia="en-GB"/>
              </w:rPr>
            </w:pPr>
            <w:r w:rsidRPr="00137E3E">
              <w:rPr>
                <w:color w:val="000000"/>
                <w:szCs w:val="22"/>
                <w:lang w:eastAsia="en-GB"/>
              </w:rPr>
              <w:t>Paulet Island</w:t>
            </w:r>
          </w:p>
        </w:tc>
        <w:tc>
          <w:tcPr>
            <w:tcW w:w="1411" w:type="dxa"/>
            <w:tcBorders>
              <w:top w:val="nil"/>
              <w:left w:val="nil"/>
              <w:bottom w:val="single" w:sz="8" w:space="0" w:color="auto"/>
              <w:right w:val="single" w:sz="8" w:space="0" w:color="auto"/>
            </w:tcBorders>
            <w:shd w:val="clear" w:color="auto" w:fill="auto"/>
            <w:noWrap/>
            <w:vAlign w:val="center"/>
            <w:hideMark/>
          </w:tcPr>
          <w:p w14:paraId="4B7A393E" w14:textId="77777777" w:rsidR="00FF1F3A" w:rsidRPr="00137E3E" w:rsidRDefault="00FF1F3A" w:rsidP="00A44582">
            <w:pPr>
              <w:jc w:val="center"/>
              <w:rPr>
                <w:b/>
                <w:bCs/>
                <w:color w:val="000000"/>
                <w:szCs w:val="22"/>
                <w:lang w:eastAsia="en-GB"/>
              </w:rPr>
            </w:pPr>
            <w:r w:rsidRPr="00137E3E">
              <w:rPr>
                <w:b/>
                <w:bCs/>
                <w:color w:val="000000"/>
                <w:szCs w:val="22"/>
                <w:lang w:eastAsia="en-GB"/>
              </w:rPr>
              <w:t>2</w:t>
            </w:r>
          </w:p>
        </w:tc>
        <w:tc>
          <w:tcPr>
            <w:tcW w:w="1774" w:type="dxa"/>
            <w:tcBorders>
              <w:top w:val="nil"/>
              <w:left w:val="nil"/>
              <w:bottom w:val="single" w:sz="8" w:space="0" w:color="auto"/>
              <w:right w:val="single" w:sz="8" w:space="0" w:color="auto"/>
            </w:tcBorders>
            <w:shd w:val="clear" w:color="auto" w:fill="auto"/>
            <w:noWrap/>
            <w:vAlign w:val="center"/>
            <w:hideMark/>
          </w:tcPr>
          <w:p w14:paraId="2AF2EB7F" w14:textId="77777777" w:rsidR="00FF1F3A" w:rsidRPr="00137E3E" w:rsidRDefault="00FF1F3A" w:rsidP="00A44582">
            <w:pPr>
              <w:jc w:val="center"/>
              <w:rPr>
                <w:b/>
                <w:bCs/>
                <w:color w:val="000000"/>
                <w:szCs w:val="22"/>
                <w:lang w:eastAsia="en-GB"/>
              </w:rPr>
            </w:pPr>
            <w:r w:rsidRPr="00137E3E">
              <w:rPr>
                <w:b/>
                <w:bCs/>
                <w:color w:val="000000"/>
                <w:szCs w:val="22"/>
                <w:lang w:eastAsia="en-GB"/>
              </w:rPr>
              <w:t>9</w:t>
            </w:r>
          </w:p>
        </w:tc>
      </w:tr>
      <w:tr w:rsidR="00FF1F3A" w:rsidRPr="00137E3E" w14:paraId="42B0BB76"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14EDF970" w14:textId="77777777" w:rsidR="00FF1F3A" w:rsidRPr="00137E3E" w:rsidRDefault="00FF1F3A" w:rsidP="00A44582">
            <w:pPr>
              <w:rPr>
                <w:color w:val="000000"/>
                <w:szCs w:val="22"/>
                <w:lang w:eastAsia="en-GB"/>
              </w:rPr>
            </w:pPr>
            <w:r w:rsidRPr="00137E3E">
              <w:rPr>
                <w:color w:val="000000"/>
                <w:szCs w:val="22"/>
                <w:lang w:eastAsia="en-GB"/>
              </w:rPr>
              <w:t>Pendulum Cove</w:t>
            </w:r>
          </w:p>
        </w:tc>
        <w:tc>
          <w:tcPr>
            <w:tcW w:w="1411" w:type="dxa"/>
            <w:tcBorders>
              <w:top w:val="nil"/>
              <w:left w:val="nil"/>
              <w:bottom w:val="single" w:sz="8" w:space="0" w:color="auto"/>
              <w:right w:val="single" w:sz="8" w:space="0" w:color="auto"/>
            </w:tcBorders>
            <w:shd w:val="clear" w:color="auto" w:fill="auto"/>
            <w:noWrap/>
            <w:vAlign w:val="center"/>
            <w:hideMark/>
          </w:tcPr>
          <w:p w14:paraId="0886F37D"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3C37C5EC" w14:textId="77777777" w:rsidR="00FF1F3A" w:rsidRPr="00137E3E" w:rsidRDefault="00FF1F3A" w:rsidP="00A44582">
            <w:pPr>
              <w:jc w:val="center"/>
              <w:rPr>
                <w:b/>
                <w:bCs/>
                <w:color w:val="000000"/>
                <w:szCs w:val="22"/>
                <w:lang w:eastAsia="en-GB"/>
              </w:rPr>
            </w:pPr>
            <w:r w:rsidRPr="00137E3E">
              <w:rPr>
                <w:b/>
                <w:bCs/>
                <w:color w:val="000000"/>
                <w:szCs w:val="22"/>
                <w:lang w:eastAsia="en-GB"/>
              </w:rPr>
              <w:t>6</w:t>
            </w:r>
          </w:p>
        </w:tc>
      </w:tr>
      <w:tr w:rsidR="00FF1F3A" w:rsidRPr="00137E3E" w14:paraId="4F47FA22"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111477B6" w14:textId="77777777" w:rsidR="00FF1F3A" w:rsidRPr="00137E3E" w:rsidRDefault="00FF1F3A" w:rsidP="00A44582">
            <w:pPr>
              <w:rPr>
                <w:color w:val="000000"/>
                <w:szCs w:val="22"/>
                <w:lang w:eastAsia="en-GB"/>
              </w:rPr>
            </w:pPr>
            <w:r w:rsidRPr="00137E3E">
              <w:rPr>
                <w:color w:val="000000"/>
                <w:szCs w:val="22"/>
                <w:lang w:eastAsia="en-GB"/>
              </w:rPr>
              <w:t>Penguin Island</w:t>
            </w:r>
          </w:p>
        </w:tc>
        <w:tc>
          <w:tcPr>
            <w:tcW w:w="1411" w:type="dxa"/>
            <w:tcBorders>
              <w:top w:val="nil"/>
              <w:left w:val="nil"/>
              <w:bottom w:val="single" w:sz="8" w:space="0" w:color="auto"/>
              <w:right w:val="single" w:sz="8" w:space="0" w:color="auto"/>
            </w:tcBorders>
            <w:shd w:val="clear" w:color="auto" w:fill="auto"/>
            <w:noWrap/>
            <w:vAlign w:val="center"/>
            <w:hideMark/>
          </w:tcPr>
          <w:p w14:paraId="59412C6D"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34522AFD" w14:textId="77777777" w:rsidR="00FF1F3A" w:rsidRPr="00137E3E" w:rsidRDefault="00FF1F3A" w:rsidP="00A44582">
            <w:pPr>
              <w:jc w:val="center"/>
              <w:rPr>
                <w:b/>
                <w:bCs/>
                <w:color w:val="000000"/>
                <w:szCs w:val="22"/>
                <w:lang w:eastAsia="en-GB"/>
              </w:rPr>
            </w:pPr>
            <w:r w:rsidRPr="00137E3E">
              <w:rPr>
                <w:b/>
                <w:bCs/>
                <w:color w:val="000000"/>
                <w:szCs w:val="22"/>
                <w:lang w:eastAsia="en-GB"/>
              </w:rPr>
              <w:t>6</w:t>
            </w:r>
          </w:p>
        </w:tc>
      </w:tr>
      <w:tr w:rsidR="00FF1F3A" w:rsidRPr="00137E3E" w14:paraId="690EDA40"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1753DC78" w14:textId="77777777" w:rsidR="00FF1F3A" w:rsidRPr="00137E3E" w:rsidRDefault="00FF1F3A" w:rsidP="00A44582">
            <w:pPr>
              <w:rPr>
                <w:color w:val="000000"/>
                <w:szCs w:val="22"/>
                <w:lang w:eastAsia="en-GB"/>
              </w:rPr>
            </w:pPr>
            <w:proofErr w:type="spellStart"/>
            <w:r w:rsidRPr="00137E3E">
              <w:rPr>
                <w:color w:val="000000"/>
                <w:szCs w:val="22"/>
                <w:lang w:eastAsia="en-GB"/>
              </w:rPr>
              <w:t>Pleneau</w:t>
            </w:r>
            <w:proofErr w:type="spellEnd"/>
            <w:r w:rsidRPr="00137E3E">
              <w:rPr>
                <w:color w:val="000000"/>
                <w:szCs w:val="22"/>
                <w:lang w:eastAsia="en-GB"/>
              </w:rPr>
              <w:t xml:space="preserve"> Island</w:t>
            </w:r>
          </w:p>
        </w:tc>
        <w:tc>
          <w:tcPr>
            <w:tcW w:w="1411" w:type="dxa"/>
            <w:tcBorders>
              <w:top w:val="nil"/>
              <w:left w:val="nil"/>
              <w:bottom w:val="single" w:sz="8" w:space="0" w:color="auto"/>
              <w:right w:val="single" w:sz="8" w:space="0" w:color="auto"/>
            </w:tcBorders>
            <w:shd w:val="clear" w:color="auto" w:fill="auto"/>
            <w:noWrap/>
            <w:vAlign w:val="center"/>
            <w:hideMark/>
          </w:tcPr>
          <w:p w14:paraId="073DB393" w14:textId="77777777" w:rsidR="00FF1F3A" w:rsidRPr="00137E3E" w:rsidRDefault="00FF1F3A" w:rsidP="00A44582">
            <w:pPr>
              <w:jc w:val="center"/>
              <w:rPr>
                <w:b/>
                <w:bCs/>
                <w:color w:val="000000"/>
                <w:szCs w:val="22"/>
                <w:lang w:eastAsia="en-GB"/>
              </w:rPr>
            </w:pPr>
            <w:r w:rsidRPr="00137E3E">
              <w:rPr>
                <w:b/>
                <w:bCs/>
                <w:color w:val="000000"/>
                <w:szCs w:val="22"/>
                <w:lang w:eastAsia="en-GB"/>
              </w:rPr>
              <w:t>2</w:t>
            </w:r>
          </w:p>
        </w:tc>
        <w:tc>
          <w:tcPr>
            <w:tcW w:w="1774" w:type="dxa"/>
            <w:tcBorders>
              <w:top w:val="nil"/>
              <w:left w:val="nil"/>
              <w:bottom w:val="single" w:sz="8" w:space="0" w:color="auto"/>
              <w:right w:val="single" w:sz="8" w:space="0" w:color="auto"/>
            </w:tcBorders>
            <w:shd w:val="clear" w:color="auto" w:fill="auto"/>
            <w:noWrap/>
            <w:vAlign w:val="center"/>
            <w:hideMark/>
          </w:tcPr>
          <w:p w14:paraId="651EC8EB" w14:textId="77777777" w:rsidR="00FF1F3A" w:rsidRPr="00137E3E" w:rsidRDefault="00FF1F3A" w:rsidP="00A44582">
            <w:pPr>
              <w:jc w:val="center"/>
              <w:rPr>
                <w:b/>
                <w:bCs/>
                <w:color w:val="000000"/>
                <w:szCs w:val="22"/>
                <w:lang w:eastAsia="en-GB"/>
              </w:rPr>
            </w:pPr>
            <w:r w:rsidRPr="00137E3E">
              <w:rPr>
                <w:b/>
                <w:bCs/>
                <w:color w:val="000000"/>
                <w:szCs w:val="22"/>
                <w:lang w:eastAsia="en-GB"/>
              </w:rPr>
              <w:t>11</w:t>
            </w:r>
          </w:p>
        </w:tc>
      </w:tr>
      <w:tr w:rsidR="00FF1F3A" w:rsidRPr="00137E3E" w14:paraId="0EB6FF41"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79D7C541" w14:textId="77777777" w:rsidR="00FF1F3A" w:rsidRPr="00137E3E" w:rsidRDefault="00FF1F3A" w:rsidP="00A44582">
            <w:pPr>
              <w:rPr>
                <w:color w:val="000000"/>
                <w:szCs w:val="22"/>
                <w:lang w:eastAsia="en-GB"/>
              </w:rPr>
            </w:pPr>
            <w:r w:rsidRPr="00137E3E">
              <w:rPr>
                <w:color w:val="000000"/>
                <w:szCs w:val="22"/>
                <w:lang w:eastAsia="en-GB"/>
              </w:rPr>
              <w:t>Whalers Bay</w:t>
            </w:r>
          </w:p>
        </w:tc>
        <w:tc>
          <w:tcPr>
            <w:tcW w:w="1411" w:type="dxa"/>
            <w:tcBorders>
              <w:top w:val="nil"/>
              <w:left w:val="nil"/>
              <w:bottom w:val="single" w:sz="8" w:space="0" w:color="auto"/>
              <w:right w:val="single" w:sz="8" w:space="0" w:color="auto"/>
            </w:tcBorders>
            <w:shd w:val="clear" w:color="auto" w:fill="auto"/>
            <w:noWrap/>
            <w:vAlign w:val="center"/>
            <w:hideMark/>
          </w:tcPr>
          <w:p w14:paraId="65B7400E"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4221333A" w14:textId="77777777" w:rsidR="00FF1F3A" w:rsidRPr="00137E3E" w:rsidRDefault="00FF1F3A" w:rsidP="00A44582">
            <w:pPr>
              <w:jc w:val="center"/>
              <w:rPr>
                <w:b/>
                <w:bCs/>
                <w:color w:val="000000"/>
                <w:szCs w:val="22"/>
                <w:lang w:eastAsia="en-GB"/>
              </w:rPr>
            </w:pPr>
            <w:r w:rsidRPr="00137E3E">
              <w:rPr>
                <w:b/>
                <w:bCs/>
                <w:color w:val="000000"/>
                <w:szCs w:val="22"/>
                <w:lang w:eastAsia="en-GB"/>
              </w:rPr>
              <w:t>6</w:t>
            </w:r>
          </w:p>
        </w:tc>
      </w:tr>
      <w:tr w:rsidR="00FF1F3A" w:rsidRPr="00137E3E" w14:paraId="632D320A"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1D6B2985" w14:textId="77777777" w:rsidR="00FF1F3A" w:rsidRPr="00137E3E" w:rsidRDefault="00FF1F3A" w:rsidP="00A44582">
            <w:pPr>
              <w:rPr>
                <w:color w:val="000000"/>
                <w:szCs w:val="22"/>
                <w:lang w:eastAsia="en-GB"/>
              </w:rPr>
            </w:pPr>
            <w:r w:rsidRPr="00137E3E">
              <w:rPr>
                <w:color w:val="000000"/>
                <w:szCs w:val="22"/>
                <w:lang w:eastAsia="en-GB"/>
              </w:rPr>
              <w:t>Wordie House (Winter Island)</w:t>
            </w:r>
          </w:p>
        </w:tc>
        <w:tc>
          <w:tcPr>
            <w:tcW w:w="1411" w:type="dxa"/>
            <w:tcBorders>
              <w:top w:val="nil"/>
              <w:left w:val="nil"/>
              <w:bottom w:val="single" w:sz="8" w:space="0" w:color="auto"/>
              <w:right w:val="single" w:sz="8" w:space="0" w:color="auto"/>
            </w:tcBorders>
            <w:shd w:val="clear" w:color="auto" w:fill="auto"/>
            <w:noWrap/>
            <w:vAlign w:val="center"/>
            <w:hideMark/>
          </w:tcPr>
          <w:p w14:paraId="3324A30B"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1F8F9AAA" w14:textId="77777777" w:rsidR="00FF1F3A" w:rsidRPr="00137E3E" w:rsidRDefault="00FF1F3A" w:rsidP="00A44582">
            <w:pPr>
              <w:jc w:val="center"/>
              <w:rPr>
                <w:b/>
                <w:bCs/>
                <w:color w:val="000000"/>
                <w:szCs w:val="22"/>
                <w:lang w:eastAsia="en-GB"/>
              </w:rPr>
            </w:pPr>
            <w:r w:rsidRPr="00137E3E">
              <w:rPr>
                <w:b/>
                <w:bCs/>
                <w:color w:val="000000"/>
                <w:szCs w:val="22"/>
                <w:lang w:eastAsia="en-GB"/>
              </w:rPr>
              <w:t>4</w:t>
            </w:r>
          </w:p>
        </w:tc>
      </w:tr>
      <w:tr w:rsidR="00FF1F3A" w:rsidRPr="00137E3E" w14:paraId="64EF1C4C" w14:textId="77777777" w:rsidTr="00A44582">
        <w:trPr>
          <w:trHeight w:val="497"/>
        </w:trPr>
        <w:tc>
          <w:tcPr>
            <w:tcW w:w="3947" w:type="dxa"/>
            <w:tcBorders>
              <w:top w:val="nil"/>
              <w:left w:val="single" w:sz="8" w:space="0" w:color="auto"/>
              <w:bottom w:val="single" w:sz="8" w:space="0" w:color="auto"/>
              <w:right w:val="single" w:sz="8" w:space="0" w:color="auto"/>
            </w:tcBorders>
            <w:shd w:val="clear" w:color="auto" w:fill="auto"/>
            <w:noWrap/>
            <w:vAlign w:val="center"/>
            <w:hideMark/>
          </w:tcPr>
          <w:p w14:paraId="57E59202" w14:textId="77777777" w:rsidR="00FF1F3A" w:rsidRPr="00137E3E" w:rsidRDefault="00FF1F3A" w:rsidP="00A44582">
            <w:pPr>
              <w:rPr>
                <w:color w:val="000000"/>
                <w:szCs w:val="22"/>
                <w:lang w:eastAsia="en-GB"/>
              </w:rPr>
            </w:pPr>
            <w:r w:rsidRPr="00137E3E">
              <w:rPr>
                <w:color w:val="000000"/>
                <w:szCs w:val="22"/>
                <w:lang w:eastAsia="en-GB"/>
              </w:rPr>
              <w:t>Yankee Harbour</w:t>
            </w:r>
          </w:p>
        </w:tc>
        <w:tc>
          <w:tcPr>
            <w:tcW w:w="1411" w:type="dxa"/>
            <w:tcBorders>
              <w:top w:val="nil"/>
              <w:left w:val="nil"/>
              <w:bottom w:val="single" w:sz="8" w:space="0" w:color="auto"/>
              <w:right w:val="single" w:sz="8" w:space="0" w:color="auto"/>
            </w:tcBorders>
            <w:shd w:val="clear" w:color="auto" w:fill="auto"/>
            <w:noWrap/>
            <w:vAlign w:val="center"/>
            <w:hideMark/>
          </w:tcPr>
          <w:p w14:paraId="1D1F318B" w14:textId="77777777" w:rsidR="00FF1F3A" w:rsidRPr="00137E3E" w:rsidRDefault="00FF1F3A" w:rsidP="00A44582">
            <w:pPr>
              <w:jc w:val="center"/>
              <w:rPr>
                <w:b/>
                <w:bCs/>
                <w:color w:val="000000"/>
                <w:szCs w:val="22"/>
                <w:lang w:eastAsia="en-GB"/>
              </w:rPr>
            </w:pPr>
            <w:r w:rsidRPr="00137E3E">
              <w:rPr>
                <w:b/>
                <w:bCs/>
                <w:color w:val="000000"/>
                <w:szCs w:val="22"/>
                <w:lang w:eastAsia="en-GB"/>
              </w:rPr>
              <w:t>1</w:t>
            </w:r>
          </w:p>
        </w:tc>
        <w:tc>
          <w:tcPr>
            <w:tcW w:w="1774" w:type="dxa"/>
            <w:tcBorders>
              <w:top w:val="nil"/>
              <w:left w:val="nil"/>
              <w:bottom w:val="single" w:sz="8" w:space="0" w:color="auto"/>
              <w:right w:val="single" w:sz="8" w:space="0" w:color="auto"/>
            </w:tcBorders>
            <w:shd w:val="clear" w:color="auto" w:fill="auto"/>
            <w:noWrap/>
            <w:vAlign w:val="center"/>
            <w:hideMark/>
          </w:tcPr>
          <w:p w14:paraId="50BC5AAA" w14:textId="77777777" w:rsidR="00FF1F3A" w:rsidRPr="00137E3E" w:rsidRDefault="00FF1F3A" w:rsidP="00A44582">
            <w:pPr>
              <w:jc w:val="center"/>
              <w:rPr>
                <w:b/>
                <w:bCs/>
                <w:color w:val="000000"/>
                <w:szCs w:val="22"/>
                <w:lang w:eastAsia="en-GB"/>
              </w:rPr>
            </w:pPr>
            <w:r w:rsidRPr="00137E3E">
              <w:rPr>
                <w:b/>
                <w:bCs/>
                <w:color w:val="000000"/>
                <w:szCs w:val="22"/>
                <w:lang w:eastAsia="en-GB"/>
              </w:rPr>
              <w:t>3</w:t>
            </w:r>
          </w:p>
        </w:tc>
      </w:tr>
    </w:tbl>
    <w:p w14:paraId="441D8911" w14:textId="77777777" w:rsidR="00FF1F3A" w:rsidRDefault="00FF1F3A" w:rsidP="00FF1F3A"/>
    <w:p w14:paraId="1421D552" w14:textId="77777777" w:rsidR="00FF1F3A" w:rsidRDefault="00FF1F3A" w:rsidP="00FF1F3A">
      <w:pPr>
        <w:ind w:firstLine="708"/>
      </w:pPr>
    </w:p>
    <w:sectPr w:rsidR="00FF1F3A"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DEF9" w14:textId="77777777" w:rsidR="00000000" w:rsidRDefault="00FF1F3A">
      <w:r>
        <w:separator/>
      </w:r>
    </w:p>
  </w:endnote>
  <w:endnote w:type="continuationSeparator" w:id="0">
    <w:p w14:paraId="7DDF47DD" w14:textId="77777777" w:rsidR="00000000" w:rsidRDefault="00FF1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D9AF" w14:textId="77777777" w:rsidR="00FA0B9F" w:rsidRDefault="00FF1F3A" w:rsidP="00CF5C82">
    <w:pPr>
      <w:framePr w:wrap="around" w:vAnchor="text" w:hAnchor="margin" w:xAlign="right" w:y="1"/>
    </w:pPr>
    <w:r>
      <w:fldChar w:fldCharType="begin"/>
    </w:r>
    <w:r>
      <w:instrText xml:space="preserve">PAGE  </w:instrText>
    </w:r>
    <w:r>
      <w:fldChar w:fldCharType="separate"/>
    </w:r>
    <w:r>
      <w:fldChar w:fldCharType="end"/>
    </w:r>
  </w:p>
  <w:p w14:paraId="0C10C619" w14:textId="77777777" w:rsidR="00FA0B9F" w:rsidRDefault="00FF1F3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D82C" w14:textId="77777777" w:rsidR="00FA0B9F" w:rsidRDefault="00FF1F3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8EB18E0" w14:textId="4D5C23B0" w:rsidR="00FA0B9F" w:rsidRDefault="00FF1F3A" w:rsidP="00FF1F3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2F01" w14:textId="77777777" w:rsidR="00E311C9" w:rsidRDefault="00FF1F3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B8C130D" w14:textId="77777777" w:rsidR="00E311C9" w:rsidRDefault="00FF1F3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D368" w14:textId="77777777" w:rsidR="00000000" w:rsidRDefault="00FF1F3A">
      <w:r>
        <w:separator/>
      </w:r>
    </w:p>
  </w:footnote>
  <w:footnote w:type="continuationSeparator" w:id="0">
    <w:p w14:paraId="728EE5B4" w14:textId="77777777" w:rsidR="00000000" w:rsidRDefault="00FF1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C28C2" w14:paraId="618AC4A2" w14:textId="77777777" w:rsidTr="00490760">
      <w:trPr>
        <w:trHeight w:val="344"/>
        <w:jc w:val="center"/>
      </w:trPr>
      <w:tc>
        <w:tcPr>
          <w:tcW w:w="5495" w:type="dxa"/>
        </w:tcPr>
        <w:p w14:paraId="30EDAB13" w14:textId="77777777" w:rsidR="00DB7C09" w:rsidRDefault="00FF1F3A" w:rsidP="00F968D4"/>
      </w:tc>
      <w:tc>
        <w:tcPr>
          <w:tcW w:w="4253" w:type="dxa"/>
          <w:gridSpan w:val="2"/>
        </w:tcPr>
        <w:p w14:paraId="28C8B69E" w14:textId="77777777" w:rsidR="00DB7C09" w:rsidRPr="00BD47E4" w:rsidRDefault="00FF1F3A" w:rsidP="002A07BC">
          <w:pPr>
            <w:jc w:val="right"/>
            <w:rPr>
              <w:b/>
              <w:sz w:val="32"/>
              <w:szCs w:val="32"/>
            </w:rPr>
          </w:pPr>
          <w:bookmarkStart w:id="2" w:name="type"/>
          <w:r w:rsidRPr="00BD47E4">
            <w:rPr>
              <w:b/>
              <w:sz w:val="32"/>
              <w:szCs w:val="32"/>
            </w:rPr>
            <w:t>IP</w:t>
          </w:r>
          <w:bookmarkEnd w:id="2"/>
        </w:p>
      </w:tc>
      <w:tc>
        <w:tcPr>
          <w:tcW w:w="1524" w:type="dxa"/>
          <w:gridSpan w:val="2"/>
        </w:tcPr>
        <w:p w14:paraId="3712A683" w14:textId="77777777" w:rsidR="00DB7C09" w:rsidRPr="00BD47E4" w:rsidRDefault="00FF1F3A" w:rsidP="00DB7C09">
          <w:pPr>
            <w:rPr>
              <w:b/>
              <w:sz w:val="32"/>
              <w:szCs w:val="32"/>
            </w:rPr>
          </w:pPr>
          <w:bookmarkStart w:id="3" w:name="number"/>
          <w:r w:rsidRPr="00BD47E4">
            <w:rPr>
              <w:b/>
              <w:sz w:val="32"/>
              <w:szCs w:val="32"/>
            </w:rPr>
            <w:t>111</w:t>
          </w:r>
          <w:bookmarkEnd w:id="3"/>
        </w:p>
      </w:tc>
    </w:tr>
    <w:tr w:rsidR="004C28C2" w14:paraId="05D70DC7" w14:textId="77777777" w:rsidTr="00490760">
      <w:trPr>
        <w:trHeight w:val="2165"/>
        <w:jc w:val="center"/>
      </w:trPr>
      <w:tc>
        <w:tcPr>
          <w:tcW w:w="5495" w:type="dxa"/>
        </w:tcPr>
        <w:p w14:paraId="23A65AE9" w14:textId="77777777" w:rsidR="00490760" w:rsidRPr="00EE4D48" w:rsidRDefault="00FF1F3A" w:rsidP="002A07BC">
          <w:pPr>
            <w:rPr>
              <w:b/>
              <w:sz w:val="28"/>
              <w:szCs w:val="28"/>
            </w:rPr>
          </w:pPr>
          <w:r>
            <w:rPr>
              <w:b/>
              <w:noProof/>
              <w:sz w:val="28"/>
              <w:szCs w:val="28"/>
            </w:rPr>
            <w:drawing>
              <wp:inline distT="0" distB="0" distL="0" distR="0" wp14:anchorId="7C2D9B35" wp14:editId="7CA8396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5460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FFA713D" w14:textId="77777777" w:rsidR="00490760" w:rsidRPr="00FE5146" w:rsidRDefault="00FF1F3A" w:rsidP="00490760">
          <w:pPr>
            <w:jc w:val="right"/>
            <w:rPr>
              <w:sz w:val="144"/>
              <w:szCs w:val="144"/>
            </w:rPr>
          </w:pPr>
          <w:r w:rsidRPr="00FE5146">
            <w:rPr>
              <w:sz w:val="144"/>
              <w:szCs w:val="144"/>
            </w:rPr>
            <w:t>ENG</w:t>
          </w:r>
        </w:p>
      </w:tc>
    </w:tr>
    <w:tr w:rsidR="004C28C2" w14:paraId="3F906A5A" w14:textId="77777777" w:rsidTr="00BD47E4">
      <w:trPr>
        <w:trHeight w:val="409"/>
        <w:jc w:val="center"/>
      </w:trPr>
      <w:tc>
        <w:tcPr>
          <w:tcW w:w="9039" w:type="dxa"/>
          <w:gridSpan w:val="2"/>
        </w:tcPr>
        <w:p w14:paraId="26382BE4" w14:textId="77777777" w:rsidR="00BD47E4" w:rsidRDefault="00FF1F3A" w:rsidP="002C30DA">
          <w:pPr>
            <w:jc w:val="right"/>
          </w:pPr>
          <w:r>
            <w:t>Agenda Item:</w:t>
          </w:r>
        </w:p>
      </w:tc>
      <w:tc>
        <w:tcPr>
          <w:tcW w:w="1843" w:type="dxa"/>
          <w:gridSpan w:val="2"/>
        </w:tcPr>
        <w:p w14:paraId="53F87DD4" w14:textId="77777777" w:rsidR="00BD47E4" w:rsidRDefault="00FF1F3A" w:rsidP="002C30DA">
          <w:pPr>
            <w:jc w:val="right"/>
          </w:pPr>
          <w:bookmarkStart w:id="4" w:name="agenda"/>
          <w:r>
            <w:t>ATCM 17, CEP 9c</w:t>
          </w:r>
          <w:bookmarkEnd w:id="4"/>
        </w:p>
      </w:tc>
      <w:tc>
        <w:tcPr>
          <w:tcW w:w="390" w:type="dxa"/>
        </w:tcPr>
        <w:p w14:paraId="7F000A19" w14:textId="77777777" w:rsidR="00BD47E4" w:rsidRDefault="00FF1F3A" w:rsidP="00387A65">
          <w:pPr>
            <w:jc w:val="right"/>
          </w:pPr>
        </w:p>
      </w:tc>
    </w:tr>
    <w:tr w:rsidR="004C28C2" w14:paraId="63FDE604" w14:textId="77777777" w:rsidTr="00BD47E4">
      <w:trPr>
        <w:trHeight w:val="397"/>
        <w:jc w:val="center"/>
      </w:trPr>
      <w:tc>
        <w:tcPr>
          <w:tcW w:w="9039" w:type="dxa"/>
          <w:gridSpan w:val="2"/>
        </w:tcPr>
        <w:p w14:paraId="224CCF8C" w14:textId="77777777" w:rsidR="00BD47E4" w:rsidRDefault="00FF1F3A" w:rsidP="002C30DA">
          <w:pPr>
            <w:jc w:val="right"/>
          </w:pPr>
          <w:r>
            <w:t>Presented by:</w:t>
          </w:r>
        </w:p>
      </w:tc>
      <w:tc>
        <w:tcPr>
          <w:tcW w:w="1843" w:type="dxa"/>
          <w:gridSpan w:val="2"/>
        </w:tcPr>
        <w:p w14:paraId="77C2E0F5" w14:textId="77777777" w:rsidR="00BD47E4" w:rsidRDefault="00FF1F3A" w:rsidP="002C30DA">
          <w:pPr>
            <w:jc w:val="right"/>
          </w:pPr>
          <w:bookmarkStart w:id="5" w:name="party"/>
          <w:r>
            <w:t>IAATO</w:t>
          </w:r>
          <w:bookmarkEnd w:id="5"/>
        </w:p>
      </w:tc>
      <w:tc>
        <w:tcPr>
          <w:tcW w:w="390" w:type="dxa"/>
        </w:tcPr>
        <w:p w14:paraId="0A3D1290" w14:textId="77777777" w:rsidR="00BD47E4" w:rsidRDefault="00FF1F3A" w:rsidP="00387A65">
          <w:pPr>
            <w:jc w:val="right"/>
          </w:pPr>
        </w:p>
      </w:tc>
    </w:tr>
    <w:tr w:rsidR="004C28C2" w14:paraId="6DD8003E" w14:textId="77777777" w:rsidTr="00BD47E4">
      <w:trPr>
        <w:trHeight w:val="409"/>
        <w:jc w:val="center"/>
      </w:trPr>
      <w:tc>
        <w:tcPr>
          <w:tcW w:w="9039" w:type="dxa"/>
          <w:gridSpan w:val="2"/>
        </w:tcPr>
        <w:p w14:paraId="1E6E2124" w14:textId="77777777" w:rsidR="00BD47E4" w:rsidRDefault="00FF1F3A" w:rsidP="002C30DA">
          <w:pPr>
            <w:jc w:val="right"/>
          </w:pPr>
          <w:r>
            <w:t>Original:</w:t>
          </w:r>
        </w:p>
      </w:tc>
      <w:tc>
        <w:tcPr>
          <w:tcW w:w="1843" w:type="dxa"/>
          <w:gridSpan w:val="2"/>
        </w:tcPr>
        <w:p w14:paraId="01FA14F5" w14:textId="77777777" w:rsidR="00BD47E4" w:rsidRDefault="00FF1F3A" w:rsidP="002C30DA">
          <w:pPr>
            <w:jc w:val="right"/>
          </w:pPr>
          <w:bookmarkStart w:id="6" w:name="language"/>
          <w:r>
            <w:t>English</w:t>
          </w:r>
          <w:bookmarkEnd w:id="6"/>
        </w:p>
      </w:tc>
      <w:tc>
        <w:tcPr>
          <w:tcW w:w="390" w:type="dxa"/>
        </w:tcPr>
        <w:p w14:paraId="7202BB4A" w14:textId="77777777" w:rsidR="00BD47E4" w:rsidRDefault="00FF1F3A" w:rsidP="00387A65">
          <w:pPr>
            <w:jc w:val="right"/>
          </w:pPr>
        </w:p>
      </w:tc>
    </w:tr>
    <w:tr w:rsidR="004C28C2" w14:paraId="73AD1A2A" w14:textId="77777777" w:rsidTr="00BD47E4">
      <w:trPr>
        <w:trHeight w:val="409"/>
        <w:jc w:val="center"/>
      </w:trPr>
      <w:tc>
        <w:tcPr>
          <w:tcW w:w="9039" w:type="dxa"/>
          <w:gridSpan w:val="2"/>
        </w:tcPr>
        <w:p w14:paraId="128E2CC2" w14:textId="77777777" w:rsidR="0097629D" w:rsidRDefault="00FF1F3A" w:rsidP="002C30DA">
          <w:pPr>
            <w:jc w:val="right"/>
          </w:pPr>
          <w:r>
            <w:t>Submitted:</w:t>
          </w:r>
        </w:p>
      </w:tc>
      <w:tc>
        <w:tcPr>
          <w:tcW w:w="1843" w:type="dxa"/>
          <w:gridSpan w:val="2"/>
        </w:tcPr>
        <w:p w14:paraId="7357C70B" w14:textId="77777777" w:rsidR="0097629D" w:rsidRDefault="00FF1F3A" w:rsidP="0097629D">
          <w:pPr>
            <w:jc w:val="right"/>
          </w:pPr>
          <w:bookmarkStart w:id="7" w:name="date_submission"/>
          <w:r>
            <w:t>17/5/2021</w:t>
          </w:r>
          <w:bookmarkEnd w:id="7"/>
        </w:p>
      </w:tc>
      <w:tc>
        <w:tcPr>
          <w:tcW w:w="390" w:type="dxa"/>
        </w:tcPr>
        <w:p w14:paraId="097BF686" w14:textId="77777777" w:rsidR="0097629D" w:rsidRDefault="00FF1F3A" w:rsidP="00387A65">
          <w:pPr>
            <w:jc w:val="right"/>
          </w:pPr>
        </w:p>
      </w:tc>
    </w:tr>
  </w:tbl>
  <w:p w14:paraId="52D1B2E5" w14:textId="77777777" w:rsidR="00AE5DD0" w:rsidRDefault="00FF1F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C28C2" w14:paraId="73A6A9F9" w14:textId="77777777">
      <w:trPr>
        <w:trHeight w:val="354"/>
        <w:jc w:val="center"/>
      </w:trPr>
      <w:tc>
        <w:tcPr>
          <w:tcW w:w="9694" w:type="dxa"/>
        </w:tcPr>
        <w:p w14:paraId="1EABF1D5" w14:textId="31F31217" w:rsidR="00AE5DD0" w:rsidRPr="00BD47E4" w:rsidRDefault="00FF1F3A" w:rsidP="00C26F2D">
          <w:pPr>
            <w:jc w:val="right"/>
            <w:rPr>
              <w:b/>
              <w:sz w:val="32"/>
              <w:szCs w:val="32"/>
            </w:rPr>
          </w:pPr>
          <w:r>
            <w:rPr>
              <w:b/>
              <w:sz w:val="32"/>
              <w:szCs w:val="32"/>
            </w:rPr>
            <w:t>OP</w:t>
          </w:r>
        </w:p>
      </w:tc>
      <w:tc>
        <w:tcPr>
          <w:tcW w:w="1332" w:type="dxa"/>
        </w:tcPr>
        <w:p w14:paraId="45694C73" w14:textId="69E2B8E6" w:rsidR="00AE5DD0" w:rsidRPr="00BD47E4" w:rsidRDefault="00FF1F3A" w:rsidP="00080F4C">
          <w:pPr>
            <w:rPr>
              <w:b/>
              <w:sz w:val="32"/>
              <w:szCs w:val="32"/>
            </w:rPr>
          </w:pPr>
          <w:r>
            <w:rPr>
              <w:b/>
              <w:sz w:val="32"/>
              <w:szCs w:val="32"/>
            </w:rPr>
            <w:t>111</w:t>
          </w:r>
        </w:p>
      </w:tc>
    </w:tr>
  </w:tbl>
  <w:p w14:paraId="5BD39943" w14:textId="77777777" w:rsidR="00AE5DD0" w:rsidRDefault="00FF1F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8106B9C">
      <w:start w:val="1"/>
      <w:numFmt w:val="bullet"/>
      <w:pStyle w:val="ATSBullet1"/>
      <w:lvlText w:val=""/>
      <w:lvlJc w:val="left"/>
      <w:pPr>
        <w:tabs>
          <w:tab w:val="num" w:pos="360"/>
        </w:tabs>
        <w:ind w:left="360" w:hanging="360"/>
      </w:pPr>
      <w:rPr>
        <w:rFonts w:ascii="Symbol" w:hAnsi="Symbol" w:hint="default"/>
        <w:color w:val="auto"/>
      </w:rPr>
    </w:lvl>
    <w:lvl w:ilvl="1" w:tplc="CEDEBD48" w:tentative="1">
      <w:start w:val="1"/>
      <w:numFmt w:val="bullet"/>
      <w:lvlText w:val="o"/>
      <w:lvlJc w:val="left"/>
      <w:pPr>
        <w:tabs>
          <w:tab w:val="num" w:pos="1440"/>
        </w:tabs>
        <w:ind w:left="1440" w:hanging="360"/>
      </w:pPr>
      <w:rPr>
        <w:rFonts w:ascii="Courier New" w:hAnsi="Courier New" w:cs="Courier New" w:hint="default"/>
      </w:rPr>
    </w:lvl>
    <w:lvl w:ilvl="2" w:tplc="0CAA26B0" w:tentative="1">
      <w:start w:val="1"/>
      <w:numFmt w:val="bullet"/>
      <w:lvlText w:val=""/>
      <w:lvlJc w:val="left"/>
      <w:pPr>
        <w:tabs>
          <w:tab w:val="num" w:pos="2160"/>
        </w:tabs>
        <w:ind w:left="2160" w:hanging="360"/>
      </w:pPr>
      <w:rPr>
        <w:rFonts w:ascii="Wingdings" w:hAnsi="Wingdings" w:hint="default"/>
      </w:rPr>
    </w:lvl>
    <w:lvl w:ilvl="3" w:tplc="8FC279D2" w:tentative="1">
      <w:start w:val="1"/>
      <w:numFmt w:val="bullet"/>
      <w:lvlText w:val=""/>
      <w:lvlJc w:val="left"/>
      <w:pPr>
        <w:tabs>
          <w:tab w:val="num" w:pos="2880"/>
        </w:tabs>
        <w:ind w:left="2880" w:hanging="360"/>
      </w:pPr>
      <w:rPr>
        <w:rFonts w:ascii="Symbol" w:hAnsi="Symbol" w:hint="default"/>
      </w:rPr>
    </w:lvl>
    <w:lvl w:ilvl="4" w:tplc="102A5DBA" w:tentative="1">
      <w:start w:val="1"/>
      <w:numFmt w:val="bullet"/>
      <w:lvlText w:val="o"/>
      <w:lvlJc w:val="left"/>
      <w:pPr>
        <w:tabs>
          <w:tab w:val="num" w:pos="3600"/>
        </w:tabs>
        <w:ind w:left="3600" w:hanging="360"/>
      </w:pPr>
      <w:rPr>
        <w:rFonts w:ascii="Courier New" w:hAnsi="Courier New" w:cs="Courier New" w:hint="default"/>
      </w:rPr>
    </w:lvl>
    <w:lvl w:ilvl="5" w:tplc="25C67A5E" w:tentative="1">
      <w:start w:val="1"/>
      <w:numFmt w:val="bullet"/>
      <w:lvlText w:val=""/>
      <w:lvlJc w:val="left"/>
      <w:pPr>
        <w:tabs>
          <w:tab w:val="num" w:pos="4320"/>
        </w:tabs>
        <w:ind w:left="4320" w:hanging="360"/>
      </w:pPr>
      <w:rPr>
        <w:rFonts w:ascii="Wingdings" w:hAnsi="Wingdings" w:hint="default"/>
      </w:rPr>
    </w:lvl>
    <w:lvl w:ilvl="6" w:tplc="DD1E62AA" w:tentative="1">
      <w:start w:val="1"/>
      <w:numFmt w:val="bullet"/>
      <w:lvlText w:val=""/>
      <w:lvlJc w:val="left"/>
      <w:pPr>
        <w:tabs>
          <w:tab w:val="num" w:pos="5040"/>
        </w:tabs>
        <w:ind w:left="5040" w:hanging="360"/>
      </w:pPr>
      <w:rPr>
        <w:rFonts w:ascii="Symbol" w:hAnsi="Symbol" w:hint="default"/>
      </w:rPr>
    </w:lvl>
    <w:lvl w:ilvl="7" w:tplc="67B4D36A" w:tentative="1">
      <w:start w:val="1"/>
      <w:numFmt w:val="bullet"/>
      <w:lvlText w:val="o"/>
      <w:lvlJc w:val="left"/>
      <w:pPr>
        <w:tabs>
          <w:tab w:val="num" w:pos="5760"/>
        </w:tabs>
        <w:ind w:left="5760" w:hanging="360"/>
      </w:pPr>
      <w:rPr>
        <w:rFonts w:ascii="Courier New" w:hAnsi="Courier New" w:cs="Courier New" w:hint="default"/>
      </w:rPr>
    </w:lvl>
    <w:lvl w:ilvl="8" w:tplc="482E5A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50CB68C">
      <w:start w:val="1"/>
      <w:numFmt w:val="decimal"/>
      <w:lvlText w:val="%1)"/>
      <w:lvlJc w:val="left"/>
      <w:pPr>
        <w:tabs>
          <w:tab w:val="num" w:pos="340"/>
        </w:tabs>
        <w:ind w:left="340" w:hanging="340"/>
      </w:pPr>
      <w:rPr>
        <w:rFonts w:hint="default"/>
      </w:rPr>
    </w:lvl>
    <w:lvl w:ilvl="1" w:tplc="A14A2AF4" w:tentative="1">
      <w:start w:val="1"/>
      <w:numFmt w:val="lowerLetter"/>
      <w:lvlText w:val="%2."/>
      <w:lvlJc w:val="left"/>
      <w:pPr>
        <w:tabs>
          <w:tab w:val="num" w:pos="1440"/>
        </w:tabs>
        <w:ind w:left="1440" w:hanging="360"/>
      </w:pPr>
    </w:lvl>
    <w:lvl w:ilvl="2" w:tplc="3A0EA072" w:tentative="1">
      <w:start w:val="1"/>
      <w:numFmt w:val="lowerRoman"/>
      <w:lvlText w:val="%3."/>
      <w:lvlJc w:val="right"/>
      <w:pPr>
        <w:tabs>
          <w:tab w:val="num" w:pos="2160"/>
        </w:tabs>
        <w:ind w:left="2160" w:hanging="180"/>
      </w:pPr>
    </w:lvl>
    <w:lvl w:ilvl="3" w:tplc="C82257E6" w:tentative="1">
      <w:start w:val="1"/>
      <w:numFmt w:val="decimal"/>
      <w:lvlText w:val="%4."/>
      <w:lvlJc w:val="left"/>
      <w:pPr>
        <w:tabs>
          <w:tab w:val="num" w:pos="2880"/>
        </w:tabs>
        <w:ind w:left="2880" w:hanging="360"/>
      </w:pPr>
    </w:lvl>
    <w:lvl w:ilvl="4" w:tplc="9514C3FE" w:tentative="1">
      <w:start w:val="1"/>
      <w:numFmt w:val="lowerLetter"/>
      <w:lvlText w:val="%5."/>
      <w:lvlJc w:val="left"/>
      <w:pPr>
        <w:tabs>
          <w:tab w:val="num" w:pos="3600"/>
        </w:tabs>
        <w:ind w:left="3600" w:hanging="360"/>
      </w:pPr>
    </w:lvl>
    <w:lvl w:ilvl="5" w:tplc="8D6AC89A" w:tentative="1">
      <w:start w:val="1"/>
      <w:numFmt w:val="lowerRoman"/>
      <w:lvlText w:val="%6."/>
      <w:lvlJc w:val="right"/>
      <w:pPr>
        <w:tabs>
          <w:tab w:val="num" w:pos="4320"/>
        </w:tabs>
        <w:ind w:left="4320" w:hanging="180"/>
      </w:pPr>
    </w:lvl>
    <w:lvl w:ilvl="6" w:tplc="4D201212" w:tentative="1">
      <w:start w:val="1"/>
      <w:numFmt w:val="decimal"/>
      <w:lvlText w:val="%7."/>
      <w:lvlJc w:val="left"/>
      <w:pPr>
        <w:tabs>
          <w:tab w:val="num" w:pos="5040"/>
        </w:tabs>
        <w:ind w:left="5040" w:hanging="360"/>
      </w:pPr>
    </w:lvl>
    <w:lvl w:ilvl="7" w:tplc="BA50067E" w:tentative="1">
      <w:start w:val="1"/>
      <w:numFmt w:val="lowerLetter"/>
      <w:lvlText w:val="%8."/>
      <w:lvlJc w:val="left"/>
      <w:pPr>
        <w:tabs>
          <w:tab w:val="num" w:pos="5760"/>
        </w:tabs>
        <w:ind w:left="5760" w:hanging="360"/>
      </w:pPr>
    </w:lvl>
    <w:lvl w:ilvl="8" w:tplc="4E7C492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E7E8C84">
      <w:start w:val="1"/>
      <w:numFmt w:val="decimal"/>
      <w:lvlText w:val="%1."/>
      <w:lvlJc w:val="left"/>
      <w:pPr>
        <w:tabs>
          <w:tab w:val="num" w:pos="1057"/>
        </w:tabs>
        <w:ind w:left="1057" w:hanging="360"/>
      </w:pPr>
      <w:rPr>
        <w:rFonts w:hint="default"/>
      </w:rPr>
    </w:lvl>
    <w:lvl w:ilvl="1" w:tplc="1DB65690" w:tentative="1">
      <w:start w:val="1"/>
      <w:numFmt w:val="lowerLetter"/>
      <w:lvlText w:val="%2."/>
      <w:lvlJc w:val="left"/>
      <w:pPr>
        <w:tabs>
          <w:tab w:val="num" w:pos="2137"/>
        </w:tabs>
        <w:ind w:left="2137" w:hanging="360"/>
      </w:pPr>
    </w:lvl>
    <w:lvl w:ilvl="2" w:tplc="6B424BA0" w:tentative="1">
      <w:start w:val="1"/>
      <w:numFmt w:val="lowerRoman"/>
      <w:lvlText w:val="%3."/>
      <w:lvlJc w:val="right"/>
      <w:pPr>
        <w:tabs>
          <w:tab w:val="num" w:pos="2857"/>
        </w:tabs>
        <w:ind w:left="2857" w:hanging="180"/>
      </w:pPr>
    </w:lvl>
    <w:lvl w:ilvl="3" w:tplc="AF861B26" w:tentative="1">
      <w:start w:val="1"/>
      <w:numFmt w:val="decimal"/>
      <w:lvlText w:val="%4."/>
      <w:lvlJc w:val="left"/>
      <w:pPr>
        <w:tabs>
          <w:tab w:val="num" w:pos="3577"/>
        </w:tabs>
        <w:ind w:left="3577" w:hanging="360"/>
      </w:pPr>
    </w:lvl>
    <w:lvl w:ilvl="4" w:tplc="D6CE4254" w:tentative="1">
      <w:start w:val="1"/>
      <w:numFmt w:val="lowerLetter"/>
      <w:lvlText w:val="%5."/>
      <w:lvlJc w:val="left"/>
      <w:pPr>
        <w:tabs>
          <w:tab w:val="num" w:pos="4297"/>
        </w:tabs>
        <w:ind w:left="4297" w:hanging="360"/>
      </w:pPr>
    </w:lvl>
    <w:lvl w:ilvl="5" w:tplc="FFA026CE" w:tentative="1">
      <w:start w:val="1"/>
      <w:numFmt w:val="lowerRoman"/>
      <w:lvlText w:val="%6."/>
      <w:lvlJc w:val="right"/>
      <w:pPr>
        <w:tabs>
          <w:tab w:val="num" w:pos="5017"/>
        </w:tabs>
        <w:ind w:left="5017" w:hanging="180"/>
      </w:pPr>
    </w:lvl>
    <w:lvl w:ilvl="6" w:tplc="1468570C" w:tentative="1">
      <w:start w:val="1"/>
      <w:numFmt w:val="decimal"/>
      <w:lvlText w:val="%7."/>
      <w:lvlJc w:val="left"/>
      <w:pPr>
        <w:tabs>
          <w:tab w:val="num" w:pos="5737"/>
        </w:tabs>
        <w:ind w:left="5737" w:hanging="360"/>
      </w:pPr>
    </w:lvl>
    <w:lvl w:ilvl="7" w:tplc="EAE8681C" w:tentative="1">
      <w:start w:val="1"/>
      <w:numFmt w:val="lowerLetter"/>
      <w:lvlText w:val="%8."/>
      <w:lvlJc w:val="left"/>
      <w:pPr>
        <w:tabs>
          <w:tab w:val="num" w:pos="6457"/>
        </w:tabs>
        <w:ind w:left="6457" w:hanging="360"/>
      </w:pPr>
    </w:lvl>
    <w:lvl w:ilvl="8" w:tplc="88549516" w:tentative="1">
      <w:start w:val="1"/>
      <w:numFmt w:val="lowerRoman"/>
      <w:lvlText w:val="%9."/>
      <w:lvlJc w:val="right"/>
      <w:pPr>
        <w:tabs>
          <w:tab w:val="num" w:pos="7177"/>
        </w:tabs>
        <w:ind w:left="7177" w:hanging="180"/>
      </w:pPr>
    </w:lvl>
  </w:abstractNum>
  <w:abstractNum w:abstractNumId="14" w15:restartNumberingAfterBreak="0">
    <w:nsid w:val="6B237A4A"/>
    <w:multiLevelType w:val="hybridMultilevel"/>
    <w:tmpl w:val="F8DA4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212657C"/>
    <w:multiLevelType w:val="hybridMultilevel"/>
    <w:tmpl w:val="0A8E2A84"/>
    <w:lvl w:ilvl="0" w:tplc="AEDCCB1C">
      <w:start w:val="1"/>
      <w:numFmt w:val="decimal"/>
      <w:pStyle w:val="ATSNumber1"/>
      <w:lvlText w:val="%1)"/>
      <w:lvlJc w:val="left"/>
      <w:pPr>
        <w:tabs>
          <w:tab w:val="num" w:pos="720"/>
        </w:tabs>
        <w:ind w:left="720" w:hanging="360"/>
      </w:pPr>
    </w:lvl>
    <w:lvl w:ilvl="1" w:tplc="7B1A01B2" w:tentative="1">
      <w:start w:val="1"/>
      <w:numFmt w:val="lowerLetter"/>
      <w:lvlText w:val="%2."/>
      <w:lvlJc w:val="left"/>
      <w:pPr>
        <w:tabs>
          <w:tab w:val="num" w:pos="1440"/>
        </w:tabs>
        <w:ind w:left="1440" w:hanging="360"/>
      </w:pPr>
    </w:lvl>
    <w:lvl w:ilvl="2" w:tplc="6B4CCBC2" w:tentative="1">
      <w:start w:val="1"/>
      <w:numFmt w:val="lowerRoman"/>
      <w:lvlText w:val="%3."/>
      <w:lvlJc w:val="right"/>
      <w:pPr>
        <w:tabs>
          <w:tab w:val="num" w:pos="2160"/>
        </w:tabs>
        <w:ind w:left="2160" w:hanging="180"/>
      </w:pPr>
    </w:lvl>
    <w:lvl w:ilvl="3" w:tplc="70F60CDE" w:tentative="1">
      <w:start w:val="1"/>
      <w:numFmt w:val="decimal"/>
      <w:lvlText w:val="%4."/>
      <w:lvlJc w:val="left"/>
      <w:pPr>
        <w:tabs>
          <w:tab w:val="num" w:pos="2880"/>
        </w:tabs>
        <w:ind w:left="2880" w:hanging="360"/>
      </w:pPr>
    </w:lvl>
    <w:lvl w:ilvl="4" w:tplc="FDF06CFE" w:tentative="1">
      <w:start w:val="1"/>
      <w:numFmt w:val="lowerLetter"/>
      <w:lvlText w:val="%5."/>
      <w:lvlJc w:val="left"/>
      <w:pPr>
        <w:tabs>
          <w:tab w:val="num" w:pos="3600"/>
        </w:tabs>
        <w:ind w:left="3600" w:hanging="360"/>
      </w:pPr>
    </w:lvl>
    <w:lvl w:ilvl="5" w:tplc="E7A070B2" w:tentative="1">
      <w:start w:val="1"/>
      <w:numFmt w:val="lowerRoman"/>
      <w:lvlText w:val="%6."/>
      <w:lvlJc w:val="right"/>
      <w:pPr>
        <w:tabs>
          <w:tab w:val="num" w:pos="4320"/>
        </w:tabs>
        <w:ind w:left="4320" w:hanging="180"/>
      </w:pPr>
    </w:lvl>
    <w:lvl w:ilvl="6" w:tplc="CF6E56FA" w:tentative="1">
      <w:start w:val="1"/>
      <w:numFmt w:val="decimal"/>
      <w:lvlText w:val="%7."/>
      <w:lvlJc w:val="left"/>
      <w:pPr>
        <w:tabs>
          <w:tab w:val="num" w:pos="5040"/>
        </w:tabs>
        <w:ind w:left="5040" w:hanging="360"/>
      </w:pPr>
    </w:lvl>
    <w:lvl w:ilvl="7" w:tplc="46B87EAE" w:tentative="1">
      <w:start w:val="1"/>
      <w:numFmt w:val="lowerLetter"/>
      <w:lvlText w:val="%8."/>
      <w:lvlJc w:val="left"/>
      <w:pPr>
        <w:tabs>
          <w:tab w:val="num" w:pos="5760"/>
        </w:tabs>
        <w:ind w:left="5760" w:hanging="360"/>
      </w:pPr>
    </w:lvl>
    <w:lvl w:ilvl="8" w:tplc="4D007CA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75C940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164F134" w:tentative="1">
      <w:start w:val="1"/>
      <w:numFmt w:val="bullet"/>
      <w:lvlText w:val="o"/>
      <w:lvlJc w:val="left"/>
      <w:pPr>
        <w:tabs>
          <w:tab w:val="num" w:pos="2517"/>
        </w:tabs>
        <w:ind w:left="2517" w:hanging="360"/>
      </w:pPr>
      <w:rPr>
        <w:rFonts w:ascii="Courier New" w:hAnsi="Courier New" w:cs="Courier New" w:hint="default"/>
      </w:rPr>
    </w:lvl>
    <w:lvl w:ilvl="2" w:tplc="FC4E034C" w:tentative="1">
      <w:start w:val="1"/>
      <w:numFmt w:val="bullet"/>
      <w:lvlText w:val=""/>
      <w:lvlJc w:val="left"/>
      <w:pPr>
        <w:tabs>
          <w:tab w:val="num" w:pos="3237"/>
        </w:tabs>
        <w:ind w:left="3237" w:hanging="360"/>
      </w:pPr>
      <w:rPr>
        <w:rFonts w:ascii="Wingdings" w:hAnsi="Wingdings" w:hint="default"/>
      </w:rPr>
    </w:lvl>
    <w:lvl w:ilvl="3" w:tplc="E482FBAC" w:tentative="1">
      <w:start w:val="1"/>
      <w:numFmt w:val="bullet"/>
      <w:lvlText w:val=""/>
      <w:lvlJc w:val="left"/>
      <w:pPr>
        <w:tabs>
          <w:tab w:val="num" w:pos="3957"/>
        </w:tabs>
        <w:ind w:left="3957" w:hanging="360"/>
      </w:pPr>
      <w:rPr>
        <w:rFonts w:ascii="Symbol" w:hAnsi="Symbol" w:hint="default"/>
      </w:rPr>
    </w:lvl>
    <w:lvl w:ilvl="4" w:tplc="A6743DD8" w:tentative="1">
      <w:start w:val="1"/>
      <w:numFmt w:val="bullet"/>
      <w:lvlText w:val="o"/>
      <w:lvlJc w:val="left"/>
      <w:pPr>
        <w:tabs>
          <w:tab w:val="num" w:pos="4677"/>
        </w:tabs>
        <w:ind w:left="4677" w:hanging="360"/>
      </w:pPr>
      <w:rPr>
        <w:rFonts w:ascii="Courier New" w:hAnsi="Courier New" w:cs="Courier New" w:hint="default"/>
      </w:rPr>
    </w:lvl>
    <w:lvl w:ilvl="5" w:tplc="DD56C70C" w:tentative="1">
      <w:start w:val="1"/>
      <w:numFmt w:val="bullet"/>
      <w:lvlText w:val=""/>
      <w:lvlJc w:val="left"/>
      <w:pPr>
        <w:tabs>
          <w:tab w:val="num" w:pos="5397"/>
        </w:tabs>
        <w:ind w:left="5397" w:hanging="360"/>
      </w:pPr>
      <w:rPr>
        <w:rFonts w:ascii="Wingdings" w:hAnsi="Wingdings" w:hint="default"/>
      </w:rPr>
    </w:lvl>
    <w:lvl w:ilvl="6" w:tplc="9FF643FC" w:tentative="1">
      <w:start w:val="1"/>
      <w:numFmt w:val="bullet"/>
      <w:lvlText w:val=""/>
      <w:lvlJc w:val="left"/>
      <w:pPr>
        <w:tabs>
          <w:tab w:val="num" w:pos="6117"/>
        </w:tabs>
        <w:ind w:left="6117" w:hanging="360"/>
      </w:pPr>
      <w:rPr>
        <w:rFonts w:ascii="Symbol" w:hAnsi="Symbol" w:hint="default"/>
      </w:rPr>
    </w:lvl>
    <w:lvl w:ilvl="7" w:tplc="94D2BB6A" w:tentative="1">
      <w:start w:val="1"/>
      <w:numFmt w:val="bullet"/>
      <w:lvlText w:val="o"/>
      <w:lvlJc w:val="left"/>
      <w:pPr>
        <w:tabs>
          <w:tab w:val="num" w:pos="6837"/>
        </w:tabs>
        <w:ind w:left="6837" w:hanging="360"/>
      </w:pPr>
      <w:rPr>
        <w:rFonts w:ascii="Courier New" w:hAnsi="Courier New" w:cs="Courier New" w:hint="default"/>
      </w:rPr>
    </w:lvl>
    <w:lvl w:ilvl="8" w:tplc="4F56059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996CB8E">
      <w:start w:val="1"/>
      <w:numFmt w:val="decimal"/>
      <w:pStyle w:val="ATSNumber2"/>
      <w:lvlText w:val="%1."/>
      <w:lvlJc w:val="left"/>
      <w:pPr>
        <w:tabs>
          <w:tab w:val="num" w:pos="720"/>
        </w:tabs>
        <w:ind w:left="720" w:hanging="360"/>
      </w:pPr>
      <w:rPr>
        <w:rFonts w:hint="default"/>
      </w:rPr>
    </w:lvl>
    <w:lvl w:ilvl="1" w:tplc="7D78E9A2" w:tentative="1">
      <w:start w:val="1"/>
      <w:numFmt w:val="lowerLetter"/>
      <w:lvlText w:val="%2."/>
      <w:lvlJc w:val="left"/>
      <w:pPr>
        <w:tabs>
          <w:tab w:val="num" w:pos="1440"/>
        </w:tabs>
        <w:ind w:left="1440" w:hanging="360"/>
      </w:pPr>
    </w:lvl>
    <w:lvl w:ilvl="2" w:tplc="95B4B464" w:tentative="1">
      <w:start w:val="1"/>
      <w:numFmt w:val="lowerRoman"/>
      <w:lvlText w:val="%3."/>
      <w:lvlJc w:val="right"/>
      <w:pPr>
        <w:tabs>
          <w:tab w:val="num" w:pos="2160"/>
        </w:tabs>
        <w:ind w:left="2160" w:hanging="180"/>
      </w:pPr>
    </w:lvl>
    <w:lvl w:ilvl="3" w:tplc="015EC852" w:tentative="1">
      <w:start w:val="1"/>
      <w:numFmt w:val="decimal"/>
      <w:lvlText w:val="%4."/>
      <w:lvlJc w:val="left"/>
      <w:pPr>
        <w:tabs>
          <w:tab w:val="num" w:pos="2880"/>
        </w:tabs>
        <w:ind w:left="2880" w:hanging="360"/>
      </w:pPr>
    </w:lvl>
    <w:lvl w:ilvl="4" w:tplc="A3C8A28C" w:tentative="1">
      <w:start w:val="1"/>
      <w:numFmt w:val="lowerLetter"/>
      <w:lvlText w:val="%5."/>
      <w:lvlJc w:val="left"/>
      <w:pPr>
        <w:tabs>
          <w:tab w:val="num" w:pos="3600"/>
        </w:tabs>
        <w:ind w:left="3600" w:hanging="360"/>
      </w:pPr>
    </w:lvl>
    <w:lvl w:ilvl="5" w:tplc="71183978" w:tentative="1">
      <w:start w:val="1"/>
      <w:numFmt w:val="lowerRoman"/>
      <w:lvlText w:val="%6."/>
      <w:lvlJc w:val="right"/>
      <w:pPr>
        <w:tabs>
          <w:tab w:val="num" w:pos="4320"/>
        </w:tabs>
        <w:ind w:left="4320" w:hanging="180"/>
      </w:pPr>
    </w:lvl>
    <w:lvl w:ilvl="6" w:tplc="12605C76" w:tentative="1">
      <w:start w:val="1"/>
      <w:numFmt w:val="decimal"/>
      <w:lvlText w:val="%7."/>
      <w:lvlJc w:val="left"/>
      <w:pPr>
        <w:tabs>
          <w:tab w:val="num" w:pos="5040"/>
        </w:tabs>
        <w:ind w:left="5040" w:hanging="360"/>
      </w:pPr>
    </w:lvl>
    <w:lvl w:ilvl="7" w:tplc="9FF889C6" w:tentative="1">
      <w:start w:val="1"/>
      <w:numFmt w:val="lowerLetter"/>
      <w:lvlText w:val="%8."/>
      <w:lvlJc w:val="left"/>
      <w:pPr>
        <w:tabs>
          <w:tab w:val="num" w:pos="5760"/>
        </w:tabs>
        <w:ind w:left="5760" w:hanging="360"/>
      </w:pPr>
    </w:lvl>
    <w:lvl w:ilvl="8" w:tplc="D08066A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3"/>
  </w:num>
  <w:num w:numId="16">
    <w:abstractNumId w:val="10"/>
  </w:num>
  <w:num w:numId="17">
    <w:abstractNumId w:val="11"/>
  </w:num>
  <w:num w:numId="18">
    <w:abstractNumId w:val="1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C2"/>
    <w:rsid w:val="004C28C2"/>
    <w:rsid w:val="00FF1F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887F6"/>
  <w15:chartTrackingRefBased/>
  <w15:docId w15:val="{8228521E-6E40-46CE-A81E-6E55BF94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annotation text" w:uiPriority="99"/>
    <w:lsdException w:name="caption" w:semiHidden="1" w:unhideWhenUsed="1"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tsheading10">
    <w:name w:val="Ats heading 1"/>
    <w:basedOn w:val="Normal"/>
    <w:next w:val="Normal"/>
    <w:rsid w:val="00FF1F3A"/>
    <w:pPr>
      <w:spacing w:before="360" w:after="240"/>
      <w:jc w:val="center"/>
    </w:pPr>
    <w:rPr>
      <w:rFonts w:ascii="Arial" w:hAnsi="Arial"/>
      <w:b/>
      <w:sz w:val="32"/>
      <w:lang w:eastAsia="en-GB"/>
    </w:rPr>
  </w:style>
  <w:style w:type="paragraph" w:customStyle="1" w:styleId="AtsNormal0">
    <w:name w:val="Ats Normal"/>
    <w:basedOn w:val="Normal"/>
    <w:rsid w:val="00FF1F3A"/>
    <w:pPr>
      <w:spacing w:before="120" w:after="120"/>
    </w:pPr>
    <w:rPr>
      <w:lang w:eastAsia="en-GB"/>
    </w:rPr>
  </w:style>
  <w:style w:type="paragraph" w:customStyle="1" w:styleId="Atsheading20">
    <w:name w:val="Ats heading 2"/>
    <w:basedOn w:val="AtsNormal0"/>
    <w:next w:val="AtsNormal0"/>
    <w:rsid w:val="00FF1F3A"/>
    <w:pPr>
      <w:spacing w:before="240"/>
    </w:pPr>
    <w:rPr>
      <w:rFonts w:ascii="Arial" w:hAnsi="Arial"/>
      <w:b/>
    </w:rPr>
  </w:style>
  <w:style w:type="paragraph" w:styleId="Textocomentario">
    <w:name w:val="annotation text"/>
    <w:basedOn w:val="Normal"/>
    <w:link w:val="TextocomentarioCar"/>
    <w:uiPriority w:val="99"/>
    <w:rsid w:val="00FF1F3A"/>
    <w:rPr>
      <w:sz w:val="20"/>
      <w:szCs w:val="20"/>
    </w:rPr>
  </w:style>
  <w:style w:type="character" w:customStyle="1" w:styleId="TextocomentarioCar">
    <w:name w:val="Texto comentario Car"/>
    <w:basedOn w:val="Fuentedeprrafopredeter"/>
    <w:link w:val="Textocomentario"/>
    <w:uiPriority w:val="99"/>
    <w:rsid w:val="00FF1F3A"/>
    <w:rPr>
      <w:lang w:val="en-GB" w:eastAsia="en-US"/>
    </w:rPr>
  </w:style>
  <w:style w:type="character" w:customStyle="1" w:styleId="ATSNormalChar">
    <w:name w:val="ATS Normal Char"/>
    <w:link w:val="ATSNormal"/>
    <w:locked/>
    <w:rsid w:val="00FF1F3A"/>
    <w:rPr>
      <w:sz w:val="22"/>
      <w:szCs w:val="24"/>
      <w:lang w:val="en-GB" w:eastAsia="en-GB"/>
    </w:rPr>
  </w:style>
  <w:style w:type="character" w:customStyle="1" w:styleId="acopre">
    <w:name w:val="acopre"/>
    <w:rsid w:val="00FF1F3A"/>
    <w:rPr>
      <w:rFonts w:cs="Times New Roman"/>
    </w:rPr>
  </w:style>
  <w:style w:type="character" w:styleId="nfasis">
    <w:name w:val="Emphasis"/>
    <w:uiPriority w:val="20"/>
    <w:qFormat/>
    <w:rsid w:val="00FF1F3A"/>
    <w:rPr>
      <w:i/>
    </w:rPr>
  </w:style>
  <w:style w:type="character" w:customStyle="1" w:styleId="hgkelc">
    <w:name w:val="hgkelc"/>
    <w:rsid w:val="00FF1F3A"/>
    <w:rPr>
      <w:rFonts w:cs="Times New Roman"/>
    </w:rPr>
  </w:style>
  <w:style w:type="character" w:styleId="Refdecomentario">
    <w:name w:val="annotation reference"/>
    <w:basedOn w:val="Fuentedeprrafopredeter"/>
    <w:rsid w:val="00FF1F3A"/>
    <w:rPr>
      <w:sz w:val="16"/>
      <w:szCs w:val="16"/>
    </w:rPr>
  </w:style>
  <w:style w:type="paragraph" w:styleId="Asuntodelcomentario">
    <w:name w:val="annotation subject"/>
    <w:basedOn w:val="Textocomentario"/>
    <w:next w:val="Textocomentario"/>
    <w:link w:val="AsuntodelcomentarioCar"/>
    <w:rsid w:val="00FF1F3A"/>
    <w:rPr>
      <w:b/>
      <w:bCs/>
    </w:rPr>
  </w:style>
  <w:style w:type="character" w:customStyle="1" w:styleId="AsuntodelcomentarioCar">
    <w:name w:val="Asunto del comentario Car"/>
    <w:basedOn w:val="TextocomentarioCar"/>
    <w:link w:val="Asuntodelcomentario"/>
    <w:rsid w:val="00FF1F3A"/>
    <w:rPr>
      <w:b/>
      <w:bCs/>
      <w:lang w:val="en-GB" w:eastAsia="en-US"/>
    </w:rPr>
  </w:style>
  <w:style w:type="character" w:customStyle="1" w:styleId="UnresolvedMention1">
    <w:name w:val="Unresolved Mention1"/>
    <w:basedOn w:val="Fuentedeprrafopredeter"/>
    <w:uiPriority w:val="99"/>
    <w:semiHidden/>
    <w:unhideWhenUsed/>
    <w:rsid w:val="00FF1F3A"/>
    <w:rPr>
      <w:color w:val="605E5C"/>
      <w:shd w:val="clear" w:color="auto" w:fill="E1DFDD"/>
    </w:rPr>
  </w:style>
  <w:style w:type="paragraph" w:styleId="Revisin">
    <w:name w:val="Revision"/>
    <w:hidden/>
    <w:uiPriority w:val="99"/>
    <w:semiHidden/>
    <w:rsid w:val="00FF1F3A"/>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BB%201\Box%20Sync\OPERATIONS\IAATO%20Tourism%20Stats%20DO%20NOT%20MOVE\Site%20Use%20overall%20trend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BB%201\Desktop\ATCM%20XLIII\Excel%20Sheets\5%20Years%20Site%20visi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8268232241393796E-2"/>
          <c:y val="5.6614796031851898E-2"/>
          <c:w val="0.86758620689655197"/>
          <c:h val="0.73755656108597301"/>
        </c:manualLayout>
      </c:layout>
      <c:lineChart>
        <c:grouping val="standard"/>
        <c:varyColors val="0"/>
        <c:ser>
          <c:idx val="0"/>
          <c:order val="0"/>
          <c:tx>
            <c:strRef>
              <c:f>Data!$I$2</c:f>
              <c:strCache>
                <c:ptCount val="1"/>
                <c:pt idx="0">
                  <c:v>passengers</c:v>
                </c:pt>
              </c:strCache>
            </c:strRef>
          </c:tx>
          <c:spPr>
            <a:ln w="47625" cap="rnd" cmpd="sng" algn="ctr">
              <a:solidFill>
                <a:schemeClr val="accent1">
                  <a:shade val="95000"/>
                  <a:satMod val="105000"/>
                </a:schemeClr>
              </a:solidFill>
              <a:prstDash val="solid"/>
              <a:round/>
            </a:ln>
            <a:effectLst/>
          </c:spPr>
          <c:marker>
            <c:symbol val="none"/>
          </c:marker>
          <c:cat>
            <c:strRef>
              <c:f>Data!$H$3:$H$34</c:f>
              <c:strCache>
                <c:ptCount val="32"/>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strCache>
            </c:strRef>
          </c:cat>
          <c:val>
            <c:numRef>
              <c:f>Data!$I$3:$I$34</c:f>
              <c:numCache>
                <c:formatCode>General</c:formatCode>
                <c:ptCount val="32"/>
                <c:pt idx="0">
                  <c:v>1</c:v>
                </c:pt>
                <c:pt idx="1">
                  <c:v>1.9097560975609755</c:v>
                </c:pt>
                <c:pt idx="2">
                  <c:v>2.5678861788617886</c:v>
                </c:pt>
                <c:pt idx="3">
                  <c:v>2.7252032520325202</c:v>
                </c:pt>
                <c:pt idx="4">
                  <c:v>3.2345528455284551</c:v>
                </c:pt>
                <c:pt idx="5">
                  <c:v>3.2918699186991871</c:v>
                </c:pt>
                <c:pt idx="6">
                  <c:v>3.7800813008130083</c:v>
                </c:pt>
                <c:pt idx="7">
                  <c:v>2.9764227642276424</c:v>
                </c:pt>
                <c:pt idx="8">
                  <c:v>3.8508130081300811</c:v>
                </c:pt>
                <c:pt idx="9">
                  <c:v>4.0703252032520325</c:v>
                </c:pt>
                <c:pt idx="10">
                  <c:v>5.2845528455284549</c:v>
                </c:pt>
                <c:pt idx="11">
                  <c:v>4.7060975609756097</c:v>
                </c:pt>
                <c:pt idx="12">
                  <c:v>4.4552845528455283</c:v>
                </c:pt>
                <c:pt idx="13">
                  <c:v>5.1971544715447155</c:v>
                </c:pt>
                <c:pt idx="14">
                  <c:v>7.8764227642276419</c:v>
                </c:pt>
                <c:pt idx="15">
                  <c:v>8.8394308943089435</c:v>
                </c:pt>
                <c:pt idx="16">
                  <c:v>9.8252032520325212</c:v>
                </c:pt>
                <c:pt idx="17">
                  <c:v>11.329674796747968</c:v>
                </c:pt>
                <c:pt idx="18">
                  <c:v>12.744715447154471</c:v>
                </c:pt>
                <c:pt idx="19">
                  <c:v>10.46219512195122</c:v>
                </c:pt>
                <c:pt idx="20">
                  <c:v>8.5548780487804876</c:v>
                </c:pt>
                <c:pt idx="21">
                  <c:v>7.5239837398373988</c:v>
                </c:pt>
                <c:pt idx="22">
                  <c:v>7.8280487804878049</c:v>
                </c:pt>
                <c:pt idx="23">
                  <c:v>9.7382113821138212</c:v>
                </c:pt>
                <c:pt idx="24">
                  <c:v>10.77520325203252</c:v>
                </c:pt>
                <c:pt idx="25">
                  <c:v>10.695934959349593</c:v>
                </c:pt>
                <c:pt idx="26">
                  <c:v>11.989024390243902</c:v>
                </c:pt>
                <c:pt idx="27">
                  <c:v>13.650406504065041</c:v>
                </c:pt>
                <c:pt idx="28">
                  <c:v>16.876829268292681</c:v>
                </c:pt>
                <c:pt idx="29">
                  <c:v>18.009349593495934</c:v>
                </c:pt>
                <c:pt idx="30">
                  <c:v>22.148373983739837</c:v>
                </c:pt>
                <c:pt idx="31">
                  <c:v>0</c:v>
                </c:pt>
              </c:numCache>
            </c:numRef>
          </c:val>
          <c:smooth val="0"/>
          <c:extLst>
            <c:ext xmlns:c16="http://schemas.microsoft.com/office/drawing/2014/chart" uri="{C3380CC4-5D6E-409C-BE32-E72D297353CC}">
              <c16:uniqueId val="{00000000-4A8C-481B-BEA8-ADDD2AA71BD6}"/>
            </c:ext>
          </c:extLst>
        </c:ser>
        <c:ser>
          <c:idx val="1"/>
          <c:order val="1"/>
          <c:tx>
            <c:strRef>
              <c:f>Data!$J$2</c:f>
              <c:strCache>
                <c:ptCount val="1"/>
                <c:pt idx="0">
                  <c:v>ships</c:v>
                </c:pt>
              </c:strCache>
            </c:strRef>
          </c:tx>
          <c:spPr>
            <a:ln w="47625" cap="rnd" cmpd="sng" algn="ctr">
              <a:solidFill>
                <a:schemeClr val="accent2">
                  <a:shade val="95000"/>
                  <a:satMod val="105000"/>
                </a:schemeClr>
              </a:solidFill>
              <a:prstDash val="solid"/>
              <a:round/>
            </a:ln>
            <a:effectLst/>
          </c:spPr>
          <c:marker>
            <c:symbol val="none"/>
          </c:marker>
          <c:cat>
            <c:strRef>
              <c:f>Data!$H$3:$H$34</c:f>
              <c:strCache>
                <c:ptCount val="32"/>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strCache>
            </c:strRef>
          </c:cat>
          <c:val>
            <c:numRef>
              <c:f>Data!$J$3:$J$34</c:f>
              <c:numCache>
                <c:formatCode>General</c:formatCode>
                <c:ptCount val="32"/>
                <c:pt idx="0">
                  <c:v>1</c:v>
                </c:pt>
                <c:pt idx="1">
                  <c:v>1.6</c:v>
                </c:pt>
                <c:pt idx="2">
                  <c:v>2</c:v>
                </c:pt>
                <c:pt idx="3">
                  <c:v>2.4</c:v>
                </c:pt>
                <c:pt idx="4">
                  <c:v>2.2000000000000002</c:v>
                </c:pt>
                <c:pt idx="5">
                  <c:v>2.8</c:v>
                </c:pt>
                <c:pt idx="6">
                  <c:v>3</c:v>
                </c:pt>
                <c:pt idx="7">
                  <c:v>2.6</c:v>
                </c:pt>
                <c:pt idx="8">
                  <c:v>2.6</c:v>
                </c:pt>
                <c:pt idx="9">
                  <c:v>3</c:v>
                </c:pt>
                <c:pt idx="10">
                  <c:v>3</c:v>
                </c:pt>
                <c:pt idx="11">
                  <c:v>3</c:v>
                </c:pt>
                <c:pt idx="12">
                  <c:v>2.8</c:v>
                </c:pt>
                <c:pt idx="13">
                  <c:v>3.4</c:v>
                </c:pt>
                <c:pt idx="14">
                  <c:v>4.5999999999999996</c:v>
                </c:pt>
                <c:pt idx="15">
                  <c:v>5.4</c:v>
                </c:pt>
                <c:pt idx="16">
                  <c:v>6</c:v>
                </c:pt>
                <c:pt idx="17">
                  <c:v>6.8</c:v>
                </c:pt>
                <c:pt idx="18">
                  <c:v>6.6</c:v>
                </c:pt>
                <c:pt idx="19">
                  <c:v>6</c:v>
                </c:pt>
                <c:pt idx="20">
                  <c:v>5.2</c:v>
                </c:pt>
                <c:pt idx="21">
                  <c:v>4.2</c:v>
                </c:pt>
                <c:pt idx="22">
                  <c:v>4</c:v>
                </c:pt>
                <c:pt idx="23">
                  <c:v>4.4000000000000004</c:v>
                </c:pt>
                <c:pt idx="24">
                  <c:v>4.8</c:v>
                </c:pt>
                <c:pt idx="25">
                  <c:v>4.5999999999999996</c:v>
                </c:pt>
                <c:pt idx="26">
                  <c:v>5</c:v>
                </c:pt>
                <c:pt idx="27">
                  <c:v>5.6</c:v>
                </c:pt>
                <c:pt idx="28">
                  <c:v>6</c:v>
                </c:pt>
                <c:pt idx="29">
                  <c:v>6.4</c:v>
                </c:pt>
                <c:pt idx="30">
                  <c:v>7.4</c:v>
                </c:pt>
                <c:pt idx="31">
                  <c:v>0</c:v>
                </c:pt>
              </c:numCache>
            </c:numRef>
          </c:val>
          <c:smooth val="0"/>
          <c:extLst>
            <c:ext xmlns:c16="http://schemas.microsoft.com/office/drawing/2014/chart" uri="{C3380CC4-5D6E-409C-BE32-E72D297353CC}">
              <c16:uniqueId val="{00000001-4A8C-481B-BEA8-ADDD2AA71BD6}"/>
            </c:ext>
          </c:extLst>
        </c:ser>
        <c:ser>
          <c:idx val="2"/>
          <c:order val="2"/>
          <c:tx>
            <c:strRef>
              <c:f>Data!$K$2</c:f>
              <c:strCache>
                <c:ptCount val="1"/>
                <c:pt idx="0">
                  <c:v>voyages</c:v>
                </c:pt>
              </c:strCache>
            </c:strRef>
          </c:tx>
          <c:spPr>
            <a:ln w="47625" cap="rnd" cmpd="sng" algn="ctr">
              <a:solidFill>
                <a:schemeClr val="accent3">
                  <a:shade val="95000"/>
                  <a:satMod val="105000"/>
                </a:schemeClr>
              </a:solidFill>
              <a:prstDash val="solid"/>
              <a:round/>
            </a:ln>
            <a:effectLst/>
          </c:spPr>
          <c:marker>
            <c:symbol val="none"/>
          </c:marker>
          <c:cat>
            <c:strRef>
              <c:f>Data!$H$3:$H$34</c:f>
              <c:strCache>
                <c:ptCount val="32"/>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strCache>
            </c:strRef>
          </c:cat>
          <c:val>
            <c:numRef>
              <c:f>Data!$K$3:$K$34</c:f>
              <c:numCache>
                <c:formatCode>General</c:formatCode>
                <c:ptCount val="32"/>
                <c:pt idx="0">
                  <c:v>1</c:v>
                </c:pt>
                <c:pt idx="1">
                  <c:v>1.2380952380952381</c:v>
                </c:pt>
                <c:pt idx="2">
                  <c:v>2.1904761904761907</c:v>
                </c:pt>
                <c:pt idx="3">
                  <c:v>2.7142857142857144</c:v>
                </c:pt>
                <c:pt idx="4">
                  <c:v>3</c:v>
                </c:pt>
                <c:pt idx="5">
                  <c:v>4.333333333333333</c:v>
                </c:pt>
                <c:pt idx="6">
                  <c:v>5.1904761904761907</c:v>
                </c:pt>
                <c:pt idx="7">
                  <c:v>4.5714285714285712</c:v>
                </c:pt>
                <c:pt idx="8">
                  <c:v>4.1904761904761907</c:v>
                </c:pt>
                <c:pt idx="9">
                  <c:v>5.2857142857142856</c:v>
                </c:pt>
                <c:pt idx="10">
                  <c:v>6.6190476190476186</c:v>
                </c:pt>
                <c:pt idx="11">
                  <c:v>5.1904761904761907</c:v>
                </c:pt>
                <c:pt idx="12">
                  <c:v>5.1904761904761907</c:v>
                </c:pt>
                <c:pt idx="13">
                  <c:v>5.9047619047619051</c:v>
                </c:pt>
                <c:pt idx="14">
                  <c:v>7.666666666666667</c:v>
                </c:pt>
                <c:pt idx="15">
                  <c:v>9.4761904761904763</c:v>
                </c:pt>
                <c:pt idx="16">
                  <c:v>10.476190476190476</c:v>
                </c:pt>
                <c:pt idx="17">
                  <c:v>11.523809523809524</c:v>
                </c:pt>
                <c:pt idx="18">
                  <c:v>11.761904761904763</c:v>
                </c:pt>
                <c:pt idx="19">
                  <c:v>11.619047619047619</c:v>
                </c:pt>
                <c:pt idx="20">
                  <c:v>9.3333333333333339</c:v>
                </c:pt>
                <c:pt idx="21">
                  <c:v>8.5714285714285712</c:v>
                </c:pt>
                <c:pt idx="22">
                  <c:v>8.2380952380952372</c:v>
                </c:pt>
                <c:pt idx="23">
                  <c:v>9.6190476190476186</c:v>
                </c:pt>
                <c:pt idx="24">
                  <c:v>10.476190476190476</c:v>
                </c:pt>
                <c:pt idx="25">
                  <c:v>10.714285714285714</c:v>
                </c:pt>
                <c:pt idx="26">
                  <c:v>11.238095238095237</c:v>
                </c:pt>
                <c:pt idx="27">
                  <c:v>12.047619047619047</c:v>
                </c:pt>
                <c:pt idx="28">
                  <c:v>13.952380952380953</c:v>
                </c:pt>
                <c:pt idx="29">
                  <c:v>15.428571428571429</c:v>
                </c:pt>
                <c:pt idx="30">
                  <c:v>17.476190476190474</c:v>
                </c:pt>
                <c:pt idx="31">
                  <c:v>0</c:v>
                </c:pt>
              </c:numCache>
            </c:numRef>
          </c:val>
          <c:smooth val="0"/>
          <c:extLst>
            <c:ext xmlns:c16="http://schemas.microsoft.com/office/drawing/2014/chart" uri="{C3380CC4-5D6E-409C-BE32-E72D297353CC}">
              <c16:uniqueId val="{00000002-4A8C-481B-BEA8-ADDD2AA71BD6}"/>
            </c:ext>
          </c:extLst>
        </c:ser>
        <c:ser>
          <c:idx val="3"/>
          <c:order val="3"/>
          <c:tx>
            <c:strRef>
              <c:f>Data!$L$2</c:f>
              <c:strCache>
                <c:ptCount val="1"/>
                <c:pt idx="0">
                  <c:v>landings</c:v>
                </c:pt>
              </c:strCache>
            </c:strRef>
          </c:tx>
          <c:spPr>
            <a:ln w="47625" cap="rnd" cmpd="sng" algn="ctr">
              <a:solidFill>
                <a:schemeClr val="accent4">
                  <a:shade val="95000"/>
                  <a:satMod val="105000"/>
                </a:schemeClr>
              </a:solidFill>
              <a:prstDash val="solid"/>
              <a:round/>
            </a:ln>
            <a:effectLst/>
          </c:spPr>
          <c:marker>
            <c:symbol val="none"/>
          </c:marker>
          <c:cat>
            <c:strRef>
              <c:f>Data!$H$3:$H$34</c:f>
              <c:strCache>
                <c:ptCount val="32"/>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strCache>
            </c:strRef>
          </c:cat>
          <c:val>
            <c:numRef>
              <c:f>Data!$L$3:$L$34</c:f>
              <c:numCache>
                <c:formatCode>General</c:formatCode>
                <c:ptCount val="32"/>
                <c:pt idx="0">
                  <c:v>1</c:v>
                </c:pt>
                <c:pt idx="1">
                  <c:v>0.9707602339181286</c:v>
                </c:pt>
                <c:pt idx="2">
                  <c:v>1.9532163742690059</c:v>
                </c:pt>
                <c:pt idx="3">
                  <c:v>2.064327485380117</c:v>
                </c:pt>
                <c:pt idx="4">
                  <c:v>2.9181286549707601</c:v>
                </c:pt>
                <c:pt idx="5">
                  <c:v>4.192982456140351</c:v>
                </c:pt>
                <c:pt idx="6">
                  <c:v>4.6725146198830405</c:v>
                </c:pt>
                <c:pt idx="7">
                  <c:v>4.5730994152046787</c:v>
                </c:pt>
                <c:pt idx="8">
                  <c:v>4.1812865497076022</c:v>
                </c:pt>
                <c:pt idx="9">
                  <c:v>4.9005847953216373</c:v>
                </c:pt>
                <c:pt idx="10">
                  <c:v>6.3216374269005851</c:v>
                </c:pt>
                <c:pt idx="11">
                  <c:v>5.9473684210526319</c:v>
                </c:pt>
                <c:pt idx="12">
                  <c:v>5.0584795321637426</c:v>
                </c:pt>
                <c:pt idx="13">
                  <c:v>6.5438596491228074</c:v>
                </c:pt>
                <c:pt idx="14">
                  <c:v>7.7076023391812862</c:v>
                </c:pt>
                <c:pt idx="15">
                  <c:v>9.0058479532163744</c:v>
                </c:pt>
                <c:pt idx="16">
                  <c:v>12.309941520467836</c:v>
                </c:pt>
                <c:pt idx="17">
                  <c:v>12.56140350877193</c:v>
                </c:pt>
                <c:pt idx="18">
                  <c:v>12.888888888888889</c:v>
                </c:pt>
                <c:pt idx="19">
                  <c:v>12.508771929824562</c:v>
                </c:pt>
                <c:pt idx="20">
                  <c:v>11.538011695906432</c:v>
                </c:pt>
                <c:pt idx="21">
                  <c:v>10.625730994152047</c:v>
                </c:pt>
                <c:pt idx="22">
                  <c:v>10.538011695906432</c:v>
                </c:pt>
                <c:pt idx="23">
                  <c:v>11.947368421052632</c:v>
                </c:pt>
                <c:pt idx="24">
                  <c:v>12.666666666666666</c:v>
                </c:pt>
                <c:pt idx="25">
                  <c:v>12.888888888888889</c:v>
                </c:pt>
                <c:pt idx="26">
                  <c:v>12.900584795321638</c:v>
                </c:pt>
                <c:pt idx="27">
                  <c:v>14.192982456140351</c:v>
                </c:pt>
                <c:pt idx="28">
                  <c:v>15.666666666666666</c:v>
                </c:pt>
                <c:pt idx="29">
                  <c:v>15.888888888888889</c:v>
                </c:pt>
                <c:pt idx="30">
                  <c:v>18.847953216374268</c:v>
                </c:pt>
                <c:pt idx="31">
                  <c:v>0</c:v>
                </c:pt>
              </c:numCache>
            </c:numRef>
          </c:val>
          <c:smooth val="0"/>
          <c:extLst>
            <c:ext xmlns:c16="http://schemas.microsoft.com/office/drawing/2014/chart" uri="{C3380CC4-5D6E-409C-BE32-E72D297353CC}">
              <c16:uniqueId val="{00000003-4A8C-481B-BEA8-ADDD2AA71BD6}"/>
            </c:ext>
          </c:extLst>
        </c:ser>
        <c:ser>
          <c:idx val="4"/>
          <c:order val="4"/>
          <c:tx>
            <c:strRef>
              <c:f>Data!$M$2</c:f>
              <c:strCache>
                <c:ptCount val="1"/>
                <c:pt idx="0">
                  <c:v>sites used</c:v>
                </c:pt>
              </c:strCache>
            </c:strRef>
          </c:tx>
          <c:spPr>
            <a:ln w="47625" cap="rnd" cmpd="sng" algn="ctr">
              <a:solidFill>
                <a:srgbClr val="00B050"/>
              </a:solidFill>
              <a:prstDash val="solid"/>
              <a:round/>
            </a:ln>
            <a:effectLst/>
          </c:spPr>
          <c:marker>
            <c:symbol val="none"/>
          </c:marker>
          <c:cat>
            <c:strRef>
              <c:f>Data!$H$3:$H$34</c:f>
              <c:strCache>
                <c:ptCount val="32"/>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strCache>
            </c:strRef>
          </c:cat>
          <c:val>
            <c:numRef>
              <c:f>Data!$M$3:$M$34</c:f>
              <c:numCache>
                <c:formatCode>General</c:formatCode>
                <c:ptCount val="32"/>
                <c:pt idx="0">
                  <c:v>1</c:v>
                </c:pt>
                <c:pt idx="1">
                  <c:v>1.0689655172413792</c:v>
                </c:pt>
                <c:pt idx="2">
                  <c:v>1.5172413793103448</c:v>
                </c:pt>
                <c:pt idx="3">
                  <c:v>1.5862068965517242</c:v>
                </c:pt>
                <c:pt idx="4">
                  <c:v>2.1379310344827585</c:v>
                </c:pt>
                <c:pt idx="5">
                  <c:v>2.4482758620689653</c:v>
                </c:pt>
                <c:pt idx="6">
                  <c:v>2.3448275862068964</c:v>
                </c:pt>
                <c:pt idx="7">
                  <c:v>2.6551724137931036</c:v>
                </c:pt>
                <c:pt idx="8">
                  <c:v>2.4827586206896552</c:v>
                </c:pt>
                <c:pt idx="9">
                  <c:v>2.8620689655172415</c:v>
                </c:pt>
                <c:pt idx="10">
                  <c:v>2.9655172413793105</c:v>
                </c:pt>
                <c:pt idx="11">
                  <c:v>3.4827586206896552</c:v>
                </c:pt>
                <c:pt idx="12">
                  <c:v>3.2413793103448274</c:v>
                </c:pt>
                <c:pt idx="13">
                  <c:v>3.4137931034482758</c:v>
                </c:pt>
                <c:pt idx="14">
                  <c:v>3.3103448275862069</c:v>
                </c:pt>
                <c:pt idx="15">
                  <c:v>3.7241379310344827</c:v>
                </c:pt>
                <c:pt idx="16">
                  <c:v>3.9310344827586206</c:v>
                </c:pt>
                <c:pt idx="17">
                  <c:v>3.9655172413793105</c:v>
                </c:pt>
                <c:pt idx="18">
                  <c:v>3.9310344827586206</c:v>
                </c:pt>
                <c:pt idx="19">
                  <c:v>3.896551724137931</c:v>
                </c:pt>
                <c:pt idx="20">
                  <c:v>3.896551724137931</c:v>
                </c:pt>
                <c:pt idx="21">
                  <c:v>3.9655172413793105</c:v>
                </c:pt>
                <c:pt idx="22">
                  <c:v>4.0344827586206895</c:v>
                </c:pt>
                <c:pt idx="23">
                  <c:v>4.1034482758620694</c:v>
                </c:pt>
                <c:pt idx="24">
                  <c:v>4</c:v>
                </c:pt>
                <c:pt idx="25">
                  <c:v>4.3103448275862073</c:v>
                </c:pt>
                <c:pt idx="26">
                  <c:v>4.3103448275862073</c:v>
                </c:pt>
                <c:pt idx="27">
                  <c:v>3.8275862068965516</c:v>
                </c:pt>
                <c:pt idx="28">
                  <c:v>5.7241379310344831</c:v>
                </c:pt>
                <c:pt idx="29">
                  <c:v>6.4482758620689653</c:v>
                </c:pt>
                <c:pt idx="30">
                  <c:v>7.4137931034482758</c:v>
                </c:pt>
                <c:pt idx="31">
                  <c:v>0</c:v>
                </c:pt>
              </c:numCache>
            </c:numRef>
          </c:val>
          <c:smooth val="0"/>
          <c:extLst>
            <c:ext xmlns:c16="http://schemas.microsoft.com/office/drawing/2014/chart" uri="{C3380CC4-5D6E-409C-BE32-E72D297353CC}">
              <c16:uniqueId val="{00000004-4A8C-481B-BEA8-ADDD2AA71BD6}"/>
            </c:ext>
          </c:extLst>
        </c:ser>
        <c:dLbls>
          <c:showLegendKey val="0"/>
          <c:showVal val="0"/>
          <c:showCatName val="0"/>
          <c:showSerName val="0"/>
          <c:showPercent val="0"/>
          <c:showBubbleSize val="0"/>
        </c:dLbls>
        <c:smooth val="0"/>
        <c:axId val="114768896"/>
        <c:axId val="114771072"/>
      </c:lineChart>
      <c:catAx>
        <c:axId val="1147688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Austral Summer Season</a:t>
                </a:r>
              </a:p>
            </c:rich>
          </c:tx>
          <c:layout>
            <c:manualLayout>
              <c:xMode val="edge"/>
              <c:yMode val="edge"/>
              <c:x val="0.41655177280709599"/>
              <c:y val="0.94343894301347897"/>
            </c:manualLayout>
          </c:layout>
          <c:overlay val="0"/>
          <c:spPr>
            <a:noFill/>
            <a:ln w="25400">
              <a:noFill/>
            </a:ln>
            <a:effectLst/>
          </c:spPr>
        </c:title>
        <c:numFmt formatCode="General" sourceLinked="1"/>
        <c:majorTickMark val="out"/>
        <c:minorTickMark val="none"/>
        <c:tickLblPos val="nextTo"/>
        <c:spPr>
          <a:noFill/>
          <a:ln w="3175" cap="flat" cmpd="sng" algn="ctr">
            <a:solidFill>
              <a:srgbClr val="808080"/>
            </a:solidFill>
            <a:prstDash val="solid"/>
            <a:round/>
          </a:ln>
          <a:effectLst/>
        </c:spPr>
        <c:txPr>
          <a:bodyPr rot="-2700000" spcFirstLastPara="1" vertOverflow="ellipsis" wrap="square" anchor="ctr" anchorCtr="1"/>
          <a:lstStyle/>
          <a:p>
            <a:pPr>
              <a:defRPr sz="1000" b="0" i="0" u="none" strike="noStrike" kern="1200" baseline="0">
                <a:solidFill>
                  <a:schemeClr val="tx1"/>
                </a:solidFill>
                <a:latin typeface="+mn-lt"/>
                <a:ea typeface="+mn-ea"/>
                <a:cs typeface="+mn-cs"/>
              </a:defRPr>
            </a:pPr>
            <a:endParaRPr lang="es-AR"/>
          </a:p>
        </c:txPr>
        <c:crossAx val="114771072"/>
        <c:crosses val="autoZero"/>
        <c:auto val="1"/>
        <c:lblAlgn val="ctr"/>
        <c:lblOffset val="100"/>
        <c:tickLblSkip val="1"/>
        <c:tickMarkSkip val="1"/>
        <c:noMultiLvlLbl val="0"/>
      </c:catAx>
      <c:valAx>
        <c:axId val="114771072"/>
        <c:scaling>
          <c:orientation val="minMax"/>
        </c:scaling>
        <c:delete val="0"/>
        <c:axPos val="l"/>
        <c:majorGridlines>
          <c:spPr>
            <a:ln w="3175" cap="flat" cmpd="sng" algn="ctr">
              <a:solidFill>
                <a:srgbClr val="808080"/>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Factor increase</a:t>
                </a:r>
              </a:p>
            </c:rich>
          </c:tx>
          <c:layout>
            <c:manualLayout>
              <c:xMode val="edge"/>
              <c:yMode val="edge"/>
              <c:x val="1.24137481780651E-2"/>
              <c:y val="0.384615329863428"/>
            </c:manualLayout>
          </c:layout>
          <c:overlay val="0"/>
          <c:spPr>
            <a:noFill/>
            <a:ln w="25400">
              <a:noFill/>
            </a:ln>
            <a:effectLst/>
          </c:spPr>
        </c:title>
        <c:numFmt formatCode="General" sourceLinked="1"/>
        <c:majorTickMark val="out"/>
        <c:minorTickMark val="none"/>
        <c:tickLblPos val="nextTo"/>
        <c:spPr>
          <a:noFill/>
          <a:ln w="3175" cap="flat" cmpd="sng" algn="ctr">
            <a:solidFill>
              <a:srgbClr val="808080"/>
            </a:solidFill>
            <a:prstDash val="solid"/>
            <a:round/>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es-AR"/>
          </a:p>
        </c:txPr>
        <c:crossAx val="114768896"/>
        <c:crosses val="autoZero"/>
        <c:crossBetween val="between"/>
      </c:valAx>
      <c:spPr>
        <a:solidFill>
          <a:srgbClr val="FFFFFF"/>
        </a:solidFill>
        <a:ln w="25400">
          <a:noFill/>
        </a:ln>
        <a:effectLst/>
      </c:spPr>
    </c:plotArea>
    <c:legend>
      <c:legendPos val="r"/>
      <c:layout>
        <c:manualLayout>
          <c:xMode val="edge"/>
          <c:yMode val="edge"/>
          <c:x val="0.19023408256035201"/>
          <c:y val="7.4701443058518904E-2"/>
          <c:w val="0.21617510229521961"/>
          <c:h val="0.31161987029455845"/>
        </c:manualLayout>
      </c:layout>
      <c:overlay val="0"/>
      <c:spPr>
        <a:noFill/>
        <a:ln w="25400">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legend>
    <c:plotVisOnly val="1"/>
    <c:dispBlanksAs val="gap"/>
    <c:showDLblsOverMax val="0"/>
  </c:chart>
  <c:spPr>
    <a:solidFill>
      <a:srgbClr val="FFFFFF"/>
    </a:solidFill>
    <a:ln w="3175" cap="flat" cmpd="sng" algn="ctr">
      <a:solidFill>
        <a:srgbClr val="808080"/>
      </a:solidFill>
      <a:prstDash val="solid"/>
      <a:round/>
    </a:ln>
    <a:effectLst/>
  </c:spPr>
  <c:txPr>
    <a:bodyPr/>
    <a:lstStyle/>
    <a:p>
      <a:pPr>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y-GB" sz="1400" b="0" i="0" u="none" strike="noStrike" baseline="0">
                <a:effectLst/>
              </a:rPr>
              <a:t>Top Twenty Most-Visited Sites between 2015</a:t>
            </a:r>
            <a:r>
              <a:rPr lang="en-US" sz="1400" b="0" i="0" u="none" strike="noStrike" baseline="0">
                <a:effectLst/>
              </a:rPr>
              <a:t>–</a:t>
            </a:r>
            <a:r>
              <a:rPr lang="cy-GB" sz="1400" b="0" i="0" u="none" strike="noStrike" baseline="0">
                <a:effectLst/>
              </a:rPr>
              <a:t>20 Seasons</a:t>
            </a:r>
            <a:r>
              <a:rPr lang="en-GB" sz="1400" b="0" i="0" u="none" strike="noStrike" baseline="0">
                <a:effectLst/>
              </a:rPr>
              <a:t> </a:t>
            </a:r>
            <a:endParaRPr lang="en-GB"/>
          </a:p>
        </c:rich>
      </c:tx>
      <c:overlay val="0"/>
      <c:spPr>
        <a:noFill/>
        <a:ln>
          <a:noFill/>
        </a:ln>
        <a:effectLst/>
      </c:spPr>
    </c:title>
    <c:autoTitleDeleted val="0"/>
    <c:plotArea>
      <c:layout/>
      <c:barChart>
        <c:barDir val="col"/>
        <c:grouping val="clustered"/>
        <c:varyColors val="0"/>
        <c:ser>
          <c:idx val="0"/>
          <c:order val="0"/>
          <c:tx>
            <c:strRef>
              <c:f>'5 Years'!$B$2</c:f>
              <c:strCache>
                <c:ptCount val="1"/>
                <c:pt idx="0">
                  <c:v>2015-16</c:v>
                </c:pt>
              </c:strCache>
            </c:strRef>
          </c:tx>
          <c:spPr>
            <a:solidFill>
              <a:schemeClr val="accent1">
                <a:lumMod val="50000"/>
              </a:schemeClr>
            </a:solidFill>
            <a:ln>
              <a:noFill/>
            </a:ln>
            <a:effectLst/>
          </c:spPr>
          <c:invertIfNegative val="0"/>
          <c:cat>
            <c:strRef>
              <c:f>'5 Years'!$A$3:$A$22</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'5 Years'!$B$3:$B$22</c:f>
              <c:numCache>
                <c:formatCode>General</c:formatCode>
                <c:ptCount val="20"/>
                <c:pt idx="0">
                  <c:v>150</c:v>
                </c:pt>
                <c:pt idx="1">
                  <c:v>135</c:v>
                </c:pt>
                <c:pt idx="2">
                  <c:v>134</c:v>
                </c:pt>
                <c:pt idx="3">
                  <c:v>134</c:v>
                </c:pt>
                <c:pt idx="4">
                  <c:v>112</c:v>
                </c:pt>
                <c:pt idx="5">
                  <c:v>84</c:v>
                </c:pt>
                <c:pt idx="6">
                  <c:v>77</c:v>
                </c:pt>
                <c:pt idx="7">
                  <c:v>75</c:v>
                </c:pt>
                <c:pt idx="8">
                  <c:v>74</c:v>
                </c:pt>
                <c:pt idx="9">
                  <c:v>72</c:v>
                </c:pt>
                <c:pt idx="10">
                  <c:v>71</c:v>
                </c:pt>
                <c:pt idx="11">
                  <c:v>61</c:v>
                </c:pt>
                <c:pt idx="12">
                  <c:v>53</c:v>
                </c:pt>
                <c:pt idx="13">
                  <c:v>41</c:v>
                </c:pt>
                <c:pt idx="14">
                  <c:v>38</c:v>
                </c:pt>
                <c:pt idx="15">
                  <c:v>35</c:v>
                </c:pt>
                <c:pt idx="16">
                  <c:v>35</c:v>
                </c:pt>
                <c:pt idx="17">
                  <c:v>34</c:v>
                </c:pt>
                <c:pt idx="18">
                  <c:v>32</c:v>
                </c:pt>
                <c:pt idx="19">
                  <c:v>30</c:v>
                </c:pt>
              </c:numCache>
            </c:numRef>
          </c:val>
          <c:extLst>
            <c:ext xmlns:c16="http://schemas.microsoft.com/office/drawing/2014/chart" uri="{C3380CC4-5D6E-409C-BE32-E72D297353CC}">
              <c16:uniqueId val="{00000000-1F9F-4D41-B3ED-9A7775205648}"/>
            </c:ext>
          </c:extLst>
        </c:ser>
        <c:ser>
          <c:idx val="1"/>
          <c:order val="1"/>
          <c:tx>
            <c:strRef>
              <c:f>'5 Years'!$C$2</c:f>
              <c:strCache>
                <c:ptCount val="1"/>
                <c:pt idx="0">
                  <c:v>2016-17</c:v>
                </c:pt>
              </c:strCache>
            </c:strRef>
          </c:tx>
          <c:spPr>
            <a:solidFill>
              <a:schemeClr val="accent2"/>
            </a:solidFill>
            <a:ln>
              <a:noFill/>
            </a:ln>
            <a:effectLst/>
          </c:spPr>
          <c:invertIfNegative val="0"/>
          <c:cat>
            <c:strRef>
              <c:f>'5 Years'!$A$3:$A$22</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'5 Years'!$C$3:$C$22</c:f>
              <c:numCache>
                <c:formatCode>General</c:formatCode>
                <c:ptCount val="20"/>
                <c:pt idx="0">
                  <c:v>149</c:v>
                </c:pt>
                <c:pt idx="1">
                  <c:v>116</c:v>
                </c:pt>
                <c:pt idx="2">
                  <c:v>159</c:v>
                </c:pt>
                <c:pt idx="3">
                  <c:v>154</c:v>
                </c:pt>
                <c:pt idx="4">
                  <c:v>130</c:v>
                </c:pt>
                <c:pt idx="5">
                  <c:v>83</c:v>
                </c:pt>
                <c:pt idx="6">
                  <c:v>70</c:v>
                </c:pt>
                <c:pt idx="7">
                  <c:v>87</c:v>
                </c:pt>
                <c:pt idx="8">
                  <c:v>64</c:v>
                </c:pt>
                <c:pt idx="9">
                  <c:v>75</c:v>
                </c:pt>
                <c:pt idx="10">
                  <c:v>80</c:v>
                </c:pt>
                <c:pt idx="11">
                  <c:v>71</c:v>
                </c:pt>
                <c:pt idx="12">
                  <c:v>50</c:v>
                </c:pt>
                <c:pt idx="13">
                  <c:v>34</c:v>
                </c:pt>
                <c:pt idx="14">
                  <c:v>42</c:v>
                </c:pt>
                <c:pt idx="15">
                  <c:v>53</c:v>
                </c:pt>
                <c:pt idx="16">
                  <c:v>37</c:v>
                </c:pt>
                <c:pt idx="17">
                  <c:v>22</c:v>
                </c:pt>
                <c:pt idx="18">
                  <c:v>50</c:v>
                </c:pt>
                <c:pt idx="19">
                  <c:v>31</c:v>
                </c:pt>
              </c:numCache>
            </c:numRef>
          </c:val>
          <c:extLst>
            <c:ext xmlns:c16="http://schemas.microsoft.com/office/drawing/2014/chart" uri="{C3380CC4-5D6E-409C-BE32-E72D297353CC}">
              <c16:uniqueId val="{00000001-1F9F-4D41-B3ED-9A7775205648}"/>
            </c:ext>
          </c:extLst>
        </c:ser>
        <c:ser>
          <c:idx val="2"/>
          <c:order val="2"/>
          <c:tx>
            <c:strRef>
              <c:f>'5 Years'!$D$2</c:f>
              <c:strCache>
                <c:ptCount val="1"/>
                <c:pt idx="0">
                  <c:v>2017-18</c:v>
                </c:pt>
              </c:strCache>
            </c:strRef>
          </c:tx>
          <c:spPr>
            <a:solidFill>
              <a:schemeClr val="accent3"/>
            </a:solidFill>
            <a:ln>
              <a:noFill/>
            </a:ln>
            <a:effectLst/>
          </c:spPr>
          <c:invertIfNegative val="0"/>
          <c:cat>
            <c:strRef>
              <c:f>'5 Years'!$A$3:$A$22</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'5 Years'!$D$3:$D$22</c:f>
              <c:numCache>
                <c:formatCode>General</c:formatCode>
                <c:ptCount val="20"/>
                <c:pt idx="0">
                  <c:v>159</c:v>
                </c:pt>
                <c:pt idx="1">
                  <c:v>142</c:v>
                </c:pt>
                <c:pt idx="2">
                  <c:v>151</c:v>
                </c:pt>
                <c:pt idx="3">
                  <c:v>134</c:v>
                </c:pt>
                <c:pt idx="4">
                  <c:v>139</c:v>
                </c:pt>
                <c:pt idx="5">
                  <c:v>97</c:v>
                </c:pt>
                <c:pt idx="6">
                  <c:v>90</c:v>
                </c:pt>
                <c:pt idx="7">
                  <c:v>93</c:v>
                </c:pt>
                <c:pt idx="8">
                  <c:v>95</c:v>
                </c:pt>
                <c:pt idx="9">
                  <c:v>65</c:v>
                </c:pt>
                <c:pt idx="10">
                  <c:v>69</c:v>
                </c:pt>
                <c:pt idx="11">
                  <c:v>79</c:v>
                </c:pt>
                <c:pt idx="12">
                  <c:v>61</c:v>
                </c:pt>
                <c:pt idx="13">
                  <c:v>51</c:v>
                </c:pt>
                <c:pt idx="14">
                  <c:v>52</c:v>
                </c:pt>
                <c:pt idx="15">
                  <c:v>53</c:v>
                </c:pt>
                <c:pt idx="16">
                  <c:v>55</c:v>
                </c:pt>
                <c:pt idx="17">
                  <c:v>37</c:v>
                </c:pt>
                <c:pt idx="18">
                  <c:v>58</c:v>
                </c:pt>
                <c:pt idx="19">
                  <c:v>70</c:v>
                </c:pt>
              </c:numCache>
            </c:numRef>
          </c:val>
          <c:extLst>
            <c:ext xmlns:c16="http://schemas.microsoft.com/office/drawing/2014/chart" uri="{C3380CC4-5D6E-409C-BE32-E72D297353CC}">
              <c16:uniqueId val="{00000002-1F9F-4D41-B3ED-9A7775205648}"/>
            </c:ext>
          </c:extLst>
        </c:ser>
        <c:ser>
          <c:idx val="3"/>
          <c:order val="3"/>
          <c:tx>
            <c:strRef>
              <c:f>'5 Years'!$E$2</c:f>
              <c:strCache>
                <c:ptCount val="1"/>
                <c:pt idx="0">
                  <c:v>2018-19</c:v>
                </c:pt>
              </c:strCache>
            </c:strRef>
          </c:tx>
          <c:spPr>
            <a:solidFill>
              <a:schemeClr val="accent4"/>
            </a:solidFill>
            <a:ln>
              <a:noFill/>
            </a:ln>
            <a:effectLst/>
          </c:spPr>
          <c:invertIfNegative val="0"/>
          <c:cat>
            <c:strRef>
              <c:f>'5 Years'!$A$3:$A$22</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'5 Years'!$E$3:$E$22</c:f>
              <c:numCache>
                <c:formatCode>General</c:formatCode>
                <c:ptCount val="20"/>
                <c:pt idx="0">
                  <c:v>174</c:v>
                </c:pt>
                <c:pt idx="1">
                  <c:v>157</c:v>
                </c:pt>
                <c:pt idx="2">
                  <c:v>160</c:v>
                </c:pt>
                <c:pt idx="3">
                  <c:v>149</c:v>
                </c:pt>
                <c:pt idx="4">
                  <c:v>131</c:v>
                </c:pt>
                <c:pt idx="5">
                  <c:v>122</c:v>
                </c:pt>
                <c:pt idx="6">
                  <c:v>107</c:v>
                </c:pt>
                <c:pt idx="7">
                  <c:v>95</c:v>
                </c:pt>
                <c:pt idx="8">
                  <c:v>55</c:v>
                </c:pt>
                <c:pt idx="9">
                  <c:v>56</c:v>
                </c:pt>
                <c:pt idx="10">
                  <c:v>89</c:v>
                </c:pt>
                <c:pt idx="11">
                  <c:v>86</c:v>
                </c:pt>
                <c:pt idx="12">
                  <c:v>42</c:v>
                </c:pt>
                <c:pt idx="13">
                  <c:v>64</c:v>
                </c:pt>
                <c:pt idx="14">
                  <c:v>45</c:v>
                </c:pt>
                <c:pt idx="15">
                  <c:v>58</c:v>
                </c:pt>
                <c:pt idx="16">
                  <c:v>53</c:v>
                </c:pt>
                <c:pt idx="17">
                  <c:v>25</c:v>
                </c:pt>
                <c:pt idx="18">
                  <c:v>71</c:v>
                </c:pt>
                <c:pt idx="19">
                  <c:v>50</c:v>
                </c:pt>
              </c:numCache>
            </c:numRef>
          </c:val>
          <c:extLst>
            <c:ext xmlns:c16="http://schemas.microsoft.com/office/drawing/2014/chart" uri="{C3380CC4-5D6E-409C-BE32-E72D297353CC}">
              <c16:uniqueId val="{00000003-1F9F-4D41-B3ED-9A7775205648}"/>
            </c:ext>
          </c:extLst>
        </c:ser>
        <c:ser>
          <c:idx val="4"/>
          <c:order val="4"/>
          <c:tx>
            <c:strRef>
              <c:f>'5 Years'!$F$2</c:f>
              <c:strCache>
                <c:ptCount val="1"/>
                <c:pt idx="0">
                  <c:v>2019-20</c:v>
                </c:pt>
              </c:strCache>
            </c:strRef>
          </c:tx>
          <c:spPr>
            <a:solidFill>
              <a:schemeClr val="accent5"/>
            </a:solidFill>
            <a:ln>
              <a:noFill/>
            </a:ln>
            <a:effectLst/>
          </c:spPr>
          <c:invertIfNegative val="0"/>
          <c:cat>
            <c:strRef>
              <c:f>'5 Years'!$A$3:$A$22</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'5 Years'!$F$3:$F$22</c:f>
              <c:numCache>
                <c:formatCode>General</c:formatCode>
                <c:ptCount val="20"/>
                <c:pt idx="0">
                  <c:v>131</c:v>
                </c:pt>
                <c:pt idx="1">
                  <c:v>191</c:v>
                </c:pt>
                <c:pt idx="2">
                  <c:v>173</c:v>
                </c:pt>
                <c:pt idx="3">
                  <c:v>147</c:v>
                </c:pt>
                <c:pt idx="4">
                  <c:v>155</c:v>
                </c:pt>
                <c:pt idx="5">
                  <c:v>90</c:v>
                </c:pt>
                <c:pt idx="6">
                  <c:v>112</c:v>
                </c:pt>
                <c:pt idx="7">
                  <c:v>79</c:v>
                </c:pt>
                <c:pt idx="8">
                  <c:v>107</c:v>
                </c:pt>
                <c:pt idx="9">
                  <c:v>90</c:v>
                </c:pt>
                <c:pt idx="10">
                  <c:v>86</c:v>
                </c:pt>
                <c:pt idx="11">
                  <c:v>95</c:v>
                </c:pt>
                <c:pt idx="12">
                  <c:v>52</c:v>
                </c:pt>
                <c:pt idx="13">
                  <c:v>112</c:v>
                </c:pt>
                <c:pt idx="14">
                  <c:v>55</c:v>
                </c:pt>
                <c:pt idx="15">
                  <c:v>76</c:v>
                </c:pt>
                <c:pt idx="16">
                  <c:v>65</c:v>
                </c:pt>
                <c:pt idx="17">
                  <c:v>37</c:v>
                </c:pt>
                <c:pt idx="18">
                  <c:v>57</c:v>
                </c:pt>
                <c:pt idx="19">
                  <c:v>80</c:v>
                </c:pt>
              </c:numCache>
            </c:numRef>
          </c:val>
          <c:extLst>
            <c:ext xmlns:c16="http://schemas.microsoft.com/office/drawing/2014/chart" uri="{C3380CC4-5D6E-409C-BE32-E72D297353CC}">
              <c16:uniqueId val="{00000004-1F9F-4D41-B3ED-9A7775205648}"/>
            </c:ext>
          </c:extLst>
        </c:ser>
        <c:dLbls>
          <c:showLegendKey val="0"/>
          <c:showVal val="0"/>
          <c:showCatName val="0"/>
          <c:showSerName val="0"/>
          <c:showPercent val="0"/>
          <c:showBubbleSize val="0"/>
        </c:dLbls>
        <c:gapWidth val="219"/>
        <c:overlap val="-27"/>
        <c:axId val="114785664"/>
        <c:axId val="114787456"/>
      </c:barChart>
      <c:catAx>
        <c:axId val="11478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4787456"/>
        <c:crosses val="autoZero"/>
        <c:auto val="1"/>
        <c:lblAlgn val="ctr"/>
        <c:lblOffset val="100"/>
        <c:noMultiLvlLbl val="0"/>
      </c:catAx>
      <c:valAx>
        <c:axId val="11478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478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0.0474</cdr:x>
      <cdr:y>0.02839</cdr:y>
    </cdr:from>
    <cdr:to>
      <cdr:x>0.20144</cdr:x>
      <cdr:y>0.31224</cdr:y>
    </cdr:to>
    <cdr:sp macro="" textlink="">
      <cdr:nvSpPr>
        <cdr:cNvPr id="2" name="Text Box 1"/>
        <cdr:cNvSpPr txBox="1"/>
      </cdr:nvSpPr>
      <cdr:spPr>
        <a:xfrm xmlns:a="http://schemas.openxmlformats.org/drawingml/2006/main">
          <a:off x="281354" y="9144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cdr:x>
      <cdr:y>0.06599</cdr:y>
    </cdr:from>
    <cdr:to>
      <cdr:x>0.13209</cdr:x>
      <cdr:y>0.13113</cdr:y>
    </cdr:to>
    <cdr:sp macro="" textlink="">
      <cdr:nvSpPr>
        <cdr:cNvPr id="3" name="TextBox 1">
          <a:extLst xmlns:a="http://schemas.openxmlformats.org/drawingml/2006/main">
            <a:ext uri="{FF2B5EF4-FFF2-40B4-BE49-F238E27FC236}">
              <a16:creationId xmlns:a16="http://schemas.microsoft.com/office/drawing/2014/main" id="{5C18B59A-8B5B-AC46-BA0F-CA88A8473CFE}"/>
            </a:ext>
          </a:extLst>
        </cdr:cNvPr>
        <cdr:cNvSpPr txBox="1"/>
      </cdr:nvSpPr>
      <cdr:spPr>
        <a:xfrm xmlns:a="http://schemas.openxmlformats.org/drawingml/2006/main">
          <a:off x="-717452" y="212579"/>
          <a:ext cx="784087" cy="20982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Total Site Visits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2243</Words>
  <Characters>11471</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2021-05-17T15:28:00Z</dcterms:modified>
</cp:coreProperties>
</file>