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EA5BB" w14:textId="77777777" w:rsidR="00C26F2D" w:rsidRPr="00BF077B" w:rsidRDefault="0061087E" w:rsidP="00BF077B">
      <w:pPr>
        <w:pStyle w:val="ATSNormal"/>
        <w:rPr>
          <w:rStyle w:val="Boktittel"/>
        </w:rPr>
      </w:pPr>
    </w:p>
    <w:p w14:paraId="3F88E47B" w14:textId="77777777" w:rsidR="002F0A13" w:rsidRDefault="0061087E" w:rsidP="004B4A60">
      <w:pPr>
        <w:rPr>
          <w:b/>
          <w:u w:val="single"/>
          <w:lang w:val="es-ES_tradnl"/>
        </w:rPr>
      </w:pPr>
    </w:p>
    <w:p w14:paraId="01B20BBE" w14:textId="77777777" w:rsidR="002F0A13" w:rsidRDefault="0061087E" w:rsidP="004B4A60">
      <w:pPr>
        <w:rPr>
          <w:b/>
          <w:u w:val="single"/>
          <w:lang w:val="es-ES_tradnl"/>
        </w:rPr>
      </w:pPr>
    </w:p>
    <w:p w14:paraId="26792F53" w14:textId="77777777" w:rsidR="002F0A13" w:rsidRDefault="0061087E" w:rsidP="004B4A60">
      <w:pPr>
        <w:rPr>
          <w:b/>
          <w:u w:val="single"/>
          <w:lang w:val="es-ES_tradnl"/>
        </w:rPr>
      </w:pPr>
    </w:p>
    <w:p w14:paraId="12193895" w14:textId="77777777" w:rsidR="002F0A13" w:rsidRDefault="0061087E" w:rsidP="004B4A60">
      <w:pPr>
        <w:rPr>
          <w:b/>
          <w:u w:val="single"/>
          <w:lang w:val="es-ES_tradnl"/>
        </w:rPr>
      </w:pPr>
    </w:p>
    <w:p w14:paraId="6C9C63CC" w14:textId="77777777" w:rsidR="00C26F2D" w:rsidRDefault="0061087E" w:rsidP="004B4A60">
      <w:pPr>
        <w:rPr>
          <w:b/>
          <w:u w:val="single"/>
          <w:lang w:val="es-ES_tradnl"/>
        </w:rPr>
      </w:pPr>
    </w:p>
    <w:p w14:paraId="46AD87BD" w14:textId="77777777" w:rsidR="004B4A60" w:rsidRPr="0057246E" w:rsidRDefault="000D7C34" w:rsidP="001B789F">
      <w:pPr>
        <w:pStyle w:val="ATSTitle"/>
      </w:pPr>
      <w:bookmarkStart w:id="0" w:name="name"/>
      <w:r>
        <w:t>Committee for Environmental Protection (CEP): summary of activities during the 2019/21 intersessional period</w:t>
      </w:r>
      <w:bookmarkEnd w:id="0"/>
    </w:p>
    <w:p w14:paraId="0A3D369B" w14:textId="77777777" w:rsidR="004B4A60" w:rsidRPr="0057246E" w:rsidRDefault="0061087E" w:rsidP="00F75424">
      <w:pPr>
        <w:jc w:val="center"/>
      </w:pPr>
    </w:p>
    <w:p w14:paraId="69647CB9" w14:textId="77777777" w:rsidR="004B4A60" w:rsidRPr="002F0A13" w:rsidRDefault="0061087E" w:rsidP="002F0A13"/>
    <w:p w14:paraId="4F11A9AF" w14:textId="77777777" w:rsidR="004B4A60" w:rsidRDefault="0061087E" w:rsidP="00F75424">
      <w:pPr>
        <w:jc w:val="center"/>
      </w:pPr>
      <w:bookmarkStart w:id="1" w:name="memo"/>
      <w:bookmarkEnd w:id="1"/>
    </w:p>
    <w:p w14:paraId="73A78EAA" w14:textId="77777777" w:rsidR="0097629D" w:rsidRDefault="0061087E" w:rsidP="00F75424">
      <w:pPr>
        <w:jc w:val="center"/>
      </w:pPr>
    </w:p>
    <w:p w14:paraId="7E1905C4" w14:textId="77777777" w:rsidR="0097629D" w:rsidRDefault="0061087E" w:rsidP="00F75424">
      <w:pPr>
        <w:jc w:val="center"/>
      </w:pPr>
    </w:p>
    <w:p w14:paraId="20FF33B4" w14:textId="77777777" w:rsidR="0097629D" w:rsidRDefault="0061087E" w:rsidP="00F75424">
      <w:pPr>
        <w:jc w:val="center"/>
      </w:pPr>
    </w:p>
    <w:p w14:paraId="796F51D6" w14:textId="77777777" w:rsidR="0097629D" w:rsidRPr="00C26F2D" w:rsidRDefault="0061087E" w:rsidP="00F75424">
      <w:pPr>
        <w:jc w:val="center"/>
      </w:pPr>
    </w:p>
    <w:p w14:paraId="3EA36997" w14:textId="77777777" w:rsidR="004B4A60" w:rsidRPr="0057246E" w:rsidRDefault="0061087E" w:rsidP="004B4A60"/>
    <w:p w14:paraId="1E16A099" w14:textId="77777777" w:rsidR="00C26F2D" w:rsidRDefault="0061087E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76710580" w14:textId="77777777" w:rsidR="000D7C34" w:rsidRPr="0057246E" w:rsidRDefault="000D7C34" w:rsidP="000D7C34">
      <w:pPr>
        <w:pStyle w:val="ATSHeading1"/>
      </w:pPr>
      <w:r>
        <w:lastRenderedPageBreak/>
        <w:t>Committee for Environmental Protection (CEP): summary of activities during the 2019/21 intersessional period</w:t>
      </w:r>
    </w:p>
    <w:p w14:paraId="4158634B" w14:textId="77777777" w:rsidR="0027538E" w:rsidRPr="0007290B" w:rsidRDefault="0027538E" w:rsidP="0027538E">
      <w:pPr>
        <w:pStyle w:val="ATSNormal"/>
        <w:jc w:val="center"/>
        <w:rPr>
          <w:b/>
        </w:rPr>
      </w:pPr>
      <w:r w:rsidRPr="0007290B">
        <w:rPr>
          <w:b/>
        </w:rPr>
        <w:t>Information Paper submitted by the CEP Chair</w:t>
      </w:r>
    </w:p>
    <w:p w14:paraId="4536C2D3" w14:textId="77777777" w:rsidR="0027538E" w:rsidRDefault="0027538E" w:rsidP="0027538E">
      <w:pPr>
        <w:pStyle w:val="ATSHeading2"/>
      </w:pPr>
    </w:p>
    <w:p w14:paraId="76E60C49" w14:textId="222A20BD" w:rsidR="0027538E" w:rsidRPr="0007290B" w:rsidRDefault="0027538E" w:rsidP="0027538E">
      <w:pPr>
        <w:pStyle w:val="ATSHeading2"/>
      </w:pPr>
      <w:r w:rsidRPr="0007290B">
        <w:t>Summary</w:t>
      </w:r>
    </w:p>
    <w:p w14:paraId="727236C4" w14:textId="77777777" w:rsidR="0027538E" w:rsidRPr="000656BC" w:rsidRDefault="0027538E" w:rsidP="0027538E">
      <w:pPr>
        <w:pStyle w:val="ATSNormal"/>
      </w:pPr>
      <w:r w:rsidRPr="0007290B">
        <w:t>The 22</w:t>
      </w:r>
      <w:r w:rsidRPr="0007290B">
        <w:rPr>
          <w:vertAlign w:val="superscript"/>
        </w:rPr>
        <w:t>nd</w:t>
      </w:r>
      <w:r w:rsidRPr="0007290B">
        <w:t xml:space="preserve"> meeting of the Committee for Environmental Protection (CEP XXII) was held in Prague, Czech Republic, from 1 to 5 July 2019. This paper presents a summary of intersessional activities arising from CEP XXII, as identified in CEP Circular: 1 / CEP XXIII. Where appropriate, the details of related papers submitted to CEP XXIII are provided. It should be noted that </w:t>
      </w:r>
      <w:proofErr w:type="spellStart"/>
      <w:r w:rsidRPr="0007290B">
        <w:t>i</w:t>
      </w:r>
      <w:proofErr w:type="spellEnd"/>
      <w:r w:rsidRPr="0007290B">
        <w:t xml:space="preserve">) the global covid-19 pandemic has impacted work and progress on some tasks and ii) </w:t>
      </w:r>
      <w:r w:rsidRPr="00C52DAC">
        <w:t xml:space="preserve">Members have been encouraged to show restraint in </w:t>
      </w:r>
      <w:r w:rsidRPr="00E36581">
        <w:t>s</w:t>
      </w:r>
      <w:r w:rsidRPr="00F80CE1">
        <w:t>ubmitting papers and prop</w:t>
      </w:r>
      <w:r w:rsidRPr="00A71BA6">
        <w:t xml:space="preserve">osals </w:t>
      </w:r>
      <w:r w:rsidRPr="000656BC">
        <w:t xml:space="preserve">on lower priority issues at CEP XXIII. </w:t>
      </w:r>
    </w:p>
    <w:p w14:paraId="22ABECEC" w14:textId="77777777" w:rsidR="0027538E" w:rsidRPr="000656BC" w:rsidRDefault="0027538E" w:rsidP="0027538E">
      <w:pPr>
        <w:pStyle w:val="ATSNormal"/>
      </w:pPr>
    </w:p>
    <w:tbl>
      <w:tblPr>
        <w:tblW w:w="51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10"/>
        <w:gridCol w:w="22"/>
        <w:gridCol w:w="3196"/>
        <w:gridCol w:w="924"/>
        <w:gridCol w:w="1680"/>
        <w:gridCol w:w="2576"/>
      </w:tblGrid>
      <w:tr w:rsidR="0027538E" w:rsidRPr="000656BC" w14:paraId="561C6854" w14:textId="77777777" w:rsidTr="0027538E">
        <w:trPr>
          <w:tblHeader/>
        </w:trPr>
        <w:tc>
          <w:tcPr>
            <w:tcW w:w="786" w:type="pct"/>
            <w:gridSpan w:val="3"/>
            <w:shd w:val="clear" w:color="auto" w:fill="F2F2F2"/>
          </w:tcPr>
          <w:p w14:paraId="38ACECFB" w14:textId="77777777" w:rsidR="0027538E" w:rsidRPr="000656BC" w:rsidRDefault="0027538E" w:rsidP="00A11F20">
            <w:pPr>
              <w:jc w:val="center"/>
              <w:rPr>
                <w:b/>
                <w:sz w:val="20"/>
                <w:szCs w:val="20"/>
              </w:rPr>
            </w:pPr>
            <w:r w:rsidRPr="000656BC">
              <w:rPr>
                <w:b/>
                <w:sz w:val="20"/>
                <w:szCs w:val="20"/>
              </w:rPr>
              <w:t>Priority*</w:t>
            </w:r>
          </w:p>
        </w:tc>
        <w:tc>
          <w:tcPr>
            <w:tcW w:w="1608" w:type="pct"/>
            <w:shd w:val="clear" w:color="auto" w:fill="F2F2F2"/>
          </w:tcPr>
          <w:p w14:paraId="5D0C2B74" w14:textId="77777777" w:rsidR="0027538E" w:rsidRPr="000656BC" w:rsidRDefault="0027538E" w:rsidP="00A11F20">
            <w:pPr>
              <w:jc w:val="center"/>
              <w:rPr>
                <w:b/>
                <w:sz w:val="20"/>
                <w:szCs w:val="20"/>
              </w:rPr>
            </w:pPr>
            <w:r w:rsidRPr="000656BC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465" w:type="pct"/>
            <w:shd w:val="clear" w:color="auto" w:fill="F2F2F2"/>
          </w:tcPr>
          <w:p w14:paraId="36EBEBEA" w14:textId="77777777" w:rsidR="0027538E" w:rsidRPr="000656BC" w:rsidRDefault="0027538E" w:rsidP="00A11F20">
            <w:pPr>
              <w:ind w:left="34"/>
              <w:rPr>
                <w:b/>
                <w:sz w:val="20"/>
                <w:szCs w:val="20"/>
              </w:rPr>
            </w:pPr>
            <w:r w:rsidRPr="000656BC">
              <w:rPr>
                <w:b/>
                <w:sz w:val="20"/>
                <w:szCs w:val="20"/>
              </w:rPr>
              <w:t>Report Para #</w:t>
            </w:r>
          </w:p>
        </w:tc>
        <w:tc>
          <w:tcPr>
            <w:tcW w:w="845" w:type="pct"/>
            <w:shd w:val="clear" w:color="auto" w:fill="F2F2F2"/>
          </w:tcPr>
          <w:p w14:paraId="13C643A1" w14:textId="77777777" w:rsidR="0027538E" w:rsidRPr="000656BC" w:rsidRDefault="0027538E" w:rsidP="00A11F20">
            <w:pPr>
              <w:ind w:left="33"/>
              <w:jc w:val="center"/>
              <w:rPr>
                <w:b/>
                <w:sz w:val="18"/>
                <w:szCs w:val="18"/>
              </w:rPr>
            </w:pPr>
            <w:r w:rsidRPr="000656BC">
              <w:rPr>
                <w:b/>
                <w:sz w:val="18"/>
                <w:szCs w:val="18"/>
              </w:rPr>
              <w:t>CEP Member/Observer</w:t>
            </w:r>
          </w:p>
        </w:tc>
        <w:tc>
          <w:tcPr>
            <w:tcW w:w="1297" w:type="pct"/>
            <w:shd w:val="clear" w:color="auto" w:fill="F2F2F2"/>
          </w:tcPr>
          <w:p w14:paraId="381D463D" w14:textId="77777777" w:rsidR="0027538E" w:rsidRPr="000656BC" w:rsidRDefault="0027538E" w:rsidP="00A11F20">
            <w:pPr>
              <w:ind w:left="33"/>
              <w:jc w:val="center"/>
              <w:rPr>
                <w:b/>
                <w:sz w:val="18"/>
                <w:szCs w:val="18"/>
              </w:rPr>
            </w:pPr>
            <w:r w:rsidRPr="000656BC">
              <w:rPr>
                <w:b/>
                <w:sz w:val="18"/>
                <w:szCs w:val="18"/>
              </w:rPr>
              <w:t>Related papers to CEP XXII / comments</w:t>
            </w:r>
          </w:p>
        </w:tc>
      </w:tr>
      <w:tr w:rsidR="0027538E" w:rsidRPr="000656BC" w14:paraId="1B7FFDAB" w14:textId="77777777" w:rsidTr="00A11F20">
        <w:tc>
          <w:tcPr>
            <w:tcW w:w="5000" w:type="pct"/>
            <w:gridSpan w:val="7"/>
            <w:shd w:val="clear" w:color="auto" w:fill="D9D9D9"/>
          </w:tcPr>
          <w:p w14:paraId="1ADB3403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</w:p>
          <w:p w14:paraId="6667143B" w14:textId="77777777" w:rsidR="0027538E" w:rsidRPr="0007290B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  <w:r w:rsidRPr="000656BC">
              <w:rPr>
                <w:b/>
                <w:i/>
                <w:sz w:val="20"/>
                <w:szCs w:val="20"/>
              </w:rPr>
              <w:t xml:space="preserve">Agenda </w:t>
            </w:r>
            <w:r w:rsidRPr="0007290B">
              <w:rPr>
                <w:b/>
                <w:i/>
                <w:sz w:val="20"/>
                <w:szCs w:val="20"/>
              </w:rPr>
              <w:t>Item 5: Cooperation with other Organisations</w:t>
            </w:r>
          </w:p>
        </w:tc>
      </w:tr>
      <w:tr w:rsidR="0027538E" w:rsidRPr="000656BC" w14:paraId="11134D93" w14:textId="77777777" w:rsidTr="0027538E">
        <w:tc>
          <w:tcPr>
            <w:tcW w:w="786" w:type="pct"/>
            <w:gridSpan w:val="3"/>
          </w:tcPr>
          <w:p w14:paraId="1833419F" w14:textId="77777777" w:rsidR="0027538E" w:rsidRPr="000656BC" w:rsidRDefault="0027538E" w:rsidP="00A11F20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</w:tcPr>
          <w:p w14:paraId="01692298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bookmarkStart w:id="8" w:name="_Hlk71811975"/>
            <w:r w:rsidRPr="000656BC">
              <w:rPr>
                <w:sz w:val="20"/>
                <w:szCs w:val="20"/>
              </w:rPr>
              <w:t xml:space="preserve">Dr Antonio Quesada (Spain), Dr Polly </w:t>
            </w:r>
            <w:proofErr w:type="spellStart"/>
            <w:r w:rsidRPr="000656BC">
              <w:rPr>
                <w:sz w:val="20"/>
                <w:szCs w:val="20"/>
              </w:rPr>
              <w:t>Penhale</w:t>
            </w:r>
            <w:proofErr w:type="spellEnd"/>
            <w:r w:rsidRPr="000656BC">
              <w:rPr>
                <w:sz w:val="20"/>
                <w:szCs w:val="20"/>
              </w:rPr>
              <w:t xml:space="preserve"> (United States) to represent the CEP at </w:t>
            </w:r>
            <w:proofErr w:type="spellStart"/>
            <w:r w:rsidRPr="000656BC">
              <w:rPr>
                <w:sz w:val="20"/>
                <w:szCs w:val="20"/>
              </w:rPr>
              <w:t>COMNAP</w:t>
            </w:r>
            <w:proofErr w:type="spellEnd"/>
            <w:r w:rsidRPr="000656BC">
              <w:rPr>
                <w:sz w:val="20"/>
                <w:szCs w:val="20"/>
              </w:rPr>
              <w:t xml:space="preserve"> XXXI and SC-</w:t>
            </w:r>
            <w:proofErr w:type="spellStart"/>
            <w:r w:rsidRPr="000656BC">
              <w:rPr>
                <w:sz w:val="20"/>
                <w:szCs w:val="20"/>
              </w:rPr>
              <w:t>CAMLR</w:t>
            </w:r>
            <w:proofErr w:type="spellEnd"/>
            <w:r w:rsidRPr="000656BC">
              <w:rPr>
                <w:sz w:val="20"/>
                <w:szCs w:val="20"/>
              </w:rPr>
              <w:t xml:space="preserve"> XXXVIII respectively.</w:t>
            </w:r>
            <w:bookmarkEnd w:id="8"/>
          </w:p>
        </w:tc>
        <w:tc>
          <w:tcPr>
            <w:tcW w:w="465" w:type="pct"/>
          </w:tcPr>
          <w:p w14:paraId="3960CCAE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  <w:highlight w:val="yellow"/>
              </w:rPr>
            </w:pPr>
            <w:r w:rsidRPr="000656BC">
              <w:rPr>
                <w:sz w:val="20"/>
                <w:szCs w:val="20"/>
              </w:rPr>
              <w:t>29</w:t>
            </w:r>
          </w:p>
        </w:tc>
        <w:tc>
          <w:tcPr>
            <w:tcW w:w="845" w:type="pct"/>
          </w:tcPr>
          <w:p w14:paraId="5198F02D" w14:textId="77777777" w:rsidR="0027538E" w:rsidRPr="000656BC" w:rsidRDefault="0027538E" w:rsidP="00A11F20">
            <w:pPr>
              <w:ind w:left="33"/>
              <w:rPr>
                <w:sz w:val="20"/>
                <w:szCs w:val="20"/>
                <w:highlight w:val="yellow"/>
              </w:rPr>
            </w:pPr>
            <w:r w:rsidRPr="000656BC">
              <w:rPr>
                <w:sz w:val="20"/>
                <w:szCs w:val="20"/>
              </w:rPr>
              <w:t xml:space="preserve">Spain and United Sates </w:t>
            </w:r>
          </w:p>
        </w:tc>
        <w:tc>
          <w:tcPr>
            <w:tcW w:w="1297" w:type="pct"/>
            <w:shd w:val="clear" w:color="auto" w:fill="auto"/>
          </w:tcPr>
          <w:p w14:paraId="7342BFCB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The CEP was represented in meetings of other organisations as follows: </w:t>
            </w:r>
            <w:proofErr w:type="spellStart"/>
            <w:r w:rsidRPr="000656BC">
              <w:rPr>
                <w:sz w:val="20"/>
                <w:szCs w:val="20"/>
              </w:rPr>
              <w:t>COMNAP</w:t>
            </w:r>
            <w:proofErr w:type="spellEnd"/>
            <w:r w:rsidRPr="000656BC">
              <w:rPr>
                <w:sz w:val="20"/>
                <w:szCs w:val="20"/>
              </w:rPr>
              <w:t xml:space="preserve"> XXXI – Dr Quesada (Spain); SC-</w:t>
            </w:r>
            <w:proofErr w:type="spellStart"/>
            <w:r w:rsidRPr="000656BC">
              <w:rPr>
                <w:sz w:val="20"/>
                <w:szCs w:val="20"/>
              </w:rPr>
              <w:t>CAMLR</w:t>
            </w:r>
            <w:proofErr w:type="spellEnd"/>
            <w:r w:rsidRPr="000656BC">
              <w:rPr>
                <w:sz w:val="20"/>
                <w:szCs w:val="20"/>
              </w:rPr>
              <w:t xml:space="preserve"> XXXVIII – Dr </w:t>
            </w:r>
            <w:proofErr w:type="spellStart"/>
            <w:r w:rsidRPr="000656BC">
              <w:rPr>
                <w:sz w:val="20"/>
                <w:szCs w:val="20"/>
              </w:rPr>
              <w:t>Penhale</w:t>
            </w:r>
            <w:proofErr w:type="spellEnd"/>
            <w:r w:rsidRPr="000656BC">
              <w:rPr>
                <w:sz w:val="20"/>
                <w:szCs w:val="20"/>
              </w:rPr>
              <w:t xml:space="preserve"> (United States). </w:t>
            </w:r>
          </w:p>
          <w:p w14:paraId="62C4B998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</w:p>
          <w:p w14:paraId="3010D6F5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Note that </w:t>
            </w:r>
            <w:proofErr w:type="spellStart"/>
            <w:r w:rsidRPr="000656BC">
              <w:rPr>
                <w:sz w:val="20"/>
                <w:szCs w:val="20"/>
              </w:rPr>
              <w:t>COMNAP</w:t>
            </w:r>
            <w:proofErr w:type="spellEnd"/>
            <w:r w:rsidRPr="000656BC">
              <w:rPr>
                <w:sz w:val="20"/>
                <w:szCs w:val="20"/>
              </w:rPr>
              <w:t xml:space="preserve"> XXXII and </w:t>
            </w:r>
            <w:proofErr w:type="spellStart"/>
            <w:r w:rsidRPr="000656BC">
              <w:rPr>
                <w:sz w:val="20"/>
                <w:szCs w:val="20"/>
              </w:rPr>
              <w:t>CAMLR</w:t>
            </w:r>
            <w:proofErr w:type="spellEnd"/>
            <w:r w:rsidRPr="000656BC">
              <w:rPr>
                <w:sz w:val="20"/>
                <w:szCs w:val="20"/>
              </w:rPr>
              <w:t xml:space="preserve"> XXXIV were held virtually in 2020 without nominated CEP representation present. </w:t>
            </w:r>
          </w:p>
        </w:tc>
      </w:tr>
      <w:tr w:rsidR="0027538E" w:rsidRPr="000656BC" w14:paraId="251D3260" w14:textId="77777777" w:rsidTr="00A11F20">
        <w:tc>
          <w:tcPr>
            <w:tcW w:w="5000" w:type="pct"/>
            <w:gridSpan w:val="7"/>
            <w:shd w:val="clear" w:color="auto" w:fill="D9D9D9"/>
          </w:tcPr>
          <w:p w14:paraId="2C93A857" w14:textId="77777777" w:rsidR="0027538E" w:rsidRPr="0007290B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37ADE454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C52DAC">
              <w:rPr>
                <w:b/>
                <w:i/>
                <w:sz w:val="20"/>
                <w:szCs w:val="20"/>
              </w:rPr>
              <w:t>Agenda Item 6. Repair and Remediation of Environmental Damage</w:t>
            </w:r>
          </w:p>
        </w:tc>
      </w:tr>
      <w:tr w:rsidR="0027538E" w:rsidRPr="000656BC" w14:paraId="28A11A07" w14:textId="77777777" w:rsidTr="0027538E">
        <w:tc>
          <w:tcPr>
            <w:tcW w:w="786" w:type="pct"/>
            <w:gridSpan w:val="3"/>
          </w:tcPr>
          <w:p w14:paraId="6C2247C4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Repair or remediation of environmental damage</w:t>
            </w:r>
          </w:p>
        </w:tc>
        <w:tc>
          <w:tcPr>
            <w:tcW w:w="1608" w:type="pct"/>
          </w:tcPr>
          <w:p w14:paraId="7A282190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Continued work on development of new techniques or guidelines for repair and remediation in context of Clean-Up manual.</w:t>
            </w:r>
          </w:p>
        </w:tc>
        <w:tc>
          <w:tcPr>
            <w:tcW w:w="465" w:type="pct"/>
          </w:tcPr>
          <w:p w14:paraId="709C78C9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3DD2B161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Members</w:t>
            </w:r>
          </w:p>
        </w:tc>
        <w:tc>
          <w:tcPr>
            <w:tcW w:w="1297" w:type="pct"/>
          </w:tcPr>
          <w:p w14:paraId="56EBA18A" w14:textId="77777777" w:rsidR="0027538E" w:rsidRPr="000656BC" w:rsidRDefault="0027538E" w:rsidP="00A11F20">
            <w:pPr>
              <w:rPr>
                <w:sz w:val="20"/>
                <w:szCs w:val="20"/>
              </w:rPr>
            </w:pPr>
          </w:p>
        </w:tc>
      </w:tr>
      <w:tr w:rsidR="0027538E" w:rsidRPr="000656BC" w14:paraId="21633C3A" w14:textId="77777777" w:rsidTr="0027538E">
        <w:tc>
          <w:tcPr>
            <w:tcW w:w="786" w:type="pct"/>
            <w:gridSpan w:val="3"/>
          </w:tcPr>
          <w:p w14:paraId="477051CA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Repair or remediation of environmental damage</w:t>
            </w:r>
          </w:p>
        </w:tc>
        <w:tc>
          <w:tcPr>
            <w:tcW w:w="1608" w:type="pct"/>
          </w:tcPr>
          <w:p w14:paraId="3AFE84A8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Brazil to provide an update of the incident with a Brazilian container (cf. IP 118 [2019]) at CEP XXIII.</w:t>
            </w:r>
          </w:p>
        </w:tc>
        <w:tc>
          <w:tcPr>
            <w:tcW w:w="465" w:type="pct"/>
          </w:tcPr>
          <w:p w14:paraId="5133E571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35</w:t>
            </w:r>
          </w:p>
          <w:p w14:paraId="4EF5F3AC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pct"/>
          </w:tcPr>
          <w:p w14:paraId="4C91DC3C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Brazil</w:t>
            </w:r>
          </w:p>
        </w:tc>
        <w:tc>
          <w:tcPr>
            <w:tcW w:w="1297" w:type="pct"/>
          </w:tcPr>
          <w:p w14:paraId="12BABFF8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  </w:t>
            </w:r>
          </w:p>
        </w:tc>
      </w:tr>
      <w:tr w:rsidR="0027538E" w:rsidRPr="000656BC" w14:paraId="589B62C4" w14:textId="77777777" w:rsidTr="00A11F20">
        <w:tc>
          <w:tcPr>
            <w:tcW w:w="5000" w:type="pct"/>
            <w:gridSpan w:val="7"/>
            <w:shd w:val="clear" w:color="auto" w:fill="D9D9D9"/>
          </w:tcPr>
          <w:p w14:paraId="770A3A35" w14:textId="77777777" w:rsidR="0027538E" w:rsidRPr="0007290B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5E680BD9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C52DAC">
              <w:rPr>
                <w:b/>
                <w:i/>
                <w:sz w:val="20"/>
                <w:szCs w:val="20"/>
              </w:rPr>
              <w:t>Agenda Item 7: Climate Change Implications for the Envir</w:t>
            </w:r>
            <w:r w:rsidRPr="00E36581">
              <w:rPr>
                <w:b/>
                <w:i/>
                <w:sz w:val="20"/>
                <w:szCs w:val="20"/>
              </w:rPr>
              <w:t>onment: Implementation and Review of th</w:t>
            </w:r>
            <w:r w:rsidRPr="00F80CE1">
              <w:rPr>
                <w:b/>
                <w:i/>
                <w:sz w:val="20"/>
                <w:szCs w:val="20"/>
              </w:rPr>
              <w:t xml:space="preserve">e </w:t>
            </w:r>
            <w:proofErr w:type="spellStart"/>
            <w:r w:rsidRPr="00F80CE1">
              <w:rPr>
                <w:b/>
                <w:i/>
                <w:sz w:val="20"/>
                <w:szCs w:val="20"/>
              </w:rPr>
              <w:t>CCRWP</w:t>
            </w:r>
            <w:proofErr w:type="spellEnd"/>
          </w:p>
        </w:tc>
      </w:tr>
      <w:tr w:rsidR="0027538E" w:rsidRPr="000656BC" w14:paraId="62C0DF49" w14:textId="77777777" w:rsidTr="0027538E">
        <w:tc>
          <w:tcPr>
            <w:tcW w:w="786" w:type="pct"/>
            <w:gridSpan w:val="3"/>
          </w:tcPr>
          <w:p w14:paraId="5C28D85C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1: Climate change implications for the environment</w:t>
            </w:r>
          </w:p>
        </w:tc>
        <w:tc>
          <w:tcPr>
            <w:tcW w:w="1608" w:type="pct"/>
          </w:tcPr>
          <w:p w14:paraId="2601357D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The </w:t>
            </w:r>
            <w:proofErr w:type="spellStart"/>
            <w:r w:rsidRPr="000656BC">
              <w:rPr>
                <w:color w:val="auto"/>
                <w:sz w:val="20"/>
                <w:szCs w:val="20"/>
                <w:lang w:val="en-GB" w:eastAsia="en-AU"/>
              </w:rPr>
              <w:t>SGCCR</w:t>
            </w:r>
            <w:proofErr w:type="spellEnd"/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to continue work in accordance with its Terms of Reference, as well as applying the updated format for the </w:t>
            </w:r>
            <w:proofErr w:type="spellStart"/>
            <w:r w:rsidRPr="000656BC">
              <w:rPr>
                <w:color w:val="auto"/>
                <w:sz w:val="20"/>
                <w:szCs w:val="20"/>
                <w:lang w:val="en-GB" w:eastAsia="en-AU"/>
              </w:rPr>
              <w:t>CCRWP</w:t>
            </w:r>
            <w:proofErr w:type="spellEnd"/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to relevant climate issues within the Climate Change Response Work Program (</w:t>
            </w:r>
            <w:proofErr w:type="spellStart"/>
            <w:r w:rsidRPr="000656BC">
              <w:rPr>
                <w:color w:val="auto"/>
                <w:sz w:val="20"/>
                <w:szCs w:val="20"/>
                <w:lang w:val="en-GB" w:eastAsia="en-AU"/>
              </w:rPr>
              <w:t>CCRWP</w:t>
            </w:r>
            <w:proofErr w:type="spellEnd"/>
            <w:r w:rsidRPr="000656BC">
              <w:rPr>
                <w:color w:val="auto"/>
                <w:sz w:val="20"/>
                <w:szCs w:val="20"/>
                <w:lang w:val="en-GB" w:eastAsia="en-AU"/>
              </w:rPr>
              <w:t>).</w:t>
            </w:r>
          </w:p>
        </w:tc>
        <w:tc>
          <w:tcPr>
            <w:tcW w:w="465" w:type="pct"/>
          </w:tcPr>
          <w:p w14:paraId="176DBDC0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52-53</w:t>
            </w:r>
          </w:p>
          <w:p w14:paraId="68153136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100DC2E1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SGCCR</w:t>
            </w:r>
            <w:proofErr w:type="spellEnd"/>
          </w:p>
        </w:tc>
        <w:tc>
          <w:tcPr>
            <w:tcW w:w="1297" w:type="pct"/>
          </w:tcPr>
          <w:p w14:paraId="7AF9F88B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i/>
                <w:sz w:val="20"/>
                <w:szCs w:val="20"/>
                <w:u w:val="single"/>
              </w:rPr>
              <w:t>WP014</w:t>
            </w:r>
            <w:r w:rsidRPr="000656BC">
              <w:rPr>
                <w:i/>
                <w:sz w:val="20"/>
                <w:szCs w:val="20"/>
              </w:rPr>
              <w:t xml:space="preserve"> Report of the Subsidiary Group on Climate Change Response (</w:t>
            </w:r>
            <w:proofErr w:type="spellStart"/>
            <w:r w:rsidRPr="000656BC">
              <w:rPr>
                <w:i/>
                <w:sz w:val="20"/>
                <w:szCs w:val="20"/>
              </w:rPr>
              <w:t>SGCCR</w:t>
            </w:r>
            <w:proofErr w:type="spellEnd"/>
            <w:r w:rsidRPr="000656BC">
              <w:rPr>
                <w:i/>
                <w:sz w:val="20"/>
                <w:szCs w:val="20"/>
              </w:rPr>
              <w:t>) 2019-2021</w:t>
            </w:r>
            <w:r w:rsidRPr="000656BC">
              <w:rPr>
                <w:sz w:val="20"/>
                <w:szCs w:val="20"/>
              </w:rPr>
              <w:t xml:space="preserve"> (United Kingdom)– submitted under CEP 7b</w:t>
            </w:r>
          </w:p>
        </w:tc>
      </w:tr>
      <w:tr w:rsidR="0027538E" w:rsidRPr="000656BC" w14:paraId="1E783A28" w14:textId="77777777" w:rsidTr="0027538E">
        <w:tc>
          <w:tcPr>
            <w:tcW w:w="786" w:type="pct"/>
            <w:gridSpan w:val="3"/>
          </w:tcPr>
          <w:p w14:paraId="1C42D7DA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lastRenderedPageBreak/>
              <w:t>1: Climate change implications for the environment</w:t>
            </w:r>
          </w:p>
        </w:tc>
        <w:tc>
          <w:tcPr>
            <w:tcW w:w="1608" w:type="pct"/>
          </w:tcPr>
          <w:p w14:paraId="4B5F81FD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color w:val="auto"/>
                <w:sz w:val="20"/>
                <w:szCs w:val="20"/>
                <w:lang w:val="en-GB" w:eastAsia="en-AU"/>
              </w:rPr>
              <w:t>Consider status of implementation of actions arising from 2016 joint CEP/SC-</w:t>
            </w:r>
            <w:proofErr w:type="spellStart"/>
            <w:r w:rsidRPr="000656BC">
              <w:rPr>
                <w:color w:val="auto"/>
                <w:sz w:val="20"/>
                <w:szCs w:val="20"/>
                <w:lang w:val="en-GB" w:eastAsia="en-AU"/>
              </w:rPr>
              <w:t>CAMLR</w:t>
            </w:r>
            <w:proofErr w:type="spellEnd"/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workshop.</w:t>
            </w:r>
          </w:p>
        </w:tc>
        <w:tc>
          <w:tcPr>
            <w:tcW w:w="465" w:type="pct"/>
          </w:tcPr>
          <w:p w14:paraId="2A0A9ECD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747AFAC8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Members</w:t>
            </w:r>
          </w:p>
        </w:tc>
        <w:tc>
          <w:tcPr>
            <w:tcW w:w="1297" w:type="pct"/>
          </w:tcPr>
          <w:p w14:paraId="2CF3C278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  </w:t>
            </w:r>
          </w:p>
        </w:tc>
      </w:tr>
      <w:tr w:rsidR="0027538E" w:rsidRPr="000656BC" w14:paraId="21B4863E" w14:textId="77777777" w:rsidTr="0027538E">
        <w:tc>
          <w:tcPr>
            <w:tcW w:w="786" w:type="pct"/>
            <w:gridSpan w:val="3"/>
          </w:tcPr>
          <w:p w14:paraId="055BCBBA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1: Climate change implications for the environment</w:t>
            </w:r>
          </w:p>
        </w:tc>
        <w:tc>
          <w:tcPr>
            <w:tcW w:w="1608" w:type="pct"/>
          </w:tcPr>
          <w:p w14:paraId="2DA36514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SCAR to update </w:t>
            </w:r>
            <w:proofErr w:type="spellStart"/>
            <w:r w:rsidRPr="000656BC">
              <w:rPr>
                <w:color w:val="auto"/>
                <w:sz w:val="20"/>
                <w:szCs w:val="20"/>
                <w:lang w:val="en-GB" w:eastAsia="en-AU"/>
              </w:rPr>
              <w:t>ACCE</w:t>
            </w:r>
            <w:proofErr w:type="spellEnd"/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report, with input as appropriate from </w:t>
            </w:r>
            <w:proofErr w:type="spellStart"/>
            <w:r w:rsidRPr="000656BC">
              <w:rPr>
                <w:color w:val="auto"/>
                <w:sz w:val="20"/>
                <w:szCs w:val="20"/>
                <w:lang w:val="en-GB" w:eastAsia="en-AU"/>
              </w:rPr>
              <w:t>WMO</w:t>
            </w:r>
            <w:proofErr w:type="spellEnd"/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, ICED and </w:t>
            </w:r>
            <w:proofErr w:type="spellStart"/>
            <w:r w:rsidRPr="000656BC">
              <w:rPr>
                <w:color w:val="auto"/>
                <w:sz w:val="20"/>
                <w:szCs w:val="20"/>
                <w:lang w:val="en-GB" w:eastAsia="en-AU"/>
              </w:rPr>
              <w:t>SOOS</w:t>
            </w:r>
            <w:proofErr w:type="spellEnd"/>
          </w:p>
          <w:p w14:paraId="7069872E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</w:p>
        </w:tc>
        <w:tc>
          <w:tcPr>
            <w:tcW w:w="465" w:type="pct"/>
          </w:tcPr>
          <w:p w14:paraId="1B73E487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4812C969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SCAR</w:t>
            </w:r>
          </w:p>
        </w:tc>
        <w:tc>
          <w:tcPr>
            <w:tcW w:w="1297" w:type="pct"/>
          </w:tcPr>
          <w:p w14:paraId="13C5AE18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  </w:t>
            </w:r>
          </w:p>
        </w:tc>
      </w:tr>
      <w:tr w:rsidR="0027538E" w:rsidRPr="000656BC" w14:paraId="4DF06E22" w14:textId="77777777" w:rsidTr="00A11F20">
        <w:tc>
          <w:tcPr>
            <w:tcW w:w="5000" w:type="pct"/>
            <w:gridSpan w:val="7"/>
            <w:shd w:val="clear" w:color="auto" w:fill="D9D9D9"/>
          </w:tcPr>
          <w:p w14:paraId="70A6FDB0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515F3E93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7290B">
              <w:rPr>
                <w:b/>
                <w:i/>
                <w:sz w:val="20"/>
                <w:szCs w:val="20"/>
              </w:rPr>
              <w:t>Agenda Item 8a: Draft Comprehensive Environmental Evaluations</w:t>
            </w:r>
          </w:p>
        </w:tc>
      </w:tr>
      <w:tr w:rsidR="0027538E" w:rsidRPr="000656BC" w14:paraId="7526EC7D" w14:textId="77777777" w:rsidTr="0027538E">
        <w:tc>
          <w:tcPr>
            <w:tcW w:w="770" w:type="pct"/>
          </w:tcPr>
          <w:p w14:paraId="1BBDFB4D" w14:textId="77777777" w:rsidR="0027538E" w:rsidRPr="000656BC" w:rsidRDefault="0027538E" w:rsidP="00A11F20">
            <w:pPr>
              <w:rPr>
                <w:color w:val="FF0000"/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Implementing and improving the EIA</w:t>
            </w:r>
            <w:r w:rsidRPr="000656BC">
              <w:rPr>
                <w:b/>
                <w:szCs w:val="22"/>
              </w:rPr>
              <w:t xml:space="preserve"> </w:t>
            </w:r>
            <w:r w:rsidRPr="000656BC">
              <w:rPr>
                <w:sz w:val="20"/>
                <w:szCs w:val="20"/>
              </w:rPr>
              <w:t>provisions</w:t>
            </w:r>
            <w:r w:rsidRPr="000656BC">
              <w:rPr>
                <w:b/>
                <w:szCs w:val="22"/>
              </w:rPr>
              <w:t xml:space="preserve"> </w:t>
            </w:r>
            <w:r w:rsidRPr="000656BC">
              <w:rPr>
                <w:sz w:val="20"/>
                <w:szCs w:val="20"/>
              </w:rPr>
              <w:t>of Annex I</w:t>
            </w:r>
          </w:p>
        </w:tc>
        <w:tc>
          <w:tcPr>
            <w:tcW w:w="1624" w:type="pct"/>
            <w:gridSpan w:val="3"/>
          </w:tcPr>
          <w:p w14:paraId="625E707E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Consider any changes required to EIA database to improve its utility.</w:t>
            </w:r>
          </w:p>
          <w:p w14:paraId="5C0E8277" w14:textId="77777777" w:rsidR="0027538E" w:rsidRPr="000656BC" w:rsidRDefault="0027538E" w:rsidP="00A11F20">
            <w:pPr>
              <w:rPr>
                <w:sz w:val="20"/>
                <w:szCs w:val="20"/>
              </w:rPr>
            </w:pPr>
          </w:p>
        </w:tc>
        <w:tc>
          <w:tcPr>
            <w:tcW w:w="465" w:type="pct"/>
          </w:tcPr>
          <w:p w14:paraId="33AFF044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7FA11CCB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Members</w:t>
            </w:r>
          </w:p>
        </w:tc>
        <w:tc>
          <w:tcPr>
            <w:tcW w:w="1297" w:type="pct"/>
          </w:tcPr>
          <w:p w14:paraId="62DA8B82" w14:textId="77777777" w:rsidR="0027538E" w:rsidRPr="000656BC" w:rsidRDefault="0027538E" w:rsidP="00A11F20">
            <w:pPr>
              <w:ind w:left="33"/>
              <w:rPr>
                <w:iCs/>
                <w:color w:val="FF0000"/>
                <w:sz w:val="20"/>
                <w:szCs w:val="20"/>
              </w:rPr>
            </w:pPr>
          </w:p>
        </w:tc>
      </w:tr>
      <w:tr w:rsidR="0027538E" w:rsidRPr="000656BC" w14:paraId="0FBFFA81" w14:textId="77777777" w:rsidTr="0027538E">
        <w:tc>
          <w:tcPr>
            <w:tcW w:w="770" w:type="pct"/>
          </w:tcPr>
          <w:p w14:paraId="714B77AF" w14:textId="77777777" w:rsidR="0027538E" w:rsidRPr="000656BC" w:rsidRDefault="0027538E" w:rsidP="00A11F20">
            <w:pPr>
              <w:rPr>
                <w:color w:val="FF0000"/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Implementing and improving the EIA</w:t>
            </w:r>
            <w:r w:rsidRPr="000656BC">
              <w:rPr>
                <w:b/>
                <w:szCs w:val="22"/>
              </w:rPr>
              <w:t xml:space="preserve"> </w:t>
            </w:r>
            <w:r w:rsidRPr="000656BC">
              <w:rPr>
                <w:sz w:val="20"/>
                <w:szCs w:val="20"/>
              </w:rPr>
              <w:t>provisions</w:t>
            </w:r>
            <w:r w:rsidRPr="000656BC">
              <w:rPr>
                <w:b/>
                <w:szCs w:val="22"/>
              </w:rPr>
              <w:t xml:space="preserve"> </w:t>
            </w:r>
            <w:r w:rsidRPr="000656BC">
              <w:rPr>
                <w:sz w:val="20"/>
                <w:szCs w:val="20"/>
              </w:rPr>
              <w:t>of Annex I</w:t>
            </w:r>
          </w:p>
        </w:tc>
        <w:tc>
          <w:tcPr>
            <w:tcW w:w="1624" w:type="pct"/>
            <w:gridSpan w:val="3"/>
          </w:tcPr>
          <w:p w14:paraId="773B7393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Work on further guidance with regards to commenting processes related to </w:t>
            </w:r>
            <w:proofErr w:type="spellStart"/>
            <w:r w:rsidRPr="000656BC">
              <w:rPr>
                <w:sz w:val="20"/>
                <w:szCs w:val="20"/>
              </w:rPr>
              <w:t>CEEs</w:t>
            </w:r>
            <w:proofErr w:type="spellEnd"/>
            <w:r w:rsidRPr="000656BC">
              <w:rPr>
                <w:sz w:val="20"/>
                <w:szCs w:val="20"/>
              </w:rPr>
              <w:t xml:space="preserve">. </w:t>
            </w:r>
          </w:p>
        </w:tc>
        <w:tc>
          <w:tcPr>
            <w:tcW w:w="465" w:type="pct"/>
          </w:tcPr>
          <w:p w14:paraId="3ECDCA1C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77CF69D0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Members</w:t>
            </w:r>
          </w:p>
        </w:tc>
        <w:tc>
          <w:tcPr>
            <w:tcW w:w="1297" w:type="pct"/>
          </w:tcPr>
          <w:p w14:paraId="6B1B4200" w14:textId="77777777" w:rsidR="0027538E" w:rsidRPr="000656BC" w:rsidRDefault="0027538E" w:rsidP="00A11F20">
            <w:pPr>
              <w:ind w:left="33"/>
              <w:rPr>
                <w:iCs/>
                <w:color w:val="FF0000"/>
                <w:sz w:val="20"/>
                <w:szCs w:val="20"/>
              </w:rPr>
            </w:pPr>
          </w:p>
        </w:tc>
      </w:tr>
      <w:tr w:rsidR="0027538E" w:rsidRPr="000656BC" w14:paraId="5299FAD9" w14:textId="77777777" w:rsidTr="0027538E">
        <w:tc>
          <w:tcPr>
            <w:tcW w:w="770" w:type="pct"/>
          </w:tcPr>
          <w:p w14:paraId="52F9EE1F" w14:textId="77777777" w:rsidR="0027538E" w:rsidRPr="000656BC" w:rsidRDefault="0027538E" w:rsidP="00A11F20">
            <w:pPr>
              <w:rPr>
                <w:color w:val="FF0000"/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Implementing and improving the EIA</w:t>
            </w:r>
            <w:r w:rsidRPr="000656BC">
              <w:rPr>
                <w:b/>
                <w:szCs w:val="22"/>
              </w:rPr>
              <w:t xml:space="preserve"> </w:t>
            </w:r>
            <w:r w:rsidRPr="000656BC">
              <w:rPr>
                <w:sz w:val="20"/>
                <w:szCs w:val="20"/>
              </w:rPr>
              <w:t>provisions</w:t>
            </w:r>
            <w:r w:rsidRPr="000656BC">
              <w:rPr>
                <w:b/>
                <w:szCs w:val="22"/>
              </w:rPr>
              <w:t xml:space="preserve"> </w:t>
            </w:r>
            <w:r w:rsidRPr="000656BC">
              <w:rPr>
                <w:sz w:val="20"/>
                <w:szCs w:val="20"/>
              </w:rPr>
              <w:t>of Annex I</w:t>
            </w:r>
          </w:p>
        </w:tc>
        <w:tc>
          <w:tcPr>
            <w:tcW w:w="1624" w:type="pct"/>
            <w:gridSpan w:val="3"/>
          </w:tcPr>
          <w:p w14:paraId="5930EB22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Initiate thinking around work required to ensure EIA Guidelines are consistent, fit-for-purpose and regularly reviewed to ensure that environmental assessments of coming modernisation projects reach high standards.</w:t>
            </w:r>
          </w:p>
        </w:tc>
        <w:tc>
          <w:tcPr>
            <w:tcW w:w="465" w:type="pct"/>
          </w:tcPr>
          <w:p w14:paraId="44B96951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59, 65</w:t>
            </w:r>
          </w:p>
        </w:tc>
        <w:tc>
          <w:tcPr>
            <w:tcW w:w="845" w:type="pct"/>
          </w:tcPr>
          <w:p w14:paraId="180A2CD5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  All Members</w:t>
            </w:r>
          </w:p>
        </w:tc>
        <w:tc>
          <w:tcPr>
            <w:tcW w:w="1297" w:type="pct"/>
          </w:tcPr>
          <w:p w14:paraId="5966AA24" w14:textId="77777777" w:rsidR="0027538E" w:rsidRPr="000656BC" w:rsidRDefault="0027538E" w:rsidP="00A11F20">
            <w:pPr>
              <w:ind w:left="33"/>
              <w:rPr>
                <w:iCs/>
                <w:color w:val="FF0000"/>
                <w:sz w:val="20"/>
                <w:szCs w:val="20"/>
              </w:rPr>
            </w:pPr>
          </w:p>
        </w:tc>
      </w:tr>
      <w:tr w:rsidR="0027538E" w:rsidRPr="000656BC" w14:paraId="7E7277C3" w14:textId="77777777" w:rsidTr="00A11F20">
        <w:tc>
          <w:tcPr>
            <w:tcW w:w="5000" w:type="pct"/>
            <w:gridSpan w:val="7"/>
            <w:shd w:val="clear" w:color="auto" w:fill="D9D9D9"/>
          </w:tcPr>
          <w:p w14:paraId="78393384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</w:p>
          <w:p w14:paraId="457A433E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  <w:r w:rsidRPr="000656BC">
              <w:rPr>
                <w:b/>
                <w:i/>
                <w:sz w:val="20"/>
                <w:szCs w:val="20"/>
              </w:rPr>
              <w:t xml:space="preserve">Agenda Item 8b: </w:t>
            </w:r>
            <w:r w:rsidRPr="0007290B">
              <w:rPr>
                <w:b/>
                <w:i/>
                <w:sz w:val="20"/>
                <w:szCs w:val="20"/>
              </w:rPr>
              <w:t>O</w:t>
            </w:r>
            <w:r w:rsidRPr="00E65D12">
              <w:rPr>
                <w:b/>
                <w:i/>
                <w:sz w:val="20"/>
                <w:szCs w:val="20"/>
              </w:rPr>
              <w:t>ther EIA Matters</w:t>
            </w:r>
          </w:p>
        </w:tc>
      </w:tr>
      <w:tr w:rsidR="0027538E" w:rsidRPr="000656BC" w14:paraId="1EC2188A" w14:textId="77777777" w:rsidTr="0027538E">
        <w:tc>
          <w:tcPr>
            <w:tcW w:w="775" w:type="pct"/>
            <w:gridSpan w:val="2"/>
          </w:tcPr>
          <w:p w14:paraId="086976AB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1: Tourism and NGO activities</w:t>
            </w:r>
          </w:p>
        </w:tc>
        <w:tc>
          <w:tcPr>
            <w:tcW w:w="1619" w:type="pct"/>
            <w:gridSpan w:val="2"/>
          </w:tcPr>
          <w:p w14:paraId="50FA374A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Work on developing a framework for conducting pre-assessments relating to new, novel or particularly concerning activities, focusing on the environmental aspects.</w:t>
            </w:r>
          </w:p>
        </w:tc>
        <w:tc>
          <w:tcPr>
            <w:tcW w:w="465" w:type="pct"/>
          </w:tcPr>
          <w:p w14:paraId="2A28026D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14, 17</w:t>
            </w:r>
          </w:p>
          <w:p w14:paraId="5BF1E2B1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69928AFF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Members and Observers</w:t>
            </w:r>
          </w:p>
        </w:tc>
        <w:tc>
          <w:tcPr>
            <w:tcW w:w="1297" w:type="pct"/>
            <w:shd w:val="clear" w:color="auto" w:fill="auto"/>
          </w:tcPr>
          <w:p w14:paraId="35EB4BA7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i/>
                <w:color w:val="auto"/>
                <w:sz w:val="20"/>
                <w:szCs w:val="20"/>
                <w:u w:val="single"/>
                <w:lang w:val="en-GB" w:eastAsia="en-AU"/>
              </w:rPr>
              <w:t>IP096</w:t>
            </w: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</w:t>
            </w:r>
            <w:bookmarkStart w:id="9" w:name="_Hlk71974173"/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>Framework for assessing ‘New, Novel or Particularly Concerning Activities’</w:t>
            </w:r>
            <w:bookmarkEnd w:id="9"/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(United Kingdom) – submitted to CEP 8b</w:t>
            </w:r>
          </w:p>
        </w:tc>
      </w:tr>
      <w:tr w:rsidR="0027538E" w:rsidRPr="000656BC" w14:paraId="76024647" w14:textId="77777777" w:rsidTr="00A11F20">
        <w:tc>
          <w:tcPr>
            <w:tcW w:w="5000" w:type="pct"/>
            <w:gridSpan w:val="7"/>
            <w:shd w:val="clear" w:color="auto" w:fill="D9D9D9"/>
          </w:tcPr>
          <w:p w14:paraId="17343BEE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</w:p>
          <w:p w14:paraId="49EBCC1D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  <w:r w:rsidRPr="000656BC">
              <w:rPr>
                <w:b/>
                <w:i/>
                <w:sz w:val="20"/>
                <w:szCs w:val="20"/>
              </w:rPr>
              <w:t>Agenda Item 9a: Area Protection and Management Plans: Management Plans</w:t>
            </w:r>
          </w:p>
        </w:tc>
      </w:tr>
      <w:tr w:rsidR="0027538E" w:rsidRPr="000656BC" w14:paraId="347FCD79" w14:textId="77777777" w:rsidTr="0027538E">
        <w:tc>
          <w:tcPr>
            <w:tcW w:w="775" w:type="pct"/>
            <w:gridSpan w:val="2"/>
          </w:tcPr>
          <w:p w14:paraId="504F1883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1: Processing new and revised protected / managed area management plans</w:t>
            </w:r>
          </w:p>
        </w:tc>
        <w:tc>
          <w:tcPr>
            <w:tcW w:w="1619" w:type="pct"/>
            <w:gridSpan w:val="2"/>
            <w:shd w:val="clear" w:color="auto" w:fill="auto"/>
          </w:tcPr>
          <w:p w14:paraId="056C4A36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SGMP</w:t>
            </w:r>
            <w:proofErr w:type="spellEnd"/>
            <w:r w:rsidRPr="000656BC">
              <w:rPr>
                <w:sz w:val="20"/>
                <w:szCs w:val="20"/>
              </w:rPr>
              <w:t xml:space="preserve"> to continue its intersessional review of the management plans for </w:t>
            </w:r>
            <w:proofErr w:type="spellStart"/>
            <w:r w:rsidRPr="000656BC">
              <w:rPr>
                <w:sz w:val="20"/>
                <w:szCs w:val="20"/>
              </w:rPr>
              <w:t>ASPA</w:t>
            </w:r>
            <w:proofErr w:type="spellEnd"/>
            <w:r w:rsidRPr="000656BC">
              <w:rPr>
                <w:sz w:val="20"/>
                <w:szCs w:val="20"/>
              </w:rPr>
              <w:t xml:space="preserve"> 125, </w:t>
            </w:r>
            <w:proofErr w:type="spellStart"/>
            <w:r w:rsidRPr="000656BC">
              <w:rPr>
                <w:sz w:val="20"/>
                <w:szCs w:val="20"/>
              </w:rPr>
              <w:t>ASPA</w:t>
            </w:r>
            <w:proofErr w:type="spellEnd"/>
            <w:r w:rsidRPr="000656BC">
              <w:rPr>
                <w:sz w:val="20"/>
                <w:szCs w:val="20"/>
              </w:rPr>
              <w:t xml:space="preserve"> 145, </w:t>
            </w:r>
            <w:proofErr w:type="spellStart"/>
            <w:r w:rsidRPr="000656BC">
              <w:rPr>
                <w:sz w:val="20"/>
                <w:szCs w:val="20"/>
              </w:rPr>
              <w:t>ASPA</w:t>
            </w:r>
            <w:proofErr w:type="spellEnd"/>
            <w:r w:rsidRPr="000656BC">
              <w:rPr>
                <w:sz w:val="20"/>
                <w:szCs w:val="20"/>
              </w:rPr>
              <w:t xml:space="preserve"> 146, and </w:t>
            </w:r>
            <w:proofErr w:type="spellStart"/>
            <w:r w:rsidRPr="000656BC">
              <w:rPr>
                <w:sz w:val="20"/>
                <w:szCs w:val="20"/>
              </w:rPr>
              <w:t>ASPA</w:t>
            </w:r>
            <w:proofErr w:type="spellEnd"/>
            <w:r w:rsidRPr="000656BC">
              <w:rPr>
                <w:sz w:val="20"/>
                <w:szCs w:val="20"/>
              </w:rPr>
              <w:t xml:space="preserve"> 150.</w:t>
            </w:r>
          </w:p>
        </w:tc>
        <w:tc>
          <w:tcPr>
            <w:tcW w:w="465" w:type="pct"/>
          </w:tcPr>
          <w:p w14:paraId="2667AD52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78, 161</w:t>
            </w:r>
          </w:p>
          <w:p w14:paraId="7270E300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pct"/>
            <w:shd w:val="clear" w:color="auto" w:fill="auto"/>
          </w:tcPr>
          <w:p w14:paraId="6FC16A63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SGMP</w:t>
            </w:r>
            <w:proofErr w:type="spellEnd"/>
            <w:r w:rsidRPr="000656BC">
              <w:rPr>
                <w:sz w:val="20"/>
                <w:szCs w:val="20"/>
              </w:rPr>
              <w:t>, Chile, interested Members and Observers</w:t>
            </w:r>
          </w:p>
        </w:tc>
        <w:tc>
          <w:tcPr>
            <w:tcW w:w="1297" w:type="pct"/>
          </w:tcPr>
          <w:p w14:paraId="6A1B4DAD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i/>
                <w:sz w:val="20"/>
                <w:szCs w:val="20"/>
                <w:u w:val="single"/>
              </w:rPr>
              <w:t>WP062</w:t>
            </w:r>
            <w:r w:rsidRPr="000656BC">
              <w:rPr>
                <w:i/>
                <w:sz w:val="20"/>
                <w:szCs w:val="20"/>
              </w:rPr>
              <w:t xml:space="preserve"> Subsidiary Group on Management Plans Report of activities during the intersessional period 2019-2021</w:t>
            </w:r>
            <w:r w:rsidRPr="000656BC">
              <w:rPr>
                <w:sz w:val="20"/>
                <w:szCs w:val="20"/>
              </w:rPr>
              <w:t xml:space="preserve"> (Argentina) – submitted to CEP 9a.</w:t>
            </w:r>
          </w:p>
        </w:tc>
      </w:tr>
      <w:tr w:rsidR="0027538E" w:rsidRPr="000656BC" w14:paraId="6565DD00" w14:textId="77777777" w:rsidTr="0027538E">
        <w:tc>
          <w:tcPr>
            <w:tcW w:w="775" w:type="pct"/>
            <w:gridSpan w:val="2"/>
          </w:tcPr>
          <w:p w14:paraId="25FA7CD1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1: Processing new and revised protected / managed area management plans</w:t>
            </w:r>
          </w:p>
        </w:tc>
        <w:tc>
          <w:tcPr>
            <w:tcW w:w="1619" w:type="pct"/>
            <w:gridSpan w:val="2"/>
            <w:shd w:val="clear" w:color="auto" w:fill="auto"/>
          </w:tcPr>
          <w:p w14:paraId="159319F2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SGMP</w:t>
            </w:r>
            <w:proofErr w:type="spellEnd"/>
            <w:r w:rsidRPr="000656BC">
              <w:rPr>
                <w:sz w:val="20"/>
                <w:szCs w:val="20"/>
              </w:rPr>
              <w:t xml:space="preserve"> to review the draft management plan for the three new proposed </w:t>
            </w:r>
            <w:proofErr w:type="spellStart"/>
            <w:r w:rsidRPr="000656BC">
              <w:rPr>
                <w:sz w:val="20"/>
                <w:szCs w:val="20"/>
              </w:rPr>
              <w:t>ASPAs</w:t>
            </w:r>
            <w:proofErr w:type="spellEnd"/>
            <w:r w:rsidRPr="000656BC">
              <w:rPr>
                <w:sz w:val="20"/>
                <w:szCs w:val="20"/>
              </w:rPr>
              <w:t xml:space="preserve">: Rosenthal Islands, </w:t>
            </w:r>
            <w:proofErr w:type="spellStart"/>
            <w:r w:rsidRPr="000656BC">
              <w:rPr>
                <w:sz w:val="20"/>
                <w:szCs w:val="20"/>
              </w:rPr>
              <w:t>Léonie</w:t>
            </w:r>
            <w:proofErr w:type="spellEnd"/>
            <w:r w:rsidRPr="000656BC">
              <w:rPr>
                <w:sz w:val="20"/>
                <w:szCs w:val="20"/>
              </w:rPr>
              <w:t xml:space="preserve"> Islands &amp; south-east Adelaide Island and Inexpressible Island and Seaview Bay.</w:t>
            </w:r>
          </w:p>
        </w:tc>
        <w:tc>
          <w:tcPr>
            <w:tcW w:w="465" w:type="pct"/>
          </w:tcPr>
          <w:p w14:paraId="47571F59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110, 161</w:t>
            </w:r>
          </w:p>
        </w:tc>
        <w:tc>
          <w:tcPr>
            <w:tcW w:w="845" w:type="pct"/>
            <w:shd w:val="clear" w:color="auto" w:fill="auto"/>
          </w:tcPr>
          <w:p w14:paraId="745A6947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SGMP</w:t>
            </w:r>
            <w:proofErr w:type="spellEnd"/>
            <w:r w:rsidRPr="000656BC">
              <w:rPr>
                <w:sz w:val="20"/>
                <w:szCs w:val="20"/>
              </w:rPr>
              <w:t>, interested Members and Observers</w:t>
            </w:r>
          </w:p>
        </w:tc>
        <w:tc>
          <w:tcPr>
            <w:tcW w:w="1297" w:type="pct"/>
          </w:tcPr>
          <w:p w14:paraId="4B85C1BA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i/>
                <w:sz w:val="20"/>
                <w:szCs w:val="20"/>
                <w:u w:val="single"/>
              </w:rPr>
              <w:t>WP062</w:t>
            </w:r>
            <w:r w:rsidRPr="000656BC">
              <w:rPr>
                <w:i/>
                <w:sz w:val="20"/>
                <w:szCs w:val="20"/>
              </w:rPr>
              <w:t xml:space="preserve"> Subsidiary Group on Management Plans Report of activities during the intersessional period 2019-2021</w:t>
            </w:r>
            <w:r w:rsidRPr="000656BC">
              <w:rPr>
                <w:sz w:val="20"/>
                <w:szCs w:val="20"/>
              </w:rPr>
              <w:t xml:space="preserve"> (Argentina)– submitted to CEP 9a</w:t>
            </w:r>
          </w:p>
        </w:tc>
      </w:tr>
      <w:tr w:rsidR="0027538E" w:rsidRPr="000656BC" w14:paraId="44E1AAF7" w14:textId="77777777" w:rsidTr="0027538E">
        <w:tc>
          <w:tcPr>
            <w:tcW w:w="775" w:type="pct"/>
            <w:gridSpan w:val="2"/>
          </w:tcPr>
          <w:p w14:paraId="0FDC4070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1: Processing new and revised protected / managed area management plans</w:t>
            </w:r>
          </w:p>
        </w:tc>
        <w:tc>
          <w:tcPr>
            <w:tcW w:w="1619" w:type="pct"/>
            <w:gridSpan w:val="2"/>
          </w:tcPr>
          <w:p w14:paraId="0FA0D0B2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SGMP</w:t>
            </w:r>
            <w:proofErr w:type="spellEnd"/>
            <w:r w:rsidRPr="000656BC">
              <w:rPr>
                <w:sz w:val="20"/>
                <w:szCs w:val="20"/>
              </w:rPr>
              <w:t xml:space="preserve"> to conduct work under its terms of reference 4 &amp; 5, including further considerations of options for supporting proponents to conclude revisions of management plans that remain for several intersessional periods under the scope of </w:t>
            </w:r>
            <w:proofErr w:type="spellStart"/>
            <w:r w:rsidRPr="000656BC">
              <w:rPr>
                <w:sz w:val="20"/>
                <w:szCs w:val="20"/>
              </w:rPr>
              <w:t>SGMP</w:t>
            </w:r>
            <w:proofErr w:type="spellEnd"/>
            <w:r w:rsidRPr="000656BC">
              <w:rPr>
                <w:sz w:val="20"/>
                <w:szCs w:val="20"/>
              </w:rPr>
              <w:t>.</w:t>
            </w:r>
          </w:p>
        </w:tc>
        <w:tc>
          <w:tcPr>
            <w:tcW w:w="465" w:type="pct"/>
          </w:tcPr>
          <w:p w14:paraId="2773057F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161</w:t>
            </w:r>
          </w:p>
          <w:p w14:paraId="02A6A1E5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</w:p>
          <w:p w14:paraId="4D9D8FFA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pct"/>
          </w:tcPr>
          <w:p w14:paraId="30A95618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SGMP</w:t>
            </w:r>
            <w:proofErr w:type="spellEnd"/>
          </w:p>
        </w:tc>
        <w:tc>
          <w:tcPr>
            <w:tcW w:w="1297" w:type="pct"/>
          </w:tcPr>
          <w:p w14:paraId="6B58B341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i/>
                <w:sz w:val="20"/>
                <w:szCs w:val="20"/>
                <w:u w:val="single"/>
              </w:rPr>
              <w:t>WP062</w:t>
            </w:r>
            <w:r w:rsidRPr="000656BC">
              <w:rPr>
                <w:i/>
                <w:sz w:val="20"/>
                <w:szCs w:val="20"/>
              </w:rPr>
              <w:t xml:space="preserve"> Subsidiary Group on Management Plans Report of activities during the intersessional period 2019-2021</w:t>
            </w:r>
            <w:r w:rsidRPr="000656BC">
              <w:rPr>
                <w:sz w:val="20"/>
                <w:szCs w:val="20"/>
              </w:rPr>
              <w:t xml:space="preserve"> (Argentina)– submitted to CEP 9a.</w:t>
            </w:r>
          </w:p>
        </w:tc>
      </w:tr>
      <w:tr w:rsidR="0027538E" w:rsidRPr="000656BC" w14:paraId="3AAE8D76" w14:textId="77777777" w:rsidTr="0027538E">
        <w:tc>
          <w:tcPr>
            <w:tcW w:w="775" w:type="pct"/>
            <w:gridSpan w:val="2"/>
          </w:tcPr>
          <w:p w14:paraId="2068A45E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lastRenderedPageBreak/>
              <w:t>1: Processing new and revised protected / managed area management plans</w:t>
            </w:r>
          </w:p>
        </w:tc>
        <w:tc>
          <w:tcPr>
            <w:tcW w:w="1619" w:type="pct"/>
            <w:gridSpan w:val="2"/>
          </w:tcPr>
          <w:p w14:paraId="69766D6F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Norway to lead further work on guidance / criteria for delisting of </w:t>
            </w:r>
            <w:proofErr w:type="spellStart"/>
            <w:r w:rsidRPr="000656BC">
              <w:rPr>
                <w:sz w:val="20"/>
                <w:szCs w:val="20"/>
              </w:rPr>
              <w:t>ASPAs</w:t>
            </w:r>
            <w:proofErr w:type="spellEnd"/>
            <w:r w:rsidRPr="000656BC">
              <w:rPr>
                <w:sz w:val="20"/>
                <w:szCs w:val="20"/>
              </w:rPr>
              <w:t>.</w:t>
            </w:r>
          </w:p>
        </w:tc>
        <w:tc>
          <w:tcPr>
            <w:tcW w:w="465" w:type="pct"/>
          </w:tcPr>
          <w:p w14:paraId="7F511981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164</w:t>
            </w:r>
          </w:p>
          <w:p w14:paraId="654C766D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  <w:p w14:paraId="41682A82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pct"/>
          </w:tcPr>
          <w:p w14:paraId="5433A12E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Norway, interested Members</w:t>
            </w:r>
          </w:p>
        </w:tc>
        <w:tc>
          <w:tcPr>
            <w:tcW w:w="1297" w:type="pct"/>
          </w:tcPr>
          <w:p w14:paraId="5BBB4763" w14:textId="77777777" w:rsidR="0027538E" w:rsidRPr="000656BC" w:rsidRDefault="0027538E" w:rsidP="00A11F20">
            <w:pPr>
              <w:pStyle w:val="Default"/>
              <w:rPr>
                <w:color w:val="auto"/>
                <w:sz w:val="19"/>
                <w:szCs w:val="20"/>
                <w:lang w:val="en-GB" w:eastAsia="en-AU"/>
              </w:rPr>
            </w:pPr>
            <w:r w:rsidRPr="000656BC">
              <w:rPr>
                <w:i/>
                <w:color w:val="auto"/>
                <w:sz w:val="20"/>
                <w:szCs w:val="20"/>
                <w:u w:val="single"/>
                <w:lang w:val="en-GB" w:eastAsia="en-AU"/>
              </w:rPr>
              <w:t xml:space="preserve">WP005 </w:t>
            </w:r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>Suggested guidelines for the de-designation of Antarctic Specially Protected Areas (</w:t>
            </w:r>
            <w:proofErr w:type="spellStart"/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>ASPA</w:t>
            </w:r>
            <w:proofErr w:type="spellEnd"/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>)</w:t>
            </w: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(Norway, Australia, China, New Zealand, United Kingdom, United States) – submitted to CEP 9e</w:t>
            </w:r>
          </w:p>
        </w:tc>
      </w:tr>
      <w:tr w:rsidR="0027538E" w:rsidRPr="000656BC" w14:paraId="6F8B7C0C" w14:textId="77777777" w:rsidTr="00A11F20">
        <w:tc>
          <w:tcPr>
            <w:tcW w:w="5000" w:type="pct"/>
            <w:gridSpan w:val="7"/>
            <w:shd w:val="clear" w:color="auto" w:fill="D9D9D9"/>
          </w:tcPr>
          <w:p w14:paraId="5A06C5DB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  <w:highlight w:val="yellow"/>
              </w:rPr>
            </w:pPr>
          </w:p>
          <w:p w14:paraId="50E15520" w14:textId="77777777" w:rsidR="0027538E" w:rsidRPr="000656BC" w:rsidRDefault="0027538E" w:rsidP="00A11F20">
            <w:pPr>
              <w:ind w:left="33"/>
              <w:rPr>
                <w:sz w:val="20"/>
                <w:szCs w:val="20"/>
                <w:highlight w:val="yellow"/>
              </w:rPr>
            </w:pPr>
            <w:r w:rsidRPr="000656BC">
              <w:rPr>
                <w:b/>
                <w:i/>
                <w:sz w:val="20"/>
                <w:szCs w:val="20"/>
              </w:rPr>
              <w:t>Agenda Item 9b: Area Protection and Management Plans: Historic Sites and Monuments</w:t>
            </w:r>
          </w:p>
        </w:tc>
      </w:tr>
      <w:tr w:rsidR="0027538E" w:rsidRPr="000656BC" w14:paraId="60444CC3" w14:textId="77777777" w:rsidTr="0027538E">
        <w:tc>
          <w:tcPr>
            <w:tcW w:w="770" w:type="pct"/>
          </w:tcPr>
          <w:p w14:paraId="5522C6E1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Designation and management of Historic Sites and Monuments</w:t>
            </w:r>
          </w:p>
        </w:tc>
        <w:tc>
          <w:tcPr>
            <w:tcW w:w="1624" w:type="pct"/>
            <w:gridSpan w:val="3"/>
          </w:tcPr>
          <w:p w14:paraId="32347C95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United Kingdom to lead informal discussions relating to guidance material in relation to conservation management plans as tools to protect Antarctic heritage.</w:t>
            </w:r>
          </w:p>
        </w:tc>
        <w:tc>
          <w:tcPr>
            <w:tcW w:w="465" w:type="pct"/>
          </w:tcPr>
          <w:p w14:paraId="229C279D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125</w:t>
            </w:r>
          </w:p>
          <w:p w14:paraId="5BA87073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67EED161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United Kingdom, interested Members</w:t>
            </w:r>
          </w:p>
        </w:tc>
        <w:tc>
          <w:tcPr>
            <w:tcW w:w="1297" w:type="pct"/>
          </w:tcPr>
          <w:p w14:paraId="4FE35BC4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</w:p>
        </w:tc>
      </w:tr>
      <w:tr w:rsidR="0027538E" w:rsidRPr="000656BC" w14:paraId="166D59AB" w14:textId="77777777" w:rsidTr="0027538E">
        <w:tc>
          <w:tcPr>
            <w:tcW w:w="770" w:type="pct"/>
          </w:tcPr>
          <w:p w14:paraId="3741B785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Designation and management of Historic Sites and Monuments</w:t>
            </w:r>
          </w:p>
        </w:tc>
        <w:tc>
          <w:tcPr>
            <w:tcW w:w="1624" w:type="pct"/>
            <w:gridSpan w:val="3"/>
          </w:tcPr>
          <w:p w14:paraId="6F2A4B9F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Members to provide information relevant to </w:t>
            </w:r>
            <w:proofErr w:type="spellStart"/>
            <w:r w:rsidRPr="000656BC">
              <w:rPr>
                <w:sz w:val="20"/>
                <w:szCs w:val="20"/>
              </w:rPr>
              <w:t>HSMs</w:t>
            </w:r>
            <w:proofErr w:type="spellEnd"/>
            <w:r w:rsidRPr="000656BC">
              <w:rPr>
                <w:sz w:val="20"/>
                <w:szCs w:val="20"/>
              </w:rPr>
              <w:t xml:space="preserve"> they have information about, interest in or responsibility for, to facilitate the drafting of a list of  </w:t>
            </w:r>
            <w:proofErr w:type="spellStart"/>
            <w:r w:rsidRPr="000656BC">
              <w:rPr>
                <w:sz w:val="20"/>
                <w:szCs w:val="20"/>
              </w:rPr>
              <w:t>HSMs</w:t>
            </w:r>
            <w:proofErr w:type="spellEnd"/>
            <w:r w:rsidRPr="000656BC">
              <w:rPr>
                <w:sz w:val="20"/>
                <w:szCs w:val="20"/>
              </w:rPr>
              <w:t xml:space="preserve"> (current and the newly approved listings) in the adopted new format for </w:t>
            </w:r>
            <w:proofErr w:type="spellStart"/>
            <w:r w:rsidRPr="000656BC">
              <w:rPr>
                <w:sz w:val="20"/>
                <w:szCs w:val="20"/>
              </w:rPr>
              <w:t>HSMs</w:t>
            </w:r>
            <w:proofErr w:type="spellEnd"/>
            <w:r w:rsidRPr="000656BC">
              <w:rPr>
                <w:sz w:val="20"/>
                <w:szCs w:val="20"/>
              </w:rPr>
              <w:t xml:space="preserve">. </w:t>
            </w:r>
          </w:p>
        </w:tc>
        <w:tc>
          <w:tcPr>
            <w:tcW w:w="465" w:type="pct"/>
          </w:tcPr>
          <w:p w14:paraId="44A3F897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127</w:t>
            </w:r>
          </w:p>
          <w:p w14:paraId="61848D00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3522122A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Members</w:t>
            </w:r>
          </w:p>
        </w:tc>
        <w:tc>
          <w:tcPr>
            <w:tcW w:w="1297" w:type="pct"/>
          </w:tcPr>
          <w:p w14:paraId="771FB4F0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i/>
                <w:color w:val="auto"/>
                <w:sz w:val="20"/>
                <w:szCs w:val="20"/>
                <w:u w:val="single"/>
                <w:lang w:val="en-GB" w:eastAsia="en-AU"/>
              </w:rPr>
              <w:t>WP060</w:t>
            </w:r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 xml:space="preserve"> Rev1 Reformatting of the list of Historic Sites and Monuments in line with Decision 1 (2019)</w:t>
            </w: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(Argentina, Norway, United Kingdom) – submitted to CEP 9b</w:t>
            </w:r>
          </w:p>
        </w:tc>
      </w:tr>
      <w:tr w:rsidR="0027538E" w:rsidRPr="000656BC" w14:paraId="6D46F009" w14:textId="77777777" w:rsidTr="00A11F20">
        <w:tc>
          <w:tcPr>
            <w:tcW w:w="5000" w:type="pct"/>
            <w:gridSpan w:val="7"/>
            <w:shd w:val="clear" w:color="auto" w:fill="D9D9D9"/>
          </w:tcPr>
          <w:p w14:paraId="7C15BFF9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  <w:highlight w:val="yellow"/>
              </w:rPr>
            </w:pPr>
          </w:p>
          <w:p w14:paraId="69729EE7" w14:textId="77777777" w:rsidR="0027538E" w:rsidRPr="000656BC" w:rsidRDefault="0027538E" w:rsidP="00A11F20">
            <w:pPr>
              <w:ind w:left="33"/>
              <w:rPr>
                <w:sz w:val="20"/>
                <w:szCs w:val="20"/>
                <w:highlight w:val="yellow"/>
              </w:rPr>
            </w:pPr>
            <w:r w:rsidRPr="000656BC">
              <w:rPr>
                <w:b/>
                <w:i/>
                <w:sz w:val="20"/>
                <w:szCs w:val="20"/>
              </w:rPr>
              <w:t>Agenda Item 9c: Area Protection and Management Plans: Site Guidelines</w:t>
            </w:r>
          </w:p>
        </w:tc>
      </w:tr>
      <w:tr w:rsidR="0027538E" w:rsidRPr="000656BC" w14:paraId="5A0E0680" w14:textId="77777777" w:rsidTr="0027538E">
        <w:tc>
          <w:tcPr>
            <w:tcW w:w="770" w:type="pct"/>
          </w:tcPr>
          <w:p w14:paraId="55738D98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Site specific guidelines for tourist-visited sites</w:t>
            </w:r>
          </w:p>
        </w:tc>
        <w:tc>
          <w:tcPr>
            <w:tcW w:w="1624" w:type="pct"/>
            <w:gridSpan w:val="3"/>
          </w:tcPr>
          <w:p w14:paraId="4D0BD1AA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Parties to engage in the development of additional site-specific visitor guidelines and in the regular review of existing ones, with further consideration given to elaborating seasonal considerations in site guidelines.</w:t>
            </w:r>
          </w:p>
        </w:tc>
        <w:tc>
          <w:tcPr>
            <w:tcW w:w="465" w:type="pct"/>
          </w:tcPr>
          <w:p w14:paraId="5977519B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14</w:t>
            </w:r>
          </w:p>
          <w:p w14:paraId="518281E5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pct"/>
          </w:tcPr>
          <w:p w14:paraId="16BE1F30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Members</w:t>
            </w:r>
          </w:p>
        </w:tc>
        <w:tc>
          <w:tcPr>
            <w:tcW w:w="1297" w:type="pct"/>
          </w:tcPr>
          <w:p w14:paraId="16BF249F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i/>
                <w:color w:val="auto"/>
                <w:sz w:val="20"/>
                <w:szCs w:val="20"/>
                <w:u w:val="single"/>
                <w:lang w:val="en-GB" w:eastAsia="en-AU"/>
              </w:rPr>
              <w:t xml:space="preserve">WP007 </w:t>
            </w:r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>Revised Visitor Site Guidelines for Site No. 28 Seabee Hook, Cape Hallett, Northern Victoria Land, Ross Sea</w:t>
            </w: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(United States)</w:t>
            </w:r>
          </w:p>
          <w:p w14:paraId="3DEC935F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i/>
                <w:color w:val="auto"/>
                <w:sz w:val="20"/>
                <w:szCs w:val="20"/>
                <w:u w:val="single"/>
                <w:lang w:val="en-GB" w:eastAsia="en-AU"/>
              </w:rPr>
              <w:t>WP044</w:t>
            </w:r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 xml:space="preserve"> Antarctic Treaty Visitor Site Guides for important historic sites in the Ross Sea region</w:t>
            </w: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(New Zealand and United States)</w:t>
            </w:r>
          </w:p>
          <w:p w14:paraId="37DE7269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i/>
                <w:color w:val="auto"/>
                <w:sz w:val="20"/>
                <w:szCs w:val="20"/>
                <w:u w:val="single"/>
                <w:lang w:val="en-GB" w:eastAsia="en-AU"/>
              </w:rPr>
              <w:t xml:space="preserve">WP056 </w:t>
            </w:r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>Proposed Visitor Site Guidelines for Argentine Islands, Wilhelm Archipelago</w:t>
            </w: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(Ukraine)</w:t>
            </w:r>
          </w:p>
          <w:p w14:paraId="6BD80A3F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color w:val="auto"/>
                <w:sz w:val="20"/>
                <w:szCs w:val="20"/>
                <w:lang w:val="en-GB" w:eastAsia="en-AU"/>
              </w:rPr>
              <w:t>- all submitted to CEP 9c</w:t>
            </w:r>
          </w:p>
        </w:tc>
      </w:tr>
      <w:tr w:rsidR="0027538E" w:rsidRPr="000656BC" w14:paraId="08471C5F" w14:textId="77777777" w:rsidTr="0027538E">
        <w:tc>
          <w:tcPr>
            <w:tcW w:w="770" w:type="pct"/>
          </w:tcPr>
          <w:p w14:paraId="671C40D4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Site specific guidelines for tourist-visited sites</w:t>
            </w:r>
          </w:p>
        </w:tc>
        <w:tc>
          <w:tcPr>
            <w:tcW w:w="1624" w:type="pct"/>
            <w:gridSpan w:val="3"/>
          </w:tcPr>
          <w:p w14:paraId="41EFE72C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Participate in </w:t>
            </w:r>
            <w:proofErr w:type="spellStart"/>
            <w:r w:rsidRPr="000656BC">
              <w:rPr>
                <w:sz w:val="20"/>
                <w:szCs w:val="20"/>
              </w:rPr>
              <w:t>ICG</w:t>
            </w:r>
            <w:proofErr w:type="spellEnd"/>
            <w:r w:rsidRPr="000656BC">
              <w:rPr>
                <w:sz w:val="20"/>
                <w:szCs w:val="20"/>
              </w:rPr>
              <w:t xml:space="preserve"> to address the existing guidance for visitors to the continent, with a view to strengthen that guidance and ensure that activities from visitors, including from tourism and non-governmental activities, singularly and cumulatively, have less than a minor or transitory impact (lead by Germany)</w:t>
            </w:r>
          </w:p>
        </w:tc>
        <w:tc>
          <w:tcPr>
            <w:tcW w:w="465" w:type="pct"/>
          </w:tcPr>
          <w:p w14:paraId="2B845AE0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15-16</w:t>
            </w:r>
          </w:p>
          <w:p w14:paraId="0F9F1FB1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668F7462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Germany, interested Members and Observers</w:t>
            </w:r>
          </w:p>
        </w:tc>
        <w:tc>
          <w:tcPr>
            <w:tcW w:w="1297" w:type="pct"/>
          </w:tcPr>
          <w:p w14:paraId="2870BE73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i/>
                <w:color w:val="auto"/>
                <w:sz w:val="20"/>
                <w:szCs w:val="20"/>
                <w:u w:val="single"/>
                <w:lang w:val="en-GB" w:eastAsia="en-AU"/>
              </w:rPr>
              <w:t>WP011</w:t>
            </w:r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 xml:space="preserve"> Report from the Intersessional Contact Group (</w:t>
            </w:r>
            <w:proofErr w:type="spellStart"/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>ICG</w:t>
            </w:r>
            <w:proofErr w:type="spellEnd"/>
            <w:r w:rsidRPr="000656BC">
              <w:rPr>
                <w:i/>
                <w:color w:val="auto"/>
                <w:sz w:val="20"/>
                <w:szCs w:val="20"/>
                <w:lang w:val="en-GB" w:eastAsia="en-AU"/>
              </w:rPr>
              <w:t>) on strengthening the existing guidance for visitors to Antarctica – Proposal to adopt updated General Guidelines for Visitors to the Antarctic</w:t>
            </w: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(Germany) – submitted to CEP 9c</w:t>
            </w:r>
          </w:p>
        </w:tc>
      </w:tr>
      <w:tr w:rsidR="0027538E" w:rsidRPr="000656BC" w14:paraId="511A9C38" w14:textId="77777777" w:rsidTr="0027538E">
        <w:tc>
          <w:tcPr>
            <w:tcW w:w="770" w:type="pct"/>
          </w:tcPr>
          <w:p w14:paraId="2B180CC7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Site specific guidelines for tourist-visited sites</w:t>
            </w:r>
          </w:p>
        </w:tc>
        <w:tc>
          <w:tcPr>
            <w:tcW w:w="1624" w:type="pct"/>
            <w:gridSpan w:val="3"/>
          </w:tcPr>
          <w:p w14:paraId="3E1218DD" w14:textId="77777777" w:rsidR="0027538E" w:rsidRDefault="0027538E" w:rsidP="00A11F20">
            <w:pPr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IAATO</w:t>
            </w:r>
            <w:proofErr w:type="spellEnd"/>
            <w:r w:rsidRPr="000656BC">
              <w:rPr>
                <w:sz w:val="20"/>
                <w:szCs w:val="20"/>
              </w:rPr>
              <w:t xml:space="preserve"> to review the list of current camping locations, as reported in IP 98 (2013) and update the committee as appropriate.</w:t>
            </w:r>
          </w:p>
          <w:p w14:paraId="4AC9EC98" w14:textId="77777777" w:rsidR="0027538E" w:rsidRDefault="0027538E" w:rsidP="00A11F20">
            <w:pPr>
              <w:rPr>
                <w:sz w:val="20"/>
                <w:szCs w:val="20"/>
              </w:rPr>
            </w:pPr>
          </w:p>
          <w:p w14:paraId="2095DB28" w14:textId="77777777" w:rsidR="0027538E" w:rsidRDefault="0027538E" w:rsidP="00A11F20">
            <w:pPr>
              <w:rPr>
                <w:sz w:val="20"/>
                <w:szCs w:val="20"/>
              </w:rPr>
            </w:pPr>
          </w:p>
          <w:p w14:paraId="597B4345" w14:textId="77777777" w:rsidR="0027538E" w:rsidRDefault="0027538E" w:rsidP="00A11F20">
            <w:pPr>
              <w:rPr>
                <w:sz w:val="20"/>
                <w:szCs w:val="20"/>
              </w:rPr>
            </w:pPr>
          </w:p>
          <w:p w14:paraId="251708A4" w14:textId="77777777" w:rsidR="0027538E" w:rsidRDefault="0027538E" w:rsidP="00A11F20">
            <w:pPr>
              <w:rPr>
                <w:sz w:val="20"/>
                <w:szCs w:val="20"/>
              </w:rPr>
            </w:pPr>
          </w:p>
          <w:p w14:paraId="54AF04D6" w14:textId="68D095FD" w:rsidR="0027538E" w:rsidRPr="000656BC" w:rsidRDefault="0027538E" w:rsidP="00A11F20">
            <w:pPr>
              <w:rPr>
                <w:sz w:val="20"/>
                <w:szCs w:val="20"/>
              </w:rPr>
            </w:pPr>
            <w:bookmarkStart w:id="10" w:name="_GoBack"/>
            <w:bookmarkEnd w:id="10"/>
          </w:p>
        </w:tc>
        <w:tc>
          <w:tcPr>
            <w:tcW w:w="465" w:type="pct"/>
          </w:tcPr>
          <w:p w14:paraId="595957B6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171</w:t>
            </w:r>
          </w:p>
        </w:tc>
        <w:tc>
          <w:tcPr>
            <w:tcW w:w="845" w:type="pct"/>
          </w:tcPr>
          <w:p w14:paraId="5386D661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IAATO</w:t>
            </w:r>
            <w:proofErr w:type="spellEnd"/>
          </w:p>
        </w:tc>
        <w:tc>
          <w:tcPr>
            <w:tcW w:w="1297" w:type="pct"/>
          </w:tcPr>
          <w:p w14:paraId="76DB2B57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</w:p>
        </w:tc>
      </w:tr>
      <w:tr w:rsidR="0027538E" w:rsidRPr="000656BC" w14:paraId="02832C77" w14:textId="77777777" w:rsidTr="0027538E">
        <w:tc>
          <w:tcPr>
            <w:tcW w:w="770" w:type="pct"/>
          </w:tcPr>
          <w:p w14:paraId="04E7F4AD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lastRenderedPageBreak/>
              <w:t>2: Site specific guidelines for tourist-visited sites</w:t>
            </w:r>
          </w:p>
        </w:tc>
        <w:tc>
          <w:tcPr>
            <w:tcW w:w="1624" w:type="pct"/>
            <w:gridSpan w:val="3"/>
          </w:tcPr>
          <w:p w14:paraId="51A24CA4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Work toward developing guidelines for short overnight stays to ensure consistent application of best practices and minimise impacts to the Antarctic environment.</w:t>
            </w:r>
          </w:p>
        </w:tc>
        <w:tc>
          <w:tcPr>
            <w:tcW w:w="465" w:type="pct"/>
          </w:tcPr>
          <w:p w14:paraId="5A630778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242262E8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Members</w:t>
            </w:r>
          </w:p>
        </w:tc>
        <w:tc>
          <w:tcPr>
            <w:tcW w:w="1297" w:type="pct"/>
            <w:shd w:val="clear" w:color="auto" w:fill="auto"/>
          </w:tcPr>
          <w:p w14:paraId="56392FBA" w14:textId="77777777" w:rsidR="0027538E" w:rsidRPr="000656BC" w:rsidRDefault="0027538E" w:rsidP="0027538E">
            <w:pPr>
              <w:pStyle w:val="ATSBullet1"/>
              <w:numPr>
                <w:ilvl w:val="0"/>
                <w:numId w:val="0"/>
              </w:numPr>
              <w:rPr>
                <w:sz w:val="20"/>
                <w:szCs w:val="20"/>
                <w:lang w:eastAsia="en-AU"/>
              </w:rPr>
            </w:pPr>
            <w:r w:rsidRPr="000656BC">
              <w:rPr>
                <w:i/>
                <w:sz w:val="20"/>
                <w:szCs w:val="20"/>
                <w:u w:val="single"/>
                <w:lang w:eastAsia="en-AU"/>
              </w:rPr>
              <w:t>IP104</w:t>
            </w:r>
            <w:r w:rsidRPr="000656BC">
              <w:rPr>
                <w:i/>
                <w:sz w:val="20"/>
                <w:szCs w:val="20"/>
                <w:lang w:eastAsia="en-AU"/>
              </w:rPr>
              <w:t xml:space="preserve"> Guidance on Short Overnight Stays: Consistency and Coordination through Knowledge Sharing</w:t>
            </w:r>
            <w:r w:rsidRPr="000656BC">
              <w:rPr>
                <w:sz w:val="20"/>
                <w:szCs w:val="20"/>
                <w:lang w:eastAsia="en-AU"/>
              </w:rPr>
              <w:t xml:space="preserve"> (United States, Canada)</w:t>
            </w:r>
            <w:r>
              <w:rPr>
                <w:sz w:val="20"/>
                <w:szCs w:val="20"/>
                <w:lang w:eastAsia="en-AU"/>
              </w:rPr>
              <w:t xml:space="preserve"> </w:t>
            </w:r>
            <w:r w:rsidRPr="00750B00">
              <w:rPr>
                <w:sz w:val="20"/>
                <w:szCs w:val="20"/>
              </w:rPr>
              <w:t>submitted to CEP 9</w:t>
            </w:r>
            <w:r>
              <w:rPr>
                <w:sz w:val="20"/>
                <w:szCs w:val="20"/>
              </w:rPr>
              <w:t>e</w:t>
            </w:r>
          </w:p>
          <w:p w14:paraId="6AE8DD6A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</w:p>
        </w:tc>
      </w:tr>
      <w:tr w:rsidR="0027538E" w:rsidRPr="000656BC" w14:paraId="4AC02FAA" w14:textId="77777777" w:rsidTr="0027538E">
        <w:tc>
          <w:tcPr>
            <w:tcW w:w="770" w:type="pct"/>
          </w:tcPr>
          <w:p w14:paraId="7D4D7591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Site specific guidelines for tourist-visited sites</w:t>
            </w:r>
          </w:p>
        </w:tc>
        <w:tc>
          <w:tcPr>
            <w:tcW w:w="1624" w:type="pct"/>
            <w:gridSpan w:val="3"/>
          </w:tcPr>
          <w:p w14:paraId="1FA43F8E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Spain to work with </w:t>
            </w:r>
            <w:proofErr w:type="spellStart"/>
            <w:r w:rsidRPr="000656BC">
              <w:rPr>
                <w:sz w:val="20"/>
                <w:szCs w:val="20"/>
              </w:rPr>
              <w:t>IAATO</w:t>
            </w:r>
            <w:proofErr w:type="spellEnd"/>
            <w:r w:rsidRPr="000656BC">
              <w:rPr>
                <w:sz w:val="20"/>
                <w:szCs w:val="20"/>
              </w:rPr>
              <w:t xml:space="preserve"> to prepare site guidelines for Elephant Point</w:t>
            </w:r>
          </w:p>
        </w:tc>
        <w:tc>
          <w:tcPr>
            <w:tcW w:w="465" w:type="pct"/>
          </w:tcPr>
          <w:p w14:paraId="7B26E926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146</w:t>
            </w:r>
          </w:p>
        </w:tc>
        <w:tc>
          <w:tcPr>
            <w:tcW w:w="845" w:type="pct"/>
          </w:tcPr>
          <w:p w14:paraId="1ECB4A59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Spain, </w:t>
            </w:r>
            <w:proofErr w:type="spellStart"/>
            <w:r w:rsidRPr="000656BC">
              <w:rPr>
                <w:sz w:val="20"/>
                <w:szCs w:val="20"/>
              </w:rPr>
              <w:t>IAATO</w:t>
            </w:r>
            <w:proofErr w:type="spellEnd"/>
          </w:p>
        </w:tc>
        <w:tc>
          <w:tcPr>
            <w:tcW w:w="1297" w:type="pct"/>
          </w:tcPr>
          <w:p w14:paraId="77EFEF67" w14:textId="77777777" w:rsidR="0027538E" w:rsidRPr="000656BC" w:rsidRDefault="0027538E" w:rsidP="00A11F20">
            <w:pPr>
              <w:pStyle w:val="Default"/>
              <w:rPr>
                <w:color w:val="BFBFBF"/>
                <w:sz w:val="20"/>
                <w:highlight w:val="yellow"/>
                <w:lang w:val="en-GB"/>
              </w:rPr>
            </w:pPr>
          </w:p>
        </w:tc>
      </w:tr>
      <w:tr w:rsidR="0027538E" w:rsidRPr="000656BC" w14:paraId="6CA05881" w14:textId="77777777" w:rsidTr="0027538E">
        <w:tc>
          <w:tcPr>
            <w:tcW w:w="770" w:type="pct"/>
          </w:tcPr>
          <w:p w14:paraId="49F1604D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Site specific guidelines for tourist-visited sites</w:t>
            </w:r>
          </w:p>
        </w:tc>
        <w:tc>
          <w:tcPr>
            <w:tcW w:w="1624" w:type="pct"/>
            <w:gridSpan w:val="3"/>
          </w:tcPr>
          <w:p w14:paraId="4C08581E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SCAR to work on developing criteria, with reference to </w:t>
            </w:r>
            <w:proofErr w:type="spellStart"/>
            <w:r w:rsidRPr="000656BC">
              <w:rPr>
                <w:sz w:val="20"/>
                <w:szCs w:val="20"/>
              </w:rPr>
              <w:t>IAATO’s</w:t>
            </w:r>
            <w:proofErr w:type="spellEnd"/>
            <w:r w:rsidRPr="000656BC">
              <w:rPr>
                <w:sz w:val="20"/>
                <w:szCs w:val="20"/>
              </w:rPr>
              <w:t xml:space="preserve"> camp site selection criteria, that can be used in considering new camping areas. </w:t>
            </w:r>
          </w:p>
        </w:tc>
        <w:tc>
          <w:tcPr>
            <w:tcW w:w="465" w:type="pct"/>
          </w:tcPr>
          <w:p w14:paraId="7729512F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171</w:t>
            </w:r>
          </w:p>
        </w:tc>
        <w:tc>
          <w:tcPr>
            <w:tcW w:w="845" w:type="pct"/>
          </w:tcPr>
          <w:p w14:paraId="071C738F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SCAR, relevant experts</w:t>
            </w:r>
          </w:p>
        </w:tc>
        <w:tc>
          <w:tcPr>
            <w:tcW w:w="1297" w:type="pct"/>
          </w:tcPr>
          <w:p w14:paraId="6989F59C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highlight w:val="yellow"/>
                <w:lang w:val="en-GB"/>
              </w:rPr>
            </w:pPr>
          </w:p>
        </w:tc>
      </w:tr>
      <w:tr w:rsidR="0027538E" w:rsidRPr="000656BC" w14:paraId="330B284D" w14:textId="77777777" w:rsidTr="0027538E">
        <w:tc>
          <w:tcPr>
            <w:tcW w:w="770" w:type="pct"/>
          </w:tcPr>
          <w:p w14:paraId="5E705036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bookmarkStart w:id="11" w:name="_Hlk71812542"/>
            <w:r w:rsidRPr="000656BC">
              <w:rPr>
                <w:sz w:val="20"/>
                <w:szCs w:val="20"/>
              </w:rPr>
              <w:t>1: Tourism and NGO activities</w:t>
            </w:r>
          </w:p>
        </w:tc>
        <w:tc>
          <w:tcPr>
            <w:tcW w:w="1624" w:type="pct"/>
            <w:gridSpan w:val="3"/>
          </w:tcPr>
          <w:p w14:paraId="15C2117E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Continued work on methodology to assess the relative sensitivity of sites to visits by tourists, including trial of methodology (cf. IP 100</w:t>
            </w:r>
            <w:r>
              <w:rPr>
                <w:sz w:val="20"/>
                <w:szCs w:val="20"/>
              </w:rPr>
              <w:t xml:space="preserve"> [2019]</w:t>
            </w:r>
            <w:r w:rsidRPr="000656BC">
              <w:rPr>
                <w:sz w:val="20"/>
                <w:szCs w:val="20"/>
              </w:rPr>
              <w:t xml:space="preserve">). </w:t>
            </w:r>
          </w:p>
        </w:tc>
        <w:tc>
          <w:tcPr>
            <w:tcW w:w="465" w:type="pct"/>
          </w:tcPr>
          <w:p w14:paraId="5125DB80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230</w:t>
            </w:r>
          </w:p>
          <w:p w14:paraId="34629757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4554B647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Australia, interested Members and </w:t>
            </w:r>
            <w:proofErr w:type="spellStart"/>
            <w:r w:rsidRPr="000656BC">
              <w:rPr>
                <w:sz w:val="20"/>
                <w:szCs w:val="20"/>
              </w:rPr>
              <w:t>IAATO</w:t>
            </w:r>
            <w:proofErr w:type="spellEnd"/>
          </w:p>
        </w:tc>
        <w:tc>
          <w:tcPr>
            <w:tcW w:w="1297" w:type="pct"/>
            <w:shd w:val="clear" w:color="auto" w:fill="auto"/>
          </w:tcPr>
          <w:p w14:paraId="5DE19B2E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</w:p>
        </w:tc>
      </w:tr>
      <w:bookmarkEnd w:id="11"/>
      <w:tr w:rsidR="0027538E" w:rsidRPr="000656BC" w14:paraId="589D7FBE" w14:textId="77777777" w:rsidTr="00A11F20">
        <w:tc>
          <w:tcPr>
            <w:tcW w:w="5000" w:type="pct"/>
            <w:gridSpan w:val="7"/>
            <w:shd w:val="clear" w:color="auto" w:fill="D9D9D9"/>
          </w:tcPr>
          <w:p w14:paraId="4E15DDBA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37E7F48C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  <w:r w:rsidRPr="000656BC">
              <w:rPr>
                <w:b/>
                <w:i/>
                <w:sz w:val="20"/>
                <w:szCs w:val="20"/>
              </w:rPr>
              <w:t>Agenda Item 9d: Area Protection and Management Plans: Marine Spatial Protection and Management</w:t>
            </w:r>
          </w:p>
        </w:tc>
      </w:tr>
      <w:tr w:rsidR="0027538E" w:rsidRPr="000656BC" w14:paraId="4B5BCFDC" w14:textId="77777777" w:rsidTr="0027538E">
        <w:tc>
          <w:tcPr>
            <w:tcW w:w="770" w:type="pct"/>
          </w:tcPr>
          <w:p w14:paraId="2D3A708B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Marine spatial protection and management</w:t>
            </w:r>
          </w:p>
        </w:tc>
        <w:tc>
          <w:tcPr>
            <w:tcW w:w="1624" w:type="pct"/>
            <w:gridSpan w:val="3"/>
          </w:tcPr>
          <w:p w14:paraId="35FC5A24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New Zealand to lead informal intersessional work on </w:t>
            </w:r>
            <w:proofErr w:type="spellStart"/>
            <w:r w:rsidRPr="000656BC">
              <w:rPr>
                <w:sz w:val="20"/>
                <w:szCs w:val="20"/>
              </w:rPr>
              <w:t>ATCM</w:t>
            </w:r>
            <w:proofErr w:type="spellEnd"/>
            <w:r w:rsidRPr="000656BC">
              <w:rPr>
                <w:sz w:val="20"/>
                <w:szCs w:val="20"/>
              </w:rPr>
              <w:t xml:space="preserve"> Resolution 5 (2017) and CEP Five-Year Work Plan action “to consider connectivity between land and ocean, and complementary measures that could be undertaken by Parties with respect to </w:t>
            </w:r>
            <w:proofErr w:type="spellStart"/>
            <w:r w:rsidRPr="000656BC">
              <w:rPr>
                <w:sz w:val="20"/>
                <w:szCs w:val="20"/>
              </w:rPr>
              <w:t>MPAs</w:t>
            </w:r>
            <w:proofErr w:type="spellEnd"/>
            <w:r w:rsidRPr="000656BC">
              <w:rPr>
                <w:sz w:val="20"/>
                <w:szCs w:val="20"/>
              </w:rPr>
              <w:t>”</w:t>
            </w:r>
          </w:p>
        </w:tc>
        <w:tc>
          <w:tcPr>
            <w:tcW w:w="465" w:type="pct"/>
          </w:tcPr>
          <w:p w14:paraId="2D1AE228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153</w:t>
            </w:r>
          </w:p>
          <w:p w14:paraId="7B62F284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pct"/>
          </w:tcPr>
          <w:p w14:paraId="1DFEB7ED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New Zealand, interested Members</w:t>
            </w:r>
          </w:p>
        </w:tc>
        <w:tc>
          <w:tcPr>
            <w:tcW w:w="1297" w:type="pct"/>
          </w:tcPr>
          <w:p w14:paraId="4FE2D03F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i/>
                <w:sz w:val="20"/>
                <w:szCs w:val="20"/>
                <w:u w:val="single"/>
              </w:rPr>
              <w:t>WP021</w:t>
            </w:r>
            <w:r w:rsidRPr="000656BC">
              <w:rPr>
                <w:i/>
                <w:sz w:val="20"/>
                <w:szCs w:val="20"/>
              </w:rPr>
              <w:t xml:space="preserve"> Report on informal discussions on marine protection measures</w:t>
            </w:r>
            <w:r w:rsidRPr="000656BC">
              <w:rPr>
                <w:sz w:val="20"/>
                <w:szCs w:val="20"/>
              </w:rPr>
              <w:t xml:space="preserve"> (New Zealand) – submitted to CEP 9d</w:t>
            </w:r>
          </w:p>
        </w:tc>
      </w:tr>
      <w:tr w:rsidR="0027538E" w:rsidRPr="000656BC" w14:paraId="32EE63D5" w14:textId="77777777" w:rsidTr="00A11F20">
        <w:tc>
          <w:tcPr>
            <w:tcW w:w="5000" w:type="pct"/>
            <w:gridSpan w:val="7"/>
            <w:shd w:val="clear" w:color="auto" w:fill="D9D9D9"/>
          </w:tcPr>
          <w:p w14:paraId="1C4215FF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2E52A0C5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  <w:r w:rsidRPr="000656BC">
              <w:rPr>
                <w:b/>
                <w:i/>
                <w:sz w:val="20"/>
                <w:szCs w:val="20"/>
              </w:rPr>
              <w:t>Agenda Item 9f: Other Annex V Matters</w:t>
            </w:r>
          </w:p>
        </w:tc>
      </w:tr>
      <w:tr w:rsidR="0027538E" w:rsidRPr="000656BC" w14:paraId="01687AA9" w14:textId="77777777" w:rsidTr="0027538E">
        <w:tc>
          <w:tcPr>
            <w:tcW w:w="770" w:type="pct"/>
          </w:tcPr>
          <w:p w14:paraId="7E78BA0B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Overview of the protected areas system</w:t>
            </w:r>
          </w:p>
        </w:tc>
        <w:tc>
          <w:tcPr>
            <w:tcW w:w="1624" w:type="pct"/>
            <w:gridSpan w:val="3"/>
          </w:tcPr>
          <w:p w14:paraId="788625C3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United Kingdom to lead discussion with interested Members and Observers, on Antarctic Specially Protected Areas and Important Bird Areas.</w:t>
            </w:r>
          </w:p>
        </w:tc>
        <w:tc>
          <w:tcPr>
            <w:tcW w:w="465" w:type="pct"/>
          </w:tcPr>
          <w:p w14:paraId="4D63AE16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041A72C3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United Kingdom, interested Members and Observers</w:t>
            </w:r>
          </w:p>
        </w:tc>
        <w:tc>
          <w:tcPr>
            <w:tcW w:w="1297" w:type="pct"/>
          </w:tcPr>
          <w:p w14:paraId="05B1647B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i/>
                <w:sz w:val="20"/>
                <w:szCs w:val="20"/>
                <w:u w:val="single"/>
              </w:rPr>
              <w:t>WP043</w:t>
            </w:r>
            <w:r w:rsidRPr="000656BC">
              <w:rPr>
                <w:i/>
                <w:sz w:val="20"/>
                <w:szCs w:val="20"/>
              </w:rPr>
              <w:t xml:space="preserve"> </w:t>
            </w:r>
            <w:r w:rsidRPr="000656BC">
              <w:rPr>
                <w:sz w:val="20"/>
                <w:szCs w:val="20"/>
              </w:rPr>
              <w:t>and</w:t>
            </w:r>
            <w:r w:rsidRPr="000656BC">
              <w:rPr>
                <w:i/>
                <w:sz w:val="20"/>
                <w:szCs w:val="20"/>
              </w:rPr>
              <w:t xml:space="preserve"> </w:t>
            </w:r>
            <w:r w:rsidRPr="000656BC">
              <w:rPr>
                <w:i/>
                <w:sz w:val="20"/>
                <w:szCs w:val="20"/>
                <w:u w:val="single"/>
              </w:rPr>
              <w:t>IP02</w:t>
            </w:r>
            <w:r>
              <w:rPr>
                <w:i/>
                <w:sz w:val="20"/>
                <w:szCs w:val="20"/>
                <w:u w:val="single"/>
              </w:rPr>
              <w:t>3</w:t>
            </w:r>
            <w:r w:rsidRPr="000656BC">
              <w:rPr>
                <w:i/>
                <w:sz w:val="20"/>
                <w:szCs w:val="20"/>
              </w:rPr>
              <w:t xml:space="preserve">, </w:t>
            </w:r>
            <w:r w:rsidRPr="000656BC">
              <w:rPr>
                <w:iCs/>
                <w:sz w:val="20"/>
                <w:szCs w:val="20"/>
              </w:rPr>
              <w:t>both entitled</w:t>
            </w:r>
            <w:r w:rsidRPr="000656BC">
              <w:rPr>
                <w:i/>
                <w:sz w:val="20"/>
                <w:szCs w:val="20"/>
              </w:rPr>
              <w:t xml:space="preserve"> Important Bird Areas and Antarctic Specially Protected Areas: Toward the development of selection criteria</w:t>
            </w:r>
            <w:r w:rsidRPr="000656BC">
              <w:rPr>
                <w:sz w:val="20"/>
                <w:szCs w:val="20"/>
              </w:rPr>
              <w:t xml:space="preserve"> (Australia, Germany, New Zealand, Norway, Spain, United Kingdom, United States) and IP – submitted to CEP 9e</w:t>
            </w:r>
          </w:p>
        </w:tc>
      </w:tr>
      <w:tr w:rsidR="0027538E" w:rsidRPr="000656BC" w14:paraId="28F00832" w14:textId="77777777" w:rsidTr="0027538E">
        <w:tc>
          <w:tcPr>
            <w:tcW w:w="770" w:type="pct"/>
          </w:tcPr>
          <w:p w14:paraId="20364CCF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Overview of the protected areas system</w:t>
            </w:r>
          </w:p>
        </w:tc>
        <w:tc>
          <w:tcPr>
            <w:tcW w:w="1624" w:type="pct"/>
            <w:gridSpan w:val="3"/>
          </w:tcPr>
          <w:p w14:paraId="5E2D6981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Undertake work to advance actions agreed by the Committee from discussions on the protected areas workshop.</w:t>
            </w:r>
            <w:r w:rsidRPr="000656BC">
              <w:t xml:space="preserve">  </w:t>
            </w:r>
          </w:p>
        </w:tc>
        <w:tc>
          <w:tcPr>
            <w:tcW w:w="465" w:type="pct"/>
          </w:tcPr>
          <w:p w14:paraId="0F356A12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183</w:t>
            </w:r>
          </w:p>
          <w:p w14:paraId="0F32FB6D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31E431A1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Members, Observers</w:t>
            </w:r>
          </w:p>
        </w:tc>
        <w:tc>
          <w:tcPr>
            <w:tcW w:w="1297" w:type="pct"/>
          </w:tcPr>
          <w:p w14:paraId="1A50CDB3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</w:p>
        </w:tc>
      </w:tr>
      <w:tr w:rsidR="0027538E" w:rsidRPr="000656BC" w14:paraId="446158A4" w14:textId="77777777" w:rsidTr="00A11F20">
        <w:tc>
          <w:tcPr>
            <w:tcW w:w="5000" w:type="pct"/>
            <w:gridSpan w:val="7"/>
            <w:shd w:val="clear" w:color="auto" w:fill="D9D9D9"/>
          </w:tcPr>
          <w:p w14:paraId="1B773A89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480D617A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  <w:r w:rsidRPr="000656BC">
              <w:rPr>
                <w:b/>
                <w:i/>
                <w:sz w:val="20"/>
                <w:szCs w:val="20"/>
              </w:rPr>
              <w:t xml:space="preserve">Agenda Item 10a: </w:t>
            </w:r>
            <w:r w:rsidRPr="0007290B">
              <w:rPr>
                <w:b/>
                <w:i/>
                <w:sz w:val="20"/>
                <w:szCs w:val="20"/>
              </w:rPr>
              <w:t>Conservation of Antarctic Flora and Fauna</w:t>
            </w:r>
            <w:r w:rsidRPr="00C52DAC">
              <w:rPr>
                <w:b/>
                <w:i/>
                <w:sz w:val="20"/>
                <w:szCs w:val="20"/>
              </w:rPr>
              <w:t>: Quarantine and Non-Native Species</w:t>
            </w:r>
          </w:p>
        </w:tc>
      </w:tr>
      <w:tr w:rsidR="0027538E" w:rsidRPr="000656BC" w14:paraId="3EE655D0" w14:textId="77777777" w:rsidTr="0027538E">
        <w:tc>
          <w:tcPr>
            <w:tcW w:w="770" w:type="pct"/>
          </w:tcPr>
          <w:p w14:paraId="659264D1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1: Introduction of non-native species</w:t>
            </w:r>
          </w:p>
        </w:tc>
        <w:tc>
          <w:tcPr>
            <w:tcW w:w="1624" w:type="pct"/>
            <w:gridSpan w:val="3"/>
            <w:shd w:val="clear" w:color="auto" w:fill="auto"/>
          </w:tcPr>
          <w:p w14:paraId="3C328C94" w14:textId="77777777" w:rsidR="0027538E" w:rsidRPr="000656BC" w:rsidRDefault="0027538E" w:rsidP="00A11F20">
            <w:pPr>
              <w:rPr>
                <w:sz w:val="20"/>
                <w:szCs w:val="20"/>
                <w:highlight w:val="yellow"/>
              </w:rPr>
            </w:pPr>
            <w:r w:rsidRPr="000656BC">
              <w:rPr>
                <w:sz w:val="20"/>
                <w:szCs w:val="20"/>
              </w:rPr>
              <w:t>Initiate work to develop a non-native species response strategy, including appropriate responses to diseases of wildlife.</w:t>
            </w:r>
          </w:p>
        </w:tc>
        <w:tc>
          <w:tcPr>
            <w:tcW w:w="465" w:type="pct"/>
          </w:tcPr>
          <w:p w14:paraId="7A47DDC2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32134D12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All Members</w:t>
            </w:r>
          </w:p>
        </w:tc>
        <w:tc>
          <w:tcPr>
            <w:tcW w:w="1297" w:type="pct"/>
          </w:tcPr>
          <w:p w14:paraId="29806D1A" w14:textId="77777777" w:rsidR="0027538E" w:rsidRPr="000656BC" w:rsidRDefault="0027538E" w:rsidP="00A11F20">
            <w:pPr>
              <w:ind w:left="33"/>
              <w:rPr>
                <w:sz w:val="20"/>
                <w:szCs w:val="20"/>
                <w:highlight w:val="yellow"/>
              </w:rPr>
            </w:pPr>
          </w:p>
        </w:tc>
      </w:tr>
      <w:tr w:rsidR="0027538E" w:rsidRPr="000656BC" w14:paraId="244D3248" w14:textId="77777777" w:rsidTr="0027538E">
        <w:tc>
          <w:tcPr>
            <w:tcW w:w="770" w:type="pct"/>
          </w:tcPr>
          <w:p w14:paraId="2576DE76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1: Introduction of non-native species</w:t>
            </w:r>
          </w:p>
        </w:tc>
        <w:tc>
          <w:tcPr>
            <w:tcW w:w="1624" w:type="pct"/>
            <w:gridSpan w:val="3"/>
            <w:shd w:val="clear" w:color="auto" w:fill="auto"/>
          </w:tcPr>
          <w:p w14:paraId="5C411CCC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COMNAP</w:t>
            </w:r>
            <w:proofErr w:type="spellEnd"/>
            <w:r w:rsidRPr="000656BC">
              <w:rPr>
                <w:sz w:val="20"/>
                <w:szCs w:val="20"/>
              </w:rPr>
              <w:t xml:space="preserve"> to prepare a report on the implementation of quarantine and biosecurity measures by its members as input to assessing the effectiveness of the NNS Manual.</w:t>
            </w:r>
          </w:p>
        </w:tc>
        <w:tc>
          <w:tcPr>
            <w:tcW w:w="465" w:type="pct"/>
          </w:tcPr>
          <w:p w14:paraId="48FAA656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52CBFE1E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proofErr w:type="spellStart"/>
            <w:r w:rsidRPr="000656BC">
              <w:rPr>
                <w:sz w:val="20"/>
                <w:szCs w:val="20"/>
              </w:rPr>
              <w:t>COMNAP</w:t>
            </w:r>
            <w:proofErr w:type="spellEnd"/>
          </w:p>
        </w:tc>
        <w:tc>
          <w:tcPr>
            <w:tcW w:w="1297" w:type="pct"/>
          </w:tcPr>
          <w:p w14:paraId="76E0ACAC" w14:textId="77777777" w:rsidR="0027538E" w:rsidRPr="000656BC" w:rsidRDefault="0027538E" w:rsidP="00A11F20">
            <w:pPr>
              <w:ind w:left="33"/>
              <w:rPr>
                <w:sz w:val="20"/>
                <w:szCs w:val="20"/>
                <w:highlight w:val="yellow"/>
              </w:rPr>
            </w:pPr>
          </w:p>
        </w:tc>
      </w:tr>
      <w:tr w:rsidR="0027538E" w:rsidRPr="000656BC" w14:paraId="183D299C" w14:textId="77777777" w:rsidTr="0027538E">
        <w:tc>
          <w:tcPr>
            <w:tcW w:w="770" w:type="pct"/>
          </w:tcPr>
          <w:p w14:paraId="408EA7EF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lastRenderedPageBreak/>
              <w:t>1: Introduction of non-native species</w:t>
            </w:r>
          </w:p>
        </w:tc>
        <w:tc>
          <w:tcPr>
            <w:tcW w:w="1624" w:type="pct"/>
            <w:gridSpan w:val="3"/>
            <w:shd w:val="clear" w:color="auto" w:fill="auto"/>
          </w:tcPr>
          <w:p w14:paraId="3BCD4302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SCAR to prepare information on existing mechanism to assist with the identification of non-native species.</w:t>
            </w:r>
          </w:p>
        </w:tc>
        <w:tc>
          <w:tcPr>
            <w:tcW w:w="465" w:type="pct"/>
          </w:tcPr>
          <w:p w14:paraId="4C906CA2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5BA45293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SCAR</w:t>
            </w:r>
          </w:p>
        </w:tc>
        <w:tc>
          <w:tcPr>
            <w:tcW w:w="1297" w:type="pct"/>
          </w:tcPr>
          <w:p w14:paraId="4A00B56E" w14:textId="77777777" w:rsidR="0027538E" w:rsidRPr="000656BC" w:rsidRDefault="0027538E" w:rsidP="00A11F20">
            <w:pPr>
              <w:ind w:left="33"/>
              <w:rPr>
                <w:sz w:val="20"/>
                <w:szCs w:val="20"/>
                <w:highlight w:val="yellow"/>
              </w:rPr>
            </w:pPr>
          </w:p>
        </w:tc>
      </w:tr>
      <w:tr w:rsidR="0027538E" w:rsidRPr="000656BC" w14:paraId="2BF87880" w14:textId="77777777" w:rsidTr="00A11F20">
        <w:tc>
          <w:tcPr>
            <w:tcW w:w="5000" w:type="pct"/>
            <w:gridSpan w:val="7"/>
            <w:shd w:val="clear" w:color="auto" w:fill="D9D9D9"/>
          </w:tcPr>
          <w:p w14:paraId="7D7207AE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1A9D9F64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  <w:r w:rsidRPr="000656BC">
              <w:rPr>
                <w:b/>
                <w:i/>
                <w:sz w:val="20"/>
                <w:szCs w:val="20"/>
              </w:rPr>
              <w:t xml:space="preserve">Agenda Item 10c: </w:t>
            </w:r>
            <w:r w:rsidRPr="0007290B">
              <w:rPr>
                <w:b/>
                <w:i/>
                <w:sz w:val="20"/>
                <w:szCs w:val="20"/>
              </w:rPr>
              <w:t>Other Annex II matters</w:t>
            </w:r>
          </w:p>
        </w:tc>
      </w:tr>
      <w:tr w:rsidR="0027538E" w:rsidRPr="000656BC" w14:paraId="550757D4" w14:textId="77777777" w:rsidTr="0027538E">
        <w:tc>
          <w:tcPr>
            <w:tcW w:w="770" w:type="pct"/>
          </w:tcPr>
          <w:p w14:paraId="763390AD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2: Biodiversity knowledge</w:t>
            </w:r>
          </w:p>
        </w:tc>
        <w:tc>
          <w:tcPr>
            <w:tcW w:w="1624" w:type="pct"/>
            <w:gridSpan w:val="3"/>
            <w:shd w:val="clear" w:color="auto" w:fill="auto"/>
          </w:tcPr>
          <w:p w14:paraId="3342364F" w14:textId="77777777" w:rsidR="0027538E" w:rsidRPr="000656BC" w:rsidRDefault="0027538E" w:rsidP="00A11F20">
            <w:pPr>
              <w:rPr>
                <w:sz w:val="20"/>
                <w:szCs w:val="20"/>
                <w:highlight w:val="yellow"/>
              </w:rPr>
            </w:pPr>
            <w:r w:rsidRPr="000656BC">
              <w:rPr>
                <w:sz w:val="20"/>
                <w:szCs w:val="20"/>
              </w:rPr>
              <w:t>Informal intersessional discussions relating to assessing the protection of Antarctic seals.</w:t>
            </w:r>
          </w:p>
        </w:tc>
        <w:tc>
          <w:tcPr>
            <w:tcW w:w="465" w:type="pct"/>
          </w:tcPr>
          <w:p w14:paraId="0E2A391D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227</w:t>
            </w:r>
          </w:p>
          <w:p w14:paraId="04DDBACC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4953CC7F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Interested Members</w:t>
            </w:r>
          </w:p>
        </w:tc>
        <w:tc>
          <w:tcPr>
            <w:tcW w:w="1297" w:type="pct"/>
          </w:tcPr>
          <w:p w14:paraId="2ED8FA4E" w14:textId="77777777" w:rsidR="0027538E" w:rsidRPr="000656BC" w:rsidRDefault="0027538E" w:rsidP="00A11F20">
            <w:pPr>
              <w:ind w:left="33"/>
              <w:rPr>
                <w:sz w:val="20"/>
                <w:szCs w:val="20"/>
                <w:highlight w:val="yellow"/>
              </w:rPr>
            </w:pPr>
          </w:p>
        </w:tc>
      </w:tr>
      <w:tr w:rsidR="0027538E" w:rsidRPr="000656BC" w14:paraId="152204B9" w14:textId="77777777" w:rsidTr="00A11F20">
        <w:tc>
          <w:tcPr>
            <w:tcW w:w="5000" w:type="pct"/>
            <w:gridSpan w:val="7"/>
            <w:shd w:val="clear" w:color="auto" w:fill="D9D9D9"/>
          </w:tcPr>
          <w:p w14:paraId="15C14386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3248278C" w14:textId="77777777" w:rsidR="0027538E" w:rsidRPr="000656BC" w:rsidRDefault="0027538E" w:rsidP="00A11F20">
            <w:pPr>
              <w:ind w:left="33"/>
              <w:rPr>
                <w:b/>
                <w:i/>
                <w:sz w:val="20"/>
                <w:szCs w:val="20"/>
              </w:rPr>
            </w:pPr>
            <w:r w:rsidRPr="000656BC">
              <w:rPr>
                <w:b/>
                <w:i/>
                <w:sz w:val="20"/>
                <w:szCs w:val="20"/>
              </w:rPr>
              <w:t>Item 11: Environmental Monitoring and Reporting</w:t>
            </w:r>
          </w:p>
        </w:tc>
      </w:tr>
      <w:tr w:rsidR="0027538E" w:rsidRPr="000656BC" w14:paraId="3D3CA5F0" w14:textId="77777777" w:rsidTr="0027538E">
        <w:tc>
          <w:tcPr>
            <w:tcW w:w="770" w:type="pct"/>
          </w:tcPr>
          <w:p w14:paraId="551BDF09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1: Tourism and NGO activities</w:t>
            </w:r>
          </w:p>
        </w:tc>
        <w:tc>
          <w:tcPr>
            <w:tcW w:w="1624" w:type="pct"/>
            <w:gridSpan w:val="3"/>
          </w:tcPr>
          <w:p w14:paraId="29482E18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color w:val="auto"/>
                <w:sz w:val="20"/>
                <w:szCs w:val="20"/>
                <w:lang w:val="en-GB" w:eastAsia="en-AU"/>
              </w:rPr>
              <w:t>SCAR to design an environmental monitoring programme to assess the impacts of tourism, which includes a scoping assessment.</w:t>
            </w:r>
          </w:p>
        </w:tc>
        <w:tc>
          <w:tcPr>
            <w:tcW w:w="465" w:type="pct"/>
          </w:tcPr>
          <w:p w14:paraId="511D0FAE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14</w:t>
            </w:r>
          </w:p>
          <w:p w14:paraId="62EF728E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170AA474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SCAR (</w:t>
            </w:r>
            <w:proofErr w:type="spellStart"/>
            <w:r w:rsidRPr="000656BC">
              <w:rPr>
                <w:sz w:val="20"/>
                <w:szCs w:val="20"/>
              </w:rPr>
              <w:t>COMNAP</w:t>
            </w:r>
            <w:proofErr w:type="spellEnd"/>
            <w:r w:rsidRPr="000656BC">
              <w:rPr>
                <w:sz w:val="20"/>
                <w:szCs w:val="20"/>
              </w:rPr>
              <w:t xml:space="preserve">, </w:t>
            </w:r>
            <w:proofErr w:type="spellStart"/>
            <w:r w:rsidRPr="000656BC">
              <w:rPr>
                <w:sz w:val="20"/>
                <w:szCs w:val="20"/>
              </w:rPr>
              <w:t>IAATO</w:t>
            </w:r>
            <w:proofErr w:type="spellEnd"/>
            <w:r w:rsidRPr="000656BC">
              <w:rPr>
                <w:sz w:val="20"/>
                <w:szCs w:val="20"/>
              </w:rPr>
              <w:t xml:space="preserve">, </w:t>
            </w:r>
            <w:proofErr w:type="spellStart"/>
            <w:r w:rsidRPr="000656BC">
              <w:rPr>
                <w:sz w:val="20"/>
                <w:szCs w:val="20"/>
              </w:rPr>
              <w:t>ASOC</w:t>
            </w:r>
            <w:proofErr w:type="spellEnd"/>
            <w:r w:rsidRPr="000656BC">
              <w:rPr>
                <w:sz w:val="20"/>
                <w:szCs w:val="20"/>
              </w:rPr>
              <w:t>) and interested Members</w:t>
            </w:r>
          </w:p>
        </w:tc>
        <w:tc>
          <w:tcPr>
            <w:tcW w:w="1297" w:type="pct"/>
          </w:tcPr>
          <w:p w14:paraId="0E53BB14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</w:p>
        </w:tc>
      </w:tr>
      <w:tr w:rsidR="0027538E" w:rsidRPr="000656BC" w14:paraId="57045FAA" w14:textId="77777777" w:rsidTr="00A11F20">
        <w:tc>
          <w:tcPr>
            <w:tcW w:w="5000" w:type="pct"/>
            <w:gridSpan w:val="7"/>
            <w:shd w:val="clear" w:color="auto" w:fill="D9D9D9"/>
          </w:tcPr>
          <w:p w14:paraId="5AB6C074" w14:textId="77777777" w:rsidR="0027538E" w:rsidRPr="000656BC" w:rsidRDefault="0027538E" w:rsidP="00A11F20">
            <w:pPr>
              <w:rPr>
                <w:sz w:val="20"/>
                <w:szCs w:val="20"/>
              </w:rPr>
            </w:pPr>
          </w:p>
          <w:p w14:paraId="3001FAEF" w14:textId="77777777" w:rsidR="0027538E" w:rsidRPr="000656BC" w:rsidRDefault="0027538E" w:rsidP="00A11F20">
            <w:pPr>
              <w:rPr>
                <w:b/>
                <w:i/>
                <w:sz w:val="20"/>
                <w:szCs w:val="20"/>
              </w:rPr>
            </w:pPr>
            <w:r w:rsidRPr="000656BC">
              <w:rPr>
                <w:b/>
                <w:i/>
                <w:sz w:val="20"/>
                <w:szCs w:val="20"/>
              </w:rPr>
              <w:t>Agenda Item 13: General Matters</w:t>
            </w:r>
          </w:p>
        </w:tc>
      </w:tr>
      <w:tr w:rsidR="0027538E" w:rsidRPr="000656BC" w14:paraId="09B737A8" w14:textId="77777777" w:rsidTr="0027538E">
        <w:tc>
          <w:tcPr>
            <w:tcW w:w="770" w:type="pct"/>
          </w:tcPr>
          <w:p w14:paraId="5DD6E97A" w14:textId="77777777" w:rsidR="0027538E" w:rsidRPr="000656BC" w:rsidRDefault="0027538E" w:rsidP="00A11F20">
            <w:pPr>
              <w:rPr>
                <w:sz w:val="20"/>
                <w:szCs w:val="20"/>
              </w:rPr>
            </w:pPr>
          </w:p>
        </w:tc>
        <w:tc>
          <w:tcPr>
            <w:tcW w:w="1624" w:type="pct"/>
            <w:gridSpan w:val="3"/>
          </w:tcPr>
          <w:p w14:paraId="18C7DCAB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Interested Members to contribute to and interact with France and Italy on providing input on environmental aspects in the further planning process of the Ice Memory project.</w:t>
            </w:r>
          </w:p>
          <w:p w14:paraId="46693C73" w14:textId="77777777" w:rsidR="0027538E" w:rsidRPr="000656BC" w:rsidRDefault="0027538E" w:rsidP="00A11F20">
            <w:pPr>
              <w:rPr>
                <w:sz w:val="20"/>
                <w:szCs w:val="20"/>
              </w:rPr>
            </w:pPr>
          </w:p>
        </w:tc>
        <w:tc>
          <w:tcPr>
            <w:tcW w:w="465" w:type="pct"/>
          </w:tcPr>
          <w:p w14:paraId="4E40E7AF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  <w:highlight w:val="yellow"/>
              </w:rPr>
            </w:pPr>
            <w:r w:rsidRPr="000656BC">
              <w:rPr>
                <w:sz w:val="20"/>
                <w:szCs w:val="20"/>
              </w:rPr>
              <w:t>247</w:t>
            </w:r>
          </w:p>
        </w:tc>
        <w:tc>
          <w:tcPr>
            <w:tcW w:w="845" w:type="pct"/>
          </w:tcPr>
          <w:p w14:paraId="2B051199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France, Italy and interested Members</w:t>
            </w:r>
          </w:p>
        </w:tc>
        <w:tc>
          <w:tcPr>
            <w:tcW w:w="1297" w:type="pct"/>
            <w:shd w:val="clear" w:color="auto" w:fill="auto"/>
          </w:tcPr>
          <w:p w14:paraId="7C80D912" w14:textId="77777777" w:rsidR="0027538E" w:rsidRPr="000656BC" w:rsidRDefault="0027538E" w:rsidP="00A11F20">
            <w:pPr>
              <w:pStyle w:val="ATSBullet1"/>
              <w:tabs>
                <w:tab w:val="clear" w:pos="360"/>
              </w:tabs>
              <w:ind w:left="0" w:firstLine="0"/>
              <w:rPr>
                <w:sz w:val="20"/>
              </w:rPr>
            </w:pPr>
            <w:r w:rsidRPr="000656BC">
              <w:rPr>
                <w:sz w:val="20"/>
                <w:u w:val="single"/>
              </w:rPr>
              <w:t>Note that</w:t>
            </w:r>
            <w:r>
              <w:rPr>
                <w:i/>
                <w:sz w:val="20"/>
                <w:u w:val="single"/>
              </w:rPr>
              <w:t xml:space="preserve"> </w:t>
            </w:r>
            <w:r w:rsidRPr="000656BC">
              <w:rPr>
                <w:i/>
                <w:sz w:val="20"/>
                <w:u w:val="single"/>
              </w:rPr>
              <w:t>IP106</w:t>
            </w:r>
            <w:r w:rsidRPr="000656BC">
              <w:rPr>
                <w:sz w:val="20"/>
              </w:rPr>
              <w:t xml:space="preserve"> </w:t>
            </w:r>
            <w:r w:rsidRPr="000656BC">
              <w:rPr>
                <w:i/>
                <w:sz w:val="20"/>
              </w:rPr>
              <w:t>The Ice Memory Programme</w:t>
            </w:r>
            <w:r w:rsidRPr="000656BC">
              <w:rPr>
                <w:sz w:val="20"/>
              </w:rPr>
              <w:t xml:space="preserve"> (France, Italy) – submitted to CEP 13</w:t>
            </w:r>
          </w:p>
          <w:p w14:paraId="7614741B" w14:textId="77777777" w:rsidR="0027538E" w:rsidRPr="000656BC" w:rsidRDefault="0027538E" w:rsidP="0027538E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has relevance to the issue</w:t>
            </w:r>
          </w:p>
        </w:tc>
      </w:tr>
      <w:tr w:rsidR="0027538E" w:rsidRPr="000656BC" w14:paraId="1DF2FB34" w14:textId="77777777" w:rsidTr="0027538E">
        <w:tc>
          <w:tcPr>
            <w:tcW w:w="770" w:type="pct"/>
          </w:tcPr>
          <w:p w14:paraId="54DEE7A5" w14:textId="77777777" w:rsidR="0027538E" w:rsidRPr="000656BC" w:rsidRDefault="0027538E" w:rsidP="00A11F20">
            <w:pPr>
              <w:rPr>
                <w:sz w:val="20"/>
                <w:szCs w:val="20"/>
              </w:rPr>
            </w:pPr>
          </w:p>
        </w:tc>
        <w:tc>
          <w:tcPr>
            <w:tcW w:w="1624" w:type="pct"/>
            <w:gridSpan w:val="3"/>
          </w:tcPr>
          <w:p w14:paraId="066986F4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Interested Members to contribute to the further consideration by China on developing a Code of Conduct for the exploration and research in Dome A area.</w:t>
            </w:r>
          </w:p>
        </w:tc>
        <w:tc>
          <w:tcPr>
            <w:tcW w:w="465" w:type="pct"/>
          </w:tcPr>
          <w:p w14:paraId="196AE23C" w14:textId="77777777" w:rsidR="0027538E" w:rsidRPr="000656BC" w:rsidRDefault="0027538E" w:rsidP="00A11F20">
            <w:pPr>
              <w:ind w:left="34"/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254</w:t>
            </w:r>
          </w:p>
        </w:tc>
        <w:tc>
          <w:tcPr>
            <w:tcW w:w="845" w:type="pct"/>
          </w:tcPr>
          <w:p w14:paraId="3475D5FD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China, interested Members</w:t>
            </w:r>
          </w:p>
        </w:tc>
        <w:tc>
          <w:tcPr>
            <w:tcW w:w="1297" w:type="pct"/>
          </w:tcPr>
          <w:p w14:paraId="279F1B9C" w14:textId="77777777" w:rsidR="0027538E" w:rsidRPr="000656BC" w:rsidRDefault="0027538E" w:rsidP="00A11F20">
            <w:pPr>
              <w:ind w:left="33"/>
              <w:rPr>
                <w:sz w:val="20"/>
                <w:szCs w:val="20"/>
              </w:rPr>
            </w:pPr>
          </w:p>
        </w:tc>
      </w:tr>
      <w:tr w:rsidR="0027538E" w:rsidRPr="000656BC" w14:paraId="3716BC71" w14:textId="77777777" w:rsidTr="0027538E">
        <w:tc>
          <w:tcPr>
            <w:tcW w:w="770" w:type="pct"/>
          </w:tcPr>
          <w:p w14:paraId="0D9BB0F7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 xml:space="preserve">3. Protection of outstanding geological values </w:t>
            </w:r>
          </w:p>
          <w:p w14:paraId="28E0BA9D" w14:textId="77777777" w:rsidR="0027538E" w:rsidRPr="000656BC" w:rsidRDefault="0027538E" w:rsidP="00A11F20">
            <w:pPr>
              <w:rPr>
                <w:sz w:val="20"/>
                <w:szCs w:val="20"/>
              </w:rPr>
            </w:pPr>
          </w:p>
          <w:p w14:paraId="5063EC6E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</w:p>
        </w:tc>
        <w:tc>
          <w:tcPr>
            <w:tcW w:w="1624" w:type="pct"/>
            <w:gridSpan w:val="3"/>
          </w:tcPr>
          <w:p w14:paraId="2472182C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color w:val="auto"/>
                <w:sz w:val="20"/>
                <w:szCs w:val="20"/>
                <w:lang w:val="en-GB" w:eastAsia="en-AU"/>
              </w:rPr>
              <w:t>SCAR to present Code of Conduct on Geosciences Field Research Activities in Antarctica.</w:t>
            </w:r>
          </w:p>
          <w:p w14:paraId="48160C27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. </w:t>
            </w:r>
          </w:p>
          <w:p w14:paraId="10DD088A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</w:p>
          <w:p w14:paraId="0A9D5DD8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</w:p>
          <w:p w14:paraId="5225D46D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</w:p>
          <w:p w14:paraId="105332D7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</w:p>
        </w:tc>
        <w:tc>
          <w:tcPr>
            <w:tcW w:w="465" w:type="pct"/>
          </w:tcPr>
          <w:p w14:paraId="62D22264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67-68</w:t>
            </w:r>
          </w:p>
          <w:p w14:paraId="327E50B0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32EA3B2B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SCAR with contribution from interested Members</w:t>
            </w:r>
          </w:p>
        </w:tc>
        <w:tc>
          <w:tcPr>
            <w:tcW w:w="1297" w:type="pct"/>
          </w:tcPr>
          <w:p w14:paraId="5EECA22F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i/>
                <w:sz w:val="20"/>
                <w:szCs w:val="20"/>
                <w:u w:val="single"/>
              </w:rPr>
              <w:t>WP033</w:t>
            </w:r>
            <w:r w:rsidRPr="000656BC">
              <w:rPr>
                <w:i/>
                <w:sz w:val="20"/>
                <w:szCs w:val="20"/>
              </w:rPr>
              <w:t xml:space="preserve"> SCAR Environmental Code of Conduct for Geosciences Field Research Activities in Antarctica </w:t>
            </w:r>
            <w:r w:rsidRPr="000656BC">
              <w:rPr>
                <w:sz w:val="20"/>
                <w:szCs w:val="20"/>
              </w:rPr>
              <w:t>(SCAR) – submitted to CEP 8b</w:t>
            </w:r>
          </w:p>
        </w:tc>
      </w:tr>
      <w:tr w:rsidR="0027538E" w:rsidRPr="000656BC" w14:paraId="520F0800" w14:textId="77777777" w:rsidTr="0027538E">
        <w:tc>
          <w:tcPr>
            <w:tcW w:w="770" w:type="pct"/>
          </w:tcPr>
          <w:p w14:paraId="7E480CF2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3. Outreach and education</w:t>
            </w:r>
          </w:p>
        </w:tc>
        <w:tc>
          <w:tcPr>
            <w:tcW w:w="1624" w:type="pct"/>
            <w:gridSpan w:val="3"/>
          </w:tcPr>
          <w:p w14:paraId="2D258E36" w14:textId="77777777" w:rsidR="0027538E" w:rsidRPr="000656BC" w:rsidRDefault="0027538E" w:rsidP="00A11F20">
            <w:pPr>
              <w:pStyle w:val="Default"/>
              <w:rPr>
                <w:color w:val="auto"/>
                <w:sz w:val="20"/>
                <w:szCs w:val="20"/>
                <w:lang w:val="en-GB" w:eastAsia="en-AU"/>
              </w:rPr>
            </w:pPr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Bulgaria to consider any outcomes from the </w:t>
            </w:r>
            <w:proofErr w:type="spellStart"/>
            <w:r w:rsidRPr="000656BC">
              <w:rPr>
                <w:color w:val="auto"/>
                <w:sz w:val="20"/>
                <w:szCs w:val="20"/>
                <w:lang w:val="en-GB" w:eastAsia="en-AU"/>
              </w:rPr>
              <w:t>ICG</w:t>
            </w:r>
            <w:proofErr w:type="spellEnd"/>
            <w:r w:rsidRPr="000656BC">
              <w:rPr>
                <w:color w:val="auto"/>
                <w:sz w:val="20"/>
                <w:szCs w:val="20"/>
                <w:lang w:val="en-GB" w:eastAsia="en-AU"/>
              </w:rPr>
              <w:t xml:space="preserve"> on Education and Outreach of direct relevance to the work of the CEP.</w:t>
            </w:r>
          </w:p>
        </w:tc>
        <w:tc>
          <w:tcPr>
            <w:tcW w:w="465" w:type="pct"/>
          </w:tcPr>
          <w:p w14:paraId="14CD6F7B" w14:textId="77777777" w:rsidR="0027538E" w:rsidRPr="000656BC" w:rsidRDefault="0027538E" w:rsidP="00A11F20">
            <w:pPr>
              <w:jc w:val="center"/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5YWP</w:t>
            </w:r>
          </w:p>
        </w:tc>
        <w:tc>
          <w:tcPr>
            <w:tcW w:w="845" w:type="pct"/>
          </w:tcPr>
          <w:p w14:paraId="283A8E90" w14:textId="77777777" w:rsidR="0027538E" w:rsidRPr="000656BC" w:rsidRDefault="0027538E" w:rsidP="00A11F20">
            <w:pPr>
              <w:rPr>
                <w:sz w:val="20"/>
                <w:szCs w:val="20"/>
              </w:rPr>
            </w:pPr>
            <w:r w:rsidRPr="000656BC">
              <w:rPr>
                <w:sz w:val="20"/>
                <w:szCs w:val="20"/>
              </w:rPr>
              <w:t>Bulgaria</w:t>
            </w:r>
          </w:p>
        </w:tc>
        <w:tc>
          <w:tcPr>
            <w:tcW w:w="1297" w:type="pct"/>
          </w:tcPr>
          <w:p w14:paraId="697BEBB9" w14:textId="77777777" w:rsidR="0027538E" w:rsidRPr="000656BC" w:rsidRDefault="0027538E" w:rsidP="00A11F20">
            <w:pPr>
              <w:rPr>
                <w:sz w:val="20"/>
                <w:szCs w:val="20"/>
              </w:rPr>
            </w:pPr>
          </w:p>
        </w:tc>
      </w:tr>
    </w:tbl>
    <w:p w14:paraId="25B2C224" w14:textId="77777777" w:rsidR="0027538E" w:rsidRPr="0007290B" w:rsidRDefault="0027538E" w:rsidP="0027538E">
      <w:pPr>
        <w:pStyle w:val="ATSNormal"/>
      </w:pPr>
    </w:p>
    <w:p w14:paraId="651BBFC8" w14:textId="73D4AF5C" w:rsidR="004B4A60" w:rsidRDefault="0061087E" w:rsidP="0027538E"/>
    <w:sectPr w:rsidR="004B4A60" w:rsidSect="00C26F2D">
      <w:headerReference w:type="default" r:id="rId11"/>
      <w:footerReference w:type="default" r:id="rId12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14CFB" w14:textId="77777777" w:rsidR="0061087E" w:rsidRDefault="0061087E">
      <w:r>
        <w:separator/>
      </w:r>
    </w:p>
  </w:endnote>
  <w:endnote w:type="continuationSeparator" w:id="0">
    <w:p w14:paraId="05F73D60" w14:textId="77777777" w:rsidR="0061087E" w:rsidRDefault="0061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D0AE7" w14:textId="77777777" w:rsidR="00FA0B9F" w:rsidRDefault="000D7C34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8884331" w14:textId="77777777" w:rsidR="00FA0B9F" w:rsidRDefault="0061087E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DBDBC" w14:textId="77777777" w:rsidR="00FA0B9F" w:rsidRDefault="000D7C34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7B48C85" w14:textId="6F3A7995" w:rsidR="00FA0B9F" w:rsidRDefault="0061087E" w:rsidP="000D7C34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F62D5" w14:textId="77777777" w:rsidR="00E311C9" w:rsidRDefault="000D7C34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7E1F753E" w14:textId="77777777" w:rsidR="00E311C9" w:rsidRDefault="0061087E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F9F32" w14:textId="77777777" w:rsidR="0061087E" w:rsidRDefault="0061087E">
      <w:r>
        <w:separator/>
      </w:r>
    </w:p>
  </w:footnote>
  <w:footnote w:type="continuationSeparator" w:id="0">
    <w:p w14:paraId="21EDEE5A" w14:textId="77777777" w:rsidR="0061087E" w:rsidRDefault="00610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9F7F68" w14:paraId="292609E7" w14:textId="77777777" w:rsidTr="00490760">
      <w:trPr>
        <w:trHeight w:val="344"/>
        <w:jc w:val="center"/>
      </w:trPr>
      <w:tc>
        <w:tcPr>
          <w:tcW w:w="5495" w:type="dxa"/>
        </w:tcPr>
        <w:p w14:paraId="43DE8408" w14:textId="77777777" w:rsidR="00DB7C09" w:rsidRDefault="0061087E" w:rsidP="00F968D4"/>
      </w:tc>
      <w:tc>
        <w:tcPr>
          <w:tcW w:w="4253" w:type="dxa"/>
          <w:gridSpan w:val="2"/>
        </w:tcPr>
        <w:p w14:paraId="4A7C0371" w14:textId="77777777" w:rsidR="00DB7C09" w:rsidRPr="00BD47E4" w:rsidRDefault="000D7C34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129CEC68" w14:textId="77777777" w:rsidR="00DB7C09" w:rsidRPr="00BD47E4" w:rsidRDefault="000D7C34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143</w:t>
          </w:r>
          <w:bookmarkEnd w:id="3"/>
        </w:p>
      </w:tc>
    </w:tr>
    <w:tr w:rsidR="009F7F68" w14:paraId="11E85277" w14:textId="77777777" w:rsidTr="00490760">
      <w:trPr>
        <w:trHeight w:val="2165"/>
        <w:jc w:val="center"/>
      </w:trPr>
      <w:tc>
        <w:tcPr>
          <w:tcW w:w="5495" w:type="dxa"/>
        </w:tcPr>
        <w:p w14:paraId="3356BEA2" w14:textId="77777777" w:rsidR="00490760" w:rsidRPr="00EE4D48" w:rsidRDefault="000D7C34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22433D12" wp14:editId="088AA400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027503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21DC0CEB" w14:textId="77777777" w:rsidR="00490760" w:rsidRPr="00FE5146" w:rsidRDefault="000D7C34" w:rsidP="00490760">
          <w:pPr>
            <w:jc w:val="right"/>
            <w:rPr>
              <w:sz w:val="144"/>
              <w:szCs w:val="144"/>
            </w:rPr>
          </w:pPr>
          <w:proofErr w:type="spellStart"/>
          <w:r w:rsidRPr="00FE5146">
            <w:rPr>
              <w:sz w:val="144"/>
              <w:szCs w:val="144"/>
            </w:rPr>
            <w:t>ENG</w:t>
          </w:r>
          <w:proofErr w:type="spellEnd"/>
        </w:p>
      </w:tc>
    </w:tr>
    <w:tr w:rsidR="009F7F68" w14:paraId="5679DB0D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8B05076" w14:textId="77777777" w:rsidR="00BD47E4" w:rsidRDefault="000D7C34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3F0B7F4E" w14:textId="77777777" w:rsidR="00BD47E4" w:rsidRDefault="000D7C34" w:rsidP="002C30DA">
          <w:pPr>
            <w:jc w:val="right"/>
          </w:pPr>
          <w:bookmarkStart w:id="4" w:name="agenda"/>
          <w:r>
            <w:t>CEP 4</w:t>
          </w:r>
          <w:bookmarkEnd w:id="4"/>
        </w:p>
      </w:tc>
      <w:tc>
        <w:tcPr>
          <w:tcW w:w="390" w:type="dxa"/>
        </w:tcPr>
        <w:p w14:paraId="371FB545" w14:textId="77777777" w:rsidR="00BD47E4" w:rsidRDefault="0061087E" w:rsidP="00387A65">
          <w:pPr>
            <w:jc w:val="right"/>
          </w:pPr>
        </w:p>
      </w:tc>
    </w:tr>
    <w:tr w:rsidR="009F7F68" w14:paraId="55968D8F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1BD56A66" w14:textId="77777777" w:rsidR="00BD47E4" w:rsidRDefault="000D7C34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655F9B60" w14:textId="77777777" w:rsidR="00BD47E4" w:rsidRDefault="000D7C34" w:rsidP="002C30DA">
          <w:pPr>
            <w:jc w:val="right"/>
          </w:pPr>
          <w:bookmarkStart w:id="5" w:name="party"/>
          <w:r>
            <w:t>Norway</w:t>
          </w:r>
          <w:bookmarkEnd w:id="5"/>
        </w:p>
      </w:tc>
      <w:tc>
        <w:tcPr>
          <w:tcW w:w="390" w:type="dxa"/>
        </w:tcPr>
        <w:p w14:paraId="1FD8A74A" w14:textId="77777777" w:rsidR="00BD47E4" w:rsidRDefault="0061087E" w:rsidP="00387A65">
          <w:pPr>
            <w:jc w:val="right"/>
          </w:pPr>
        </w:p>
      </w:tc>
    </w:tr>
    <w:tr w:rsidR="009F7F68" w14:paraId="5FD1DEFE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BC19253" w14:textId="77777777" w:rsidR="00BD47E4" w:rsidRDefault="000D7C34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1C1738CB" w14:textId="77777777" w:rsidR="00BD47E4" w:rsidRDefault="000D7C34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41EA97E4" w14:textId="77777777" w:rsidR="00BD47E4" w:rsidRDefault="0061087E" w:rsidP="00387A65">
          <w:pPr>
            <w:jc w:val="right"/>
          </w:pPr>
        </w:p>
      </w:tc>
    </w:tr>
    <w:tr w:rsidR="009F7F68" w14:paraId="62E223FB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16495F6" w14:textId="77777777" w:rsidR="0097629D" w:rsidRDefault="000D7C34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5AD9B01E" w14:textId="77777777" w:rsidR="0097629D" w:rsidRDefault="000D7C34" w:rsidP="0097629D">
          <w:pPr>
            <w:jc w:val="right"/>
          </w:pPr>
          <w:bookmarkStart w:id="7" w:name="date_submission"/>
          <w:r>
            <w:t>19/5/2021</w:t>
          </w:r>
          <w:bookmarkEnd w:id="7"/>
        </w:p>
      </w:tc>
      <w:tc>
        <w:tcPr>
          <w:tcW w:w="390" w:type="dxa"/>
        </w:tcPr>
        <w:p w14:paraId="6C46601D" w14:textId="77777777" w:rsidR="0097629D" w:rsidRDefault="0061087E" w:rsidP="00387A65">
          <w:pPr>
            <w:jc w:val="right"/>
          </w:pPr>
        </w:p>
      </w:tc>
    </w:tr>
  </w:tbl>
  <w:p w14:paraId="188B404F" w14:textId="77777777" w:rsidR="00AE5DD0" w:rsidRDefault="006108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9F7F68" w14:paraId="02F6BAD8" w14:textId="77777777">
      <w:trPr>
        <w:trHeight w:val="354"/>
        <w:jc w:val="center"/>
      </w:trPr>
      <w:tc>
        <w:tcPr>
          <w:tcW w:w="9694" w:type="dxa"/>
        </w:tcPr>
        <w:p w14:paraId="1C80CB4F" w14:textId="132B7D47" w:rsidR="00AE5DD0" w:rsidRPr="00BD47E4" w:rsidRDefault="000D7C34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140445CE" w14:textId="7806AAB2" w:rsidR="00AE5DD0" w:rsidRPr="00BD47E4" w:rsidRDefault="000D7C34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143</w:t>
          </w:r>
        </w:p>
      </w:tc>
    </w:tr>
  </w:tbl>
  <w:p w14:paraId="4E6A9D20" w14:textId="77777777" w:rsidR="00AE5DD0" w:rsidRDefault="006108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FACE6B3A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53A7A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B60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28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CE5F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2A9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AE0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DE8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0CEA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32AC1"/>
    <w:multiLevelType w:val="hybridMultilevel"/>
    <w:tmpl w:val="0AE6828E"/>
    <w:lvl w:ilvl="0" w:tplc="0AF6EEC8">
      <w:numFmt w:val="bullet"/>
      <w:lvlText w:val="-"/>
      <w:lvlJc w:val="left"/>
      <w:pPr>
        <w:ind w:left="438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13" w15:restartNumberingAfterBreak="0">
    <w:nsid w:val="49D35C15"/>
    <w:multiLevelType w:val="hybridMultilevel"/>
    <w:tmpl w:val="A8A2E45C"/>
    <w:lvl w:ilvl="0" w:tplc="FD427A1C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0A6AF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DC38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4CF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5CF3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24EE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BCE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A93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2E2E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2F3AFA"/>
    <w:multiLevelType w:val="hybridMultilevel"/>
    <w:tmpl w:val="9DF09BE6"/>
    <w:lvl w:ilvl="0" w:tplc="AC888A7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557A9F56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57BE947A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8CC60286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369EB67E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7C928DDC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CFF45C0A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5FC2FB18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8D0CAF7A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5" w15:restartNumberingAfterBreak="0">
    <w:nsid w:val="7212657C"/>
    <w:multiLevelType w:val="hybridMultilevel"/>
    <w:tmpl w:val="0A8E2A84"/>
    <w:lvl w:ilvl="0" w:tplc="846E0CB2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721876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7E3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C6E7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AAE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7004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B60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504E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8D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3D2161"/>
    <w:multiLevelType w:val="hybridMultilevel"/>
    <w:tmpl w:val="B0868D9E"/>
    <w:lvl w:ilvl="0" w:tplc="EE8027C6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3AF6516A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D226950C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7482117A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E7960A8E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6A9EB180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1BA041FE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26C4928C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907445E8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7C866FC0"/>
    <w:multiLevelType w:val="hybridMultilevel"/>
    <w:tmpl w:val="57EA2900"/>
    <w:lvl w:ilvl="0" w:tplc="D7BE260A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3E12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3A32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56D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A98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609F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CE6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0CD7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3A05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10"/>
  </w:num>
  <w:num w:numId="17">
    <w:abstractNumId w:val="11"/>
  </w:num>
  <w:num w:numId="18">
    <w:abstractNumId w:val="16"/>
  </w:num>
  <w:num w:numId="19">
    <w:abstractNumId w:val="15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68"/>
    <w:rsid w:val="000D7C34"/>
    <w:rsid w:val="0027538E"/>
    <w:rsid w:val="0061087E"/>
    <w:rsid w:val="009F7F68"/>
    <w:rsid w:val="00C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49C67"/>
  <w15:chartTrackingRefBased/>
  <w15:docId w15:val="{6C9358BE-CD5C-448C-B674-51000D86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Overskrift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Overskrift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Overskrift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Overskrift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Overskrift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Overskrift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Overskrift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Overskrift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Bobletekst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Dokumentkart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luttnotereferanse">
    <w:name w:val="endnote reference"/>
    <w:semiHidden/>
    <w:rsid w:val="001B789F"/>
    <w:rPr>
      <w:vertAlign w:val="superscript"/>
    </w:rPr>
  </w:style>
  <w:style w:type="paragraph" w:styleId="Sluttnotetekst">
    <w:name w:val="endnote text"/>
    <w:basedOn w:val="Normal"/>
    <w:semiHidden/>
    <w:rsid w:val="001B789F"/>
    <w:rPr>
      <w:sz w:val="20"/>
      <w:szCs w:val="20"/>
    </w:rPr>
  </w:style>
  <w:style w:type="character" w:styleId="Fulgthyperkobling">
    <w:name w:val="FollowedHyperlink"/>
    <w:semiHidden/>
    <w:rsid w:val="001B789F"/>
    <w:rPr>
      <w:color w:val="800080"/>
      <w:u w:val="single"/>
    </w:rPr>
  </w:style>
  <w:style w:type="paragraph" w:styleId="Bunntekst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Fotnotereferanse">
    <w:name w:val="footnote reference"/>
    <w:rsid w:val="001B789F"/>
    <w:rPr>
      <w:vertAlign w:val="superscript"/>
    </w:rPr>
  </w:style>
  <w:style w:type="paragraph" w:styleId="Fotnotetekst">
    <w:name w:val="footnote text"/>
    <w:basedOn w:val="Normal"/>
    <w:rsid w:val="001B789F"/>
    <w:rPr>
      <w:szCs w:val="22"/>
    </w:rPr>
  </w:style>
  <w:style w:type="paragraph" w:styleId="Topptekst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yperkobling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Sidetall">
    <w:name w:val="page number"/>
    <w:basedOn w:val="Standardskriftforavsnitt"/>
    <w:semiHidden/>
    <w:rsid w:val="001B789F"/>
  </w:style>
  <w:style w:type="character" w:styleId="Sterk">
    <w:name w:val="Strong"/>
    <w:rsid w:val="001B789F"/>
    <w:rPr>
      <w:b/>
      <w:bCs/>
    </w:rPr>
  </w:style>
  <w:style w:type="table" w:styleId="Tabellrutenett">
    <w:name w:val="Table Grid"/>
    <w:basedOn w:val="Vanligtabel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INNH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INNH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INNH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INNH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INNH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INNH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INNH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INNH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INNH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Listeavsnitt">
    <w:name w:val="List Paragraph"/>
    <w:basedOn w:val="Normal"/>
    <w:uiPriority w:val="34"/>
    <w:rsid w:val="00BF077B"/>
    <w:pPr>
      <w:ind w:left="720"/>
    </w:pPr>
  </w:style>
  <w:style w:type="character" w:styleId="Boktittel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customStyle="1" w:styleId="Default">
    <w:name w:val="Default"/>
    <w:rsid w:val="0027538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ATSNormalChar">
    <w:name w:val="ATS Normal Char"/>
    <w:link w:val="ATSNormal"/>
    <w:locked/>
    <w:rsid w:val="0027538E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08F30-6FF4-4A41-8601-DD0A081C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1942</Words>
  <Characters>10293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NPI</cp:lastModifiedBy>
  <cp:revision>2</cp:revision>
  <cp:lastPrinted>2008-01-22T18:20:00Z</cp:lastPrinted>
  <dcterms:created xsi:type="dcterms:W3CDTF">2021-05-20T06:46:00Z</dcterms:created>
  <dcterms:modified xsi:type="dcterms:W3CDTF">2021-05-20T06:46:00Z</dcterms:modified>
</cp:coreProperties>
</file>