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76447" w14:textId="77777777" w:rsidR="00C26F2D" w:rsidRPr="00BF077B" w:rsidRDefault="00DE2EE0" w:rsidP="00BF077B">
      <w:pPr>
        <w:pStyle w:val="ATSNormal"/>
        <w:rPr>
          <w:rStyle w:val="Ttulodellibro"/>
        </w:rPr>
      </w:pPr>
    </w:p>
    <w:p w14:paraId="3DEEAB45" w14:textId="77777777" w:rsidR="002F0A13" w:rsidRDefault="00DE2EE0" w:rsidP="004B4A60">
      <w:pPr>
        <w:rPr>
          <w:b/>
          <w:u w:val="single"/>
          <w:lang w:val="es-ES_tradnl"/>
        </w:rPr>
      </w:pPr>
    </w:p>
    <w:p w14:paraId="082D47BE" w14:textId="77777777" w:rsidR="002F0A13" w:rsidRDefault="00DE2EE0" w:rsidP="004B4A60">
      <w:pPr>
        <w:rPr>
          <w:b/>
          <w:u w:val="single"/>
          <w:lang w:val="es-ES_tradnl"/>
        </w:rPr>
      </w:pPr>
    </w:p>
    <w:p w14:paraId="4C25F70D" w14:textId="77777777" w:rsidR="002F0A13" w:rsidRDefault="00DE2EE0" w:rsidP="004B4A60">
      <w:pPr>
        <w:rPr>
          <w:b/>
          <w:u w:val="single"/>
          <w:lang w:val="es-ES_tradnl"/>
        </w:rPr>
      </w:pPr>
    </w:p>
    <w:p w14:paraId="67837BF2" w14:textId="77777777" w:rsidR="002F0A13" w:rsidRDefault="00DE2EE0" w:rsidP="004B4A60">
      <w:pPr>
        <w:rPr>
          <w:b/>
          <w:u w:val="single"/>
          <w:lang w:val="es-ES_tradnl"/>
        </w:rPr>
      </w:pPr>
    </w:p>
    <w:p w14:paraId="3A36E508" w14:textId="77777777" w:rsidR="00C26F2D" w:rsidRDefault="00DE2EE0" w:rsidP="004B4A60">
      <w:pPr>
        <w:rPr>
          <w:b/>
          <w:u w:val="single"/>
          <w:lang w:val="es-ES_tradnl"/>
        </w:rPr>
      </w:pPr>
    </w:p>
    <w:p w14:paraId="66FD2FE2" w14:textId="77777777" w:rsidR="004B4A60" w:rsidRPr="0057246E" w:rsidRDefault="00DE2EE0" w:rsidP="001B789F">
      <w:pPr>
        <w:pStyle w:val="ATSTitle"/>
      </w:pPr>
      <w:bookmarkStart w:id="0" w:name="name"/>
      <w:r>
        <w:t>Update on current initiatives for a more structured sample and data collection of environmental contamination in the Antarctic</w:t>
      </w:r>
      <w:bookmarkEnd w:id="0"/>
    </w:p>
    <w:p w14:paraId="1A22D1FD" w14:textId="77777777" w:rsidR="004B4A60" w:rsidRPr="0057246E" w:rsidRDefault="00DE2EE0" w:rsidP="00F75424">
      <w:pPr>
        <w:jc w:val="center"/>
      </w:pPr>
    </w:p>
    <w:p w14:paraId="44DE8511" w14:textId="77777777" w:rsidR="004B4A60" w:rsidRPr="002F0A13" w:rsidRDefault="00DE2EE0" w:rsidP="002F0A13"/>
    <w:p w14:paraId="27A3B2D2" w14:textId="77777777" w:rsidR="004B4A60" w:rsidRDefault="00DE2EE0" w:rsidP="00F75424">
      <w:pPr>
        <w:jc w:val="center"/>
      </w:pPr>
      <w:bookmarkStart w:id="1" w:name="memo"/>
      <w:bookmarkEnd w:id="1"/>
    </w:p>
    <w:p w14:paraId="4E0FED5E" w14:textId="77777777" w:rsidR="0097629D" w:rsidRDefault="00DE2EE0" w:rsidP="00F75424">
      <w:pPr>
        <w:jc w:val="center"/>
      </w:pPr>
    </w:p>
    <w:p w14:paraId="54120923" w14:textId="77777777" w:rsidR="0097629D" w:rsidRDefault="00DE2EE0" w:rsidP="00F75424">
      <w:pPr>
        <w:jc w:val="center"/>
      </w:pPr>
    </w:p>
    <w:p w14:paraId="52F56353" w14:textId="77777777" w:rsidR="0097629D" w:rsidRDefault="00DE2EE0" w:rsidP="00F75424">
      <w:pPr>
        <w:jc w:val="center"/>
      </w:pPr>
    </w:p>
    <w:p w14:paraId="2AF0384D" w14:textId="77777777" w:rsidR="0097629D" w:rsidRPr="00C26F2D" w:rsidRDefault="00DE2EE0" w:rsidP="00F75424">
      <w:pPr>
        <w:jc w:val="center"/>
      </w:pPr>
    </w:p>
    <w:p w14:paraId="5CACB0F2" w14:textId="77777777" w:rsidR="004B4A60" w:rsidRPr="0057246E" w:rsidRDefault="00DE2EE0" w:rsidP="004B4A60"/>
    <w:p w14:paraId="680D1EFC" w14:textId="77777777" w:rsidR="00C26F2D" w:rsidRDefault="00DE2EE0"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A6A990A" w14:textId="4E31BD83" w:rsidR="004B4A60" w:rsidRDefault="00DE2EE0" w:rsidP="00952E9F"/>
    <w:p w14:paraId="284D6FA1" w14:textId="77777777" w:rsidR="00DE2EE0" w:rsidRPr="007F4929" w:rsidRDefault="00DE2EE0" w:rsidP="00DE2EE0">
      <w:pPr>
        <w:pStyle w:val="ATSNormal"/>
        <w:jc w:val="center"/>
        <w:rPr>
          <w:rFonts w:ascii="Arial" w:hAnsi="Arial" w:cs="Arial"/>
          <w:b/>
          <w:sz w:val="32"/>
          <w:szCs w:val="32"/>
          <w:lang w:val="en-US"/>
        </w:rPr>
      </w:pPr>
      <w:r w:rsidRPr="007F4929">
        <w:rPr>
          <w:rFonts w:ascii="Arial" w:hAnsi="Arial" w:cs="Arial"/>
          <w:b/>
          <w:sz w:val="32"/>
          <w:szCs w:val="32"/>
          <w:lang w:val="en-US"/>
        </w:rPr>
        <w:t>Update on current initiatives</w:t>
      </w:r>
      <w:r w:rsidRPr="007F4929">
        <w:rPr>
          <w:rFonts w:ascii="Arial" w:hAnsi="Arial" w:cs="Arial"/>
          <w:b/>
          <w:sz w:val="32"/>
          <w:szCs w:val="32"/>
        </w:rPr>
        <w:t xml:space="preserve"> for a more structured </w:t>
      </w:r>
      <w:r w:rsidRPr="007F4929">
        <w:rPr>
          <w:rFonts w:ascii="Arial" w:hAnsi="Arial" w:cs="Arial"/>
          <w:b/>
          <w:sz w:val="32"/>
          <w:szCs w:val="32"/>
          <w:lang w:val="en-US"/>
        </w:rPr>
        <w:t xml:space="preserve">sample and data collection of environmental contamination in the Antarctic </w:t>
      </w:r>
    </w:p>
    <w:p w14:paraId="3DC02A30" w14:textId="77777777" w:rsidR="00DE2EE0" w:rsidRDefault="00DE2EE0" w:rsidP="00DE2EE0">
      <w:pPr>
        <w:pStyle w:val="ATSNormal"/>
        <w:jc w:val="center"/>
        <w:rPr>
          <w:b/>
          <w:szCs w:val="22"/>
          <w:lang w:val="en-US"/>
        </w:rPr>
      </w:pPr>
      <w:r w:rsidRPr="000A265D">
        <w:rPr>
          <w:b/>
          <w:szCs w:val="22"/>
          <w:lang w:val="en-US"/>
        </w:rPr>
        <w:t xml:space="preserve"> </w:t>
      </w:r>
    </w:p>
    <w:p w14:paraId="101F3DD8" w14:textId="77777777" w:rsidR="00DE2EE0" w:rsidRPr="00C1107F" w:rsidRDefault="00DE2EE0" w:rsidP="00DE2EE0">
      <w:pPr>
        <w:pStyle w:val="ATSNormal"/>
        <w:jc w:val="center"/>
        <w:rPr>
          <w:rFonts w:ascii="Arial" w:hAnsi="Arial" w:cs="Arial"/>
          <w:b/>
          <w:szCs w:val="22"/>
        </w:rPr>
      </w:pPr>
      <w:r w:rsidRPr="00C1107F">
        <w:rPr>
          <w:rFonts w:ascii="Arial" w:hAnsi="Arial" w:cs="Arial"/>
          <w:b/>
          <w:szCs w:val="22"/>
          <w:lang w:val="en-US"/>
        </w:rPr>
        <w:t xml:space="preserve">Information Paper </w:t>
      </w:r>
      <w:r w:rsidRPr="00C1107F">
        <w:rPr>
          <w:rFonts w:ascii="Arial" w:hAnsi="Arial" w:cs="Arial"/>
          <w:b/>
          <w:szCs w:val="22"/>
        </w:rPr>
        <w:t>submitted by Germany, Italy, Australia, United Kingdom</w:t>
      </w:r>
      <w:r>
        <w:rPr>
          <w:rFonts w:ascii="Arial" w:hAnsi="Arial" w:cs="Arial"/>
          <w:b/>
          <w:szCs w:val="22"/>
        </w:rPr>
        <w:t>,</w:t>
      </w:r>
      <w:r w:rsidRPr="00C1107F">
        <w:rPr>
          <w:rFonts w:ascii="Arial" w:hAnsi="Arial" w:cs="Arial"/>
          <w:b/>
          <w:szCs w:val="22"/>
        </w:rPr>
        <w:t xml:space="preserve"> United States of </w:t>
      </w:r>
      <w:proofErr w:type="gramStart"/>
      <w:r w:rsidRPr="00C1107F">
        <w:rPr>
          <w:rFonts w:ascii="Arial" w:hAnsi="Arial" w:cs="Arial"/>
          <w:b/>
          <w:szCs w:val="22"/>
        </w:rPr>
        <w:t>America</w:t>
      </w:r>
      <w:proofErr w:type="gramEnd"/>
      <w:r>
        <w:rPr>
          <w:rFonts w:ascii="Arial" w:hAnsi="Arial" w:cs="Arial"/>
          <w:b/>
          <w:szCs w:val="22"/>
        </w:rPr>
        <w:t xml:space="preserve"> and Sweden</w:t>
      </w:r>
    </w:p>
    <w:p w14:paraId="1994491C" w14:textId="77777777" w:rsidR="00DE2EE0" w:rsidRDefault="00DE2EE0" w:rsidP="00DE2EE0">
      <w:pPr>
        <w:pStyle w:val="ATSHeading2"/>
        <w:spacing w:before="240"/>
        <w:rPr>
          <w:rFonts w:ascii="Times New Roman" w:hAnsi="Times New Roman"/>
          <w:i w:val="0"/>
          <w:sz w:val="22"/>
        </w:rPr>
      </w:pPr>
    </w:p>
    <w:p w14:paraId="68C56F24" w14:textId="77777777" w:rsidR="00DE2EE0" w:rsidRPr="00C1107F" w:rsidRDefault="00DE2EE0" w:rsidP="00DE2EE0">
      <w:pPr>
        <w:pStyle w:val="ATSHeading2"/>
        <w:spacing w:before="240"/>
        <w:rPr>
          <w:rFonts w:cs="Arial"/>
          <w:szCs w:val="24"/>
        </w:rPr>
      </w:pPr>
      <w:r w:rsidRPr="00C1107F">
        <w:rPr>
          <w:rFonts w:cs="Arial"/>
          <w:szCs w:val="24"/>
        </w:rPr>
        <w:t>Summary</w:t>
      </w:r>
    </w:p>
    <w:p w14:paraId="7945AC37" w14:textId="77777777" w:rsidR="00DE2EE0" w:rsidRPr="00593B6F" w:rsidRDefault="00DE2EE0" w:rsidP="00DE2EE0">
      <w:pPr>
        <w:spacing w:before="120" w:after="120"/>
        <w:jc w:val="both"/>
        <w:rPr>
          <w:szCs w:val="22"/>
        </w:rPr>
      </w:pPr>
      <w:r w:rsidRPr="00593B6F">
        <w:rPr>
          <w:szCs w:val="22"/>
        </w:rPr>
        <w:t xml:space="preserve">There is growing evidence that </w:t>
      </w:r>
      <w:r>
        <w:rPr>
          <w:szCs w:val="22"/>
        </w:rPr>
        <w:t xml:space="preserve">the </w:t>
      </w:r>
      <w:r w:rsidRPr="00593B6F">
        <w:rPr>
          <w:szCs w:val="22"/>
        </w:rPr>
        <w:t>Antarctic is increasingly exposed to chemical stressors</w:t>
      </w:r>
      <w:r>
        <w:rPr>
          <w:szCs w:val="22"/>
        </w:rPr>
        <w:t>.</w:t>
      </w:r>
      <w:r w:rsidRPr="00593B6F">
        <w:rPr>
          <w:szCs w:val="22"/>
        </w:rPr>
        <w:t xml:space="preserve"> Antarctica is impacted by global issues such as climate change and long-range transport of chemicals</w:t>
      </w:r>
      <w:r>
        <w:rPr>
          <w:szCs w:val="22"/>
        </w:rPr>
        <w:t xml:space="preserve">. </w:t>
      </w:r>
      <w:r w:rsidRPr="00593B6F">
        <w:rPr>
          <w:szCs w:val="22"/>
        </w:rPr>
        <w:t>Furthermore</w:t>
      </w:r>
      <w:r>
        <w:rPr>
          <w:szCs w:val="22"/>
        </w:rPr>
        <w:t>,</w:t>
      </w:r>
      <w:r w:rsidRPr="00593B6F">
        <w:rPr>
          <w:szCs w:val="22"/>
        </w:rPr>
        <w:t xml:space="preserve"> expanding tourism and research activities (including logistical activities serving their conduct or preparation) can affect the pristine environment. To date, there is a lack of systematic approaches and data to study and assess chemical pollution of the Antarctic environment and to derive knowledge-based measures for its protection. </w:t>
      </w:r>
    </w:p>
    <w:p w14:paraId="00ECA8A7" w14:textId="77777777" w:rsidR="00DE2EE0" w:rsidRPr="00593B6F" w:rsidRDefault="00DE2EE0" w:rsidP="00DE2EE0">
      <w:pPr>
        <w:spacing w:before="120" w:after="120"/>
        <w:jc w:val="both"/>
        <w:rPr>
          <w:szCs w:val="22"/>
        </w:rPr>
      </w:pPr>
      <w:proofErr w:type="gramStart"/>
      <w:r w:rsidRPr="00593B6F">
        <w:rPr>
          <w:szCs w:val="22"/>
        </w:rPr>
        <w:t>In particular, synerg</w:t>
      </w:r>
      <w:r>
        <w:rPr>
          <w:szCs w:val="22"/>
        </w:rPr>
        <w:t>ies</w:t>
      </w:r>
      <w:proofErr w:type="gramEnd"/>
      <w:r w:rsidRPr="00593B6F">
        <w:rPr>
          <w:szCs w:val="22"/>
        </w:rPr>
        <w:t xml:space="preserve"> between the Environmental Specimen Banks (ESBs) and </w:t>
      </w:r>
      <w:r>
        <w:rPr>
          <w:szCs w:val="22"/>
        </w:rPr>
        <w:t>N</w:t>
      </w:r>
      <w:r w:rsidRPr="00593B6F">
        <w:rPr>
          <w:szCs w:val="22"/>
        </w:rPr>
        <w:t xml:space="preserve">ational Antarctic </w:t>
      </w:r>
      <w:r>
        <w:rPr>
          <w:szCs w:val="22"/>
        </w:rPr>
        <w:t>P</w:t>
      </w:r>
      <w:r w:rsidRPr="00593B6F">
        <w:rPr>
          <w:szCs w:val="22"/>
        </w:rPr>
        <w:t>rograms</w:t>
      </w:r>
      <w:r>
        <w:rPr>
          <w:szCs w:val="22"/>
        </w:rPr>
        <w:t xml:space="preserve"> (NAPs)</w:t>
      </w:r>
      <w:r w:rsidRPr="00593B6F">
        <w:rPr>
          <w:szCs w:val="22"/>
        </w:rPr>
        <w:t xml:space="preserve"> can </w:t>
      </w:r>
      <w:r>
        <w:rPr>
          <w:szCs w:val="22"/>
        </w:rPr>
        <w:t>be</w:t>
      </w:r>
      <w:r w:rsidRPr="00593B6F">
        <w:rPr>
          <w:szCs w:val="22"/>
        </w:rPr>
        <w:t xml:space="preserve"> a </w:t>
      </w:r>
      <w:r>
        <w:rPr>
          <w:szCs w:val="22"/>
        </w:rPr>
        <w:t xml:space="preserve">straightforward </w:t>
      </w:r>
      <w:r w:rsidRPr="00997B71">
        <w:rPr>
          <w:szCs w:val="22"/>
        </w:rPr>
        <w:t>way</w:t>
      </w:r>
      <w:r>
        <w:rPr>
          <w:szCs w:val="22"/>
        </w:rPr>
        <w:t xml:space="preserve"> </w:t>
      </w:r>
      <w:r w:rsidRPr="00997B71">
        <w:rPr>
          <w:szCs w:val="22"/>
        </w:rPr>
        <w:t xml:space="preserve">to guarantee that current and future monitoring actions </w:t>
      </w:r>
      <w:r>
        <w:rPr>
          <w:szCs w:val="22"/>
        </w:rPr>
        <w:t xml:space="preserve">will </w:t>
      </w:r>
      <w:r w:rsidRPr="00997B71">
        <w:rPr>
          <w:szCs w:val="22"/>
        </w:rPr>
        <w:t xml:space="preserve">be representative and continuous, procedures </w:t>
      </w:r>
      <w:r>
        <w:rPr>
          <w:szCs w:val="22"/>
        </w:rPr>
        <w:t xml:space="preserve">will </w:t>
      </w:r>
      <w:r w:rsidRPr="00997B71">
        <w:rPr>
          <w:szCs w:val="22"/>
        </w:rPr>
        <w:t xml:space="preserve">be harmonized, quality control of the analytical data </w:t>
      </w:r>
      <w:r>
        <w:rPr>
          <w:szCs w:val="22"/>
        </w:rPr>
        <w:t xml:space="preserve">will </w:t>
      </w:r>
      <w:r w:rsidRPr="00997B71">
        <w:rPr>
          <w:szCs w:val="22"/>
        </w:rPr>
        <w:t xml:space="preserve">be established, and that future generations </w:t>
      </w:r>
      <w:r>
        <w:rPr>
          <w:szCs w:val="22"/>
        </w:rPr>
        <w:t xml:space="preserve">will </w:t>
      </w:r>
      <w:r w:rsidRPr="00997B71">
        <w:rPr>
          <w:szCs w:val="22"/>
        </w:rPr>
        <w:t xml:space="preserve">be </w:t>
      </w:r>
      <w:r>
        <w:rPr>
          <w:szCs w:val="22"/>
        </w:rPr>
        <w:t xml:space="preserve">offered the opportunity for </w:t>
      </w:r>
      <w:r w:rsidRPr="00593B6F">
        <w:rPr>
          <w:szCs w:val="22"/>
        </w:rPr>
        <w:t xml:space="preserve">retrospective </w:t>
      </w:r>
      <w:r>
        <w:rPr>
          <w:szCs w:val="22"/>
        </w:rPr>
        <w:t>studies</w:t>
      </w:r>
      <w:r w:rsidRPr="00593B6F">
        <w:rPr>
          <w:szCs w:val="22"/>
        </w:rPr>
        <w:t xml:space="preserve">. </w:t>
      </w:r>
      <w:r w:rsidRPr="00593B6F" w:rsidDel="00AC28DF">
        <w:rPr>
          <w:szCs w:val="22"/>
        </w:rPr>
        <w:t xml:space="preserve">A systematic and efficient sample and data collection plan </w:t>
      </w:r>
      <w:r>
        <w:rPr>
          <w:szCs w:val="22"/>
        </w:rPr>
        <w:t>should also</w:t>
      </w:r>
      <w:r w:rsidRPr="00593B6F" w:rsidDel="00AC28DF">
        <w:rPr>
          <w:szCs w:val="22"/>
        </w:rPr>
        <w:t xml:space="preserve"> </w:t>
      </w:r>
      <w:r w:rsidRPr="00593B6F" w:rsidDel="00AC28DF">
        <w:rPr>
          <w:color w:val="000000" w:themeColor="text1"/>
          <w:szCs w:val="22"/>
          <w:lang w:val="en-US"/>
        </w:rPr>
        <w:t>improve the effective use of scientific information</w:t>
      </w:r>
      <w:r>
        <w:rPr>
          <w:color w:val="000000" w:themeColor="text1"/>
          <w:szCs w:val="22"/>
          <w:lang w:val="en-US"/>
        </w:rPr>
        <w:t>, accelerate</w:t>
      </w:r>
      <w:r w:rsidRPr="00593B6F" w:rsidDel="00AC28DF">
        <w:rPr>
          <w:color w:val="000000" w:themeColor="text1"/>
          <w:szCs w:val="22"/>
          <w:lang w:val="en-US"/>
        </w:rPr>
        <w:t xml:space="preserve"> decision-making</w:t>
      </w:r>
      <w:r w:rsidRPr="00593B6F" w:rsidDel="00AC28DF">
        <w:rPr>
          <w:szCs w:val="22"/>
        </w:rPr>
        <w:t xml:space="preserve"> </w:t>
      </w:r>
      <w:r>
        <w:rPr>
          <w:szCs w:val="22"/>
        </w:rPr>
        <w:t xml:space="preserve">for environmental protection measures </w:t>
      </w:r>
      <w:r w:rsidRPr="00593B6F" w:rsidDel="00AC28DF">
        <w:rPr>
          <w:szCs w:val="22"/>
        </w:rPr>
        <w:t>and, consequently,</w:t>
      </w:r>
      <w:r w:rsidRPr="00593B6F" w:rsidDel="00AC28DF">
        <w:rPr>
          <w:color w:val="000000" w:themeColor="text1"/>
          <w:szCs w:val="22"/>
          <w:lang w:val="en-US"/>
        </w:rPr>
        <w:t xml:space="preserve"> </w:t>
      </w:r>
      <w:r>
        <w:rPr>
          <w:color w:val="000000" w:themeColor="text1"/>
          <w:szCs w:val="22"/>
          <w:lang w:val="en-US"/>
        </w:rPr>
        <w:t xml:space="preserve">promote </w:t>
      </w:r>
      <w:r w:rsidRPr="00593B6F" w:rsidDel="00AC28DF">
        <w:rPr>
          <w:color w:val="000000" w:themeColor="text1"/>
          <w:szCs w:val="22"/>
          <w:lang w:val="en-US"/>
        </w:rPr>
        <w:t xml:space="preserve">the future conservation of </w:t>
      </w:r>
      <w:r w:rsidRPr="00593B6F">
        <w:rPr>
          <w:color w:val="000000" w:themeColor="text1"/>
          <w:szCs w:val="22"/>
          <w:lang w:val="en-US"/>
        </w:rPr>
        <w:t xml:space="preserve">the </w:t>
      </w:r>
      <w:r w:rsidRPr="00593B6F" w:rsidDel="00AC28DF">
        <w:rPr>
          <w:color w:val="000000" w:themeColor="text1"/>
          <w:szCs w:val="22"/>
          <w:lang w:val="en-US"/>
        </w:rPr>
        <w:t>Antarctic</w:t>
      </w:r>
      <w:r w:rsidRPr="00593B6F">
        <w:rPr>
          <w:color w:val="000000" w:themeColor="text1"/>
          <w:szCs w:val="22"/>
          <w:lang w:val="en-US"/>
        </w:rPr>
        <w:t xml:space="preserve"> environment and </w:t>
      </w:r>
      <w:r>
        <w:rPr>
          <w:color w:val="000000" w:themeColor="text1"/>
          <w:szCs w:val="22"/>
          <w:lang w:val="en-US"/>
        </w:rPr>
        <w:t>its</w:t>
      </w:r>
      <w:r w:rsidRPr="00593B6F">
        <w:rPr>
          <w:color w:val="000000" w:themeColor="text1"/>
          <w:szCs w:val="22"/>
          <w:lang w:val="en-US"/>
        </w:rPr>
        <w:t xml:space="preserve"> depend</w:t>
      </w:r>
      <w:r>
        <w:rPr>
          <w:color w:val="000000" w:themeColor="text1"/>
          <w:szCs w:val="22"/>
          <w:lang w:val="en-US"/>
        </w:rPr>
        <w:t>ent</w:t>
      </w:r>
      <w:r w:rsidRPr="00593B6F">
        <w:rPr>
          <w:color w:val="000000" w:themeColor="text1"/>
          <w:szCs w:val="22"/>
          <w:lang w:val="en-US"/>
        </w:rPr>
        <w:t xml:space="preserve"> and associated ecosystems</w:t>
      </w:r>
      <w:r w:rsidRPr="00593B6F" w:rsidDel="00AC28DF">
        <w:rPr>
          <w:color w:val="000000" w:themeColor="text1"/>
          <w:szCs w:val="22"/>
          <w:lang w:val="en-US"/>
        </w:rPr>
        <w:t>.</w:t>
      </w:r>
    </w:p>
    <w:p w14:paraId="120ECD16" w14:textId="77777777" w:rsidR="00DE2EE0" w:rsidRPr="00593B6F" w:rsidRDefault="00DE2EE0" w:rsidP="00DE2EE0">
      <w:pPr>
        <w:spacing w:before="120" w:after="120"/>
        <w:jc w:val="both"/>
        <w:rPr>
          <w:color w:val="000000" w:themeColor="text1"/>
          <w:szCs w:val="22"/>
          <w:lang w:val="en-US"/>
        </w:rPr>
      </w:pPr>
      <w:r w:rsidRPr="00593B6F">
        <w:rPr>
          <w:szCs w:val="22"/>
        </w:rPr>
        <w:t xml:space="preserve">The purpose of this paper is to outline the progress that has been made </w:t>
      </w:r>
      <w:r>
        <w:rPr>
          <w:szCs w:val="22"/>
        </w:rPr>
        <w:t>in</w:t>
      </w:r>
      <w:r w:rsidRPr="00593B6F">
        <w:rPr>
          <w:szCs w:val="22"/>
        </w:rPr>
        <w:t xml:space="preserve"> establish</w:t>
      </w:r>
      <w:r>
        <w:rPr>
          <w:szCs w:val="22"/>
        </w:rPr>
        <w:t>ing</w:t>
      </w:r>
      <w:r w:rsidRPr="00593B6F">
        <w:rPr>
          <w:szCs w:val="22"/>
        </w:rPr>
        <w:t xml:space="preserve"> an international network – following ATCM XLIII/IP021 submitted by Germany and Italy – aimed at promoting and coordinating a more structured sample and data collection of environmental contamination in the Antarctic. Th</w:t>
      </w:r>
      <w:r>
        <w:rPr>
          <w:szCs w:val="22"/>
        </w:rPr>
        <w:t>is</w:t>
      </w:r>
      <w:r w:rsidRPr="00593B6F">
        <w:rPr>
          <w:szCs w:val="22"/>
        </w:rPr>
        <w:t xml:space="preserve"> paper follows the discussion at the Expert Workshop ‘Act now – Legacy and Emerging Contaminants in Polar Regions’ co-hosted by the </w:t>
      </w:r>
      <w:r w:rsidRPr="00593B6F">
        <w:rPr>
          <w:i/>
          <w:szCs w:val="22"/>
        </w:rPr>
        <w:t>German Environment Agency</w:t>
      </w:r>
      <w:r w:rsidRPr="00593B6F">
        <w:rPr>
          <w:szCs w:val="22"/>
        </w:rPr>
        <w:t xml:space="preserve"> (UBA) and the </w:t>
      </w:r>
      <w:r w:rsidRPr="00593B6F">
        <w:rPr>
          <w:i/>
          <w:szCs w:val="22"/>
        </w:rPr>
        <w:t>Institute of Coastal Environmental Chemistry, Helmholtz-</w:t>
      </w:r>
      <w:proofErr w:type="spellStart"/>
      <w:r w:rsidRPr="00593B6F">
        <w:rPr>
          <w:i/>
          <w:szCs w:val="22"/>
        </w:rPr>
        <w:t>Zentrum</w:t>
      </w:r>
      <w:proofErr w:type="spellEnd"/>
      <w:r w:rsidRPr="00593B6F">
        <w:rPr>
          <w:i/>
          <w:szCs w:val="22"/>
        </w:rPr>
        <w:t xml:space="preserve"> Hereon</w:t>
      </w:r>
      <w:r w:rsidRPr="00593B6F">
        <w:rPr>
          <w:szCs w:val="22"/>
        </w:rPr>
        <w:t xml:space="preserve"> (</w:t>
      </w:r>
      <w:proofErr w:type="spellStart"/>
      <w:r w:rsidRPr="00593B6F">
        <w:rPr>
          <w:szCs w:val="22"/>
        </w:rPr>
        <w:t>Geesthacht</w:t>
      </w:r>
      <w:proofErr w:type="spellEnd"/>
      <w:r w:rsidRPr="00593B6F">
        <w:rPr>
          <w:szCs w:val="22"/>
        </w:rPr>
        <w:t xml:space="preserve">, Germany) in January 2022. </w:t>
      </w:r>
      <w:proofErr w:type="gramStart"/>
      <w:r w:rsidRPr="00593B6F">
        <w:rPr>
          <w:szCs w:val="22"/>
        </w:rPr>
        <w:t>In order to</w:t>
      </w:r>
      <w:proofErr w:type="gramEnd"/>
      <w:r w:rsidRPr="00593B6F">
        <w:rPr>
          <w:szCs w:val="22"/>
        </w:rPr>
        <w:t xml:space="preserve"> have a </w:t>
      </w:r>
      <w:r>
        <w:rPr>
          <w:szCs w:val="22"/>
        </w:rPr>
        <w:t>sufficiently comprehensive and up to date</w:t>
      </w:r>
      <w:r w:rsidRPr="00593B6F">
        <w:rPr>
          <w:szCs w:val="22"/>
        </w:rPr>
        <w:t xml:space="preserve"> data basis for this workshop and further work, UBA </w:t>
      </w:r>
      <w:r>
        <w:rPr>
          <w:szCs w:val="22"/>
        </w:rPr>
        <w:t xml:space="preserve">has </w:t>
      </w:r>
      <w:r w:rsidRPr="00593B6F">
        <w:rPr>
          <w:szCs w:val="22"/>
        </w:rPr>
        <w:t>commissioned a report to review studies on the occurrence of emerging organic contaminants (EOCs) in both the Arctic and the Antarctic and to evaluate the long-range environmental transport processes of EOCs via ocean currents and the atmosphere from continental sources to polar regions.</w:t>
      </w:r>
    </w:p>
    <w:p w14:paraId="5CDE843B" w14:textId="77777777" w:rsidR="00DE2EE0" w:rsidRPr="00C1107F" w:rsidRDefault="00DE2EE0" w:rsidP="00DE2EE0">
      <w:pPr>
        <w:pStyle w:val="ATSHeading2"/>
        <w:spacing w:before="240"/>
        <w:rPr>
          <w:rFonts w:cs="Arial"/>
          <w:szCs w:val="24"/>
        </w:rPr>
      </w:pPr>
      <w:r w:rsidRPr="00C1107F">
        <w:rPr>
          <w:rFonts w:cs="Arial"/>
          <w:szCs w:val="24"/>
        </w:rPr>
        <w:t>Background</w:t>
      </w:r>
    </w:p>
    <w:p w14:paraId="5F83BC76" w14:textId="77777777" w:rsidR="00DE2EE0" w:rsidRPr="00593B6F" w:rsidRDefault="00DE2EE0" w:rsidP="00DE2EE0">
      <w:pPr>
        <w:spacing w:before="120" w:after="120"/>
        <w:jc w:val="both"/>
        <w:rPr>
          <w:szCs w:val="22"/>
        </w:rPr>
      </w:pPr>
      <w:r w:rsidRPr="00593B6F">
        <w:rPr>
          <w:szCs w:val="22"/>
        </w:rPr>
        <w:t>Antarctica is one of the planet’s last wildernesses, design</w:t>
      </w:r>
      <w:r>
        <w:rPr>
          <w:szCs w:val="22"/>
        </w:rPr>
        <w:t>at</w:t>
      </w:r>
      <w:r w:rsidRPr="00593B6F">
        <w:rPr>
          <w:szCs w:val="22"/>
        </w:rPr>
        <w:t xml:space="preserve">ed by the Antarctic Treaty in 1959 as a ‘natural reserve, devoted to peace and science’. </w:t>
      </w:r>
      <w:r>
        <w:rPr>
          <w:szCs w:val="22"/>
        </w:rPr>
        <w:t>I</w:t>
      </w:r>
      <w:r w:rsidRPr="00593B6F">
        <w:rPr>
          <w:szCs w:val="22"/>
        </w:rPr>
        <w:t>n 1991</w:t>
      </w:r>
      <w:r>
        <w:rPr>
          <w:szCs w:val="22"/>
        </w:rPr>
        <w:t>,</w:t>
      </w:r>
      <w:r w:rsidRPr="00593B6F">
        <w:rPr>
          <w:szCs w:val="22"/>
        </w:rPr>
        <w:t xml:space="preserve"> </w:t>
      </w:r>
      <w:r>
        <w:rPr>
          <w:szCs w:val="22"/>
        </w:rPr>
        <w:t>t</w:t>
      </w:r>
      <w:r w:rsidRPr="00593B6F">
        <w:rPr>
          <w:szCs w:val="22"/>
        </w:rPr>
        <w:t xml:space="preserve">he Protocol on Environmental Protection to the Antarctic Treaty (the Protocol) </w:t>
      </w:r>
      <w:bookmarkStart w:id="8" w:name="_Hlk98773546"/>
      <w:r>
        <w:rPr>
          <w:szCs w:val="22"/>
        </w:rPr>
        <w:t>enshrined</w:t>
      </w:r>
      <w:bookmarkEnd w:id="8"/>
      <w:r w:rsidRPr="00593B6F">
        <w:rPr>
          <w:szCs w:val="22"/>
        </w:rPr>
        <w:t xml:space="preserve"> the protection of the Antarctic environment </w:t>
      </w:r>
      <w:r>
        <w:rPr>
          <w:szCs w:val="22"/>
        </w:rPr>
        <w:t xml:space="preserve">because of </w:t>
      </w:r>
      <w:r w:rsidRPr="00593B6F">
        <w:rPr>
          <w:szCs w:val="22"/>
        </w:rPr>
        <w:t xml:space="preserve">its intrinsic value and its </w:t>
      </w:r>
      <w:r>
        <w:rPr>
          <w:szCs w:val="22"/>
        </w:rPr>
        <w:t>importance</w:t>
      </w:r>
      <w:r w:rsidRPr="00593B6F">
        <w:rPr>
          <w:szCs w:val="22"/>
        </w:rPr>
        <w:t xml:space="preserve"> as an area for scientific </w:t>
      </w:r>
      <w:r>
        <w:rPr>
          <w:szCs w:val="22"/>
        </w:rPr>
        <w:t>exploration</w:t>
      </w:r>
      <w:r w:rsidRPr="00593B6F">
        <w:rPr>
          <w:szCs w:val="22"/>
        </w:rPr>
        <w:t xml:space="preserve">, in particular research essential to understanding the global environment.  </w:t>
      </w:r>
    </w:p>
    <w:p w14:paraId="5BE1E81C" w14:textId="77777777" w:rsidR="00DE2EE0" w:rsidRPr="00593B6F" w:rsidRDefault="00DE2EE0" w:rsidP="00DE2EE0">
      <w:pPr>
        <w:spacing w:before="120" w:after="120"/>
        <w:jc w:val="both"/>
        <w:rPr>
          <w:szCs w:val="22"/>
        </w:rPr>
      </w:pPr>
      <w:bookmarkStart w:id="9" w:name="_Hlk97646355"/>
      <w:r w:rsidRPr="00593B6F">
        <w:rPr>
          <w:szCs w:val="22"/>
        </w:rPr>
        <w:t xml:space="preserve">Nevertheless, serious threats to the conservation of the Antarctic environment do exist, including chemical contamination related to various </w:t>
      </w:r>
      <w:r>
        <w:rPr>
          <w:szCs w:val="22"/>
        </w:rPr>
        <w:t>sources</w:t>
      </w:r>
      <w:r w:rsidRPr="00593B6F">
        <w:rPr>
          <w:szCs w:val="22"/>
        </w:rPr>
        <w:t>, such as research stations</w:t>
      </w:r>
      <w:r>
        <w:rPr>
          <w:szCs w:val="22"/>
        </w:rPr>
        <w:t xml:space="preserve">, scientific </w:t>
      </w:r>
      <w:r w:rsidRPr="00593B6F">
        <w:rPr>
          <w:szCs w:val="22"/>
        </w:rPr>
        <w:t xml:space="preserve">activities, tourism and fishing operations, vessels incidents, and long-range transport of legacy pollutants </w:t>
      </w:r>
      <w:r>
        <w:rPr>
          <w:szCs w:val="22"/>
        </w:rPr>
        <w:t xml:space="preserve">and contaminants of emerging concern (CEC) </w:t>
      </w:r>
      <w:r w:rsidRPr="00593B6F">
        <w:rPr>
          <w:szCs w:val="22"/>
        </w:rPr>
        <w:t xml:space="preserve">from mid-latitudes. As a </w:t>
      </w:r>
      <w:r>
        <w:rPr>
          <w:szCs w:val="22"/>
        </w:rPr>
        <w:t>result</w:t>
      </w:r>
      <w:r w:rsidRPr="00593B6F">
        <w:rPr>
          <w:szCs w:val="22"/>
        </w:rPr>
        <w:t xml:space="preserve">, the </w:t>
      </w:r>
      <w:r>
        <w:rPr>
          <w:szCs w:val="22"/>
        </w:rPr>
        <w:t>presence</w:t>
      </w:r>
      <w:r w:rsidRPr="00593B6F">
        <w:rPr>
          <w:szCs w:val="22"/>
        </w:rPr>
        <w:t xml:space="preserve"> of persistent organic pollutants (POPs) and trace elements have been detected in Antarctica (ATCM XXXI/IP097, ATCM XXXII/IP069, ATCM XXXVII/IP008, ATCMXL/IP02</w:t>
      </w:r>
      <w:r w:rsidRPr="00AB78C3">
        <w:rPr>
          <w:szCs w:val="22"/>
        </w:rPr>
        <w:t>2</w:t>
      </w:r>
      <w:r w:rsidRPr="00593B6F">
        <w:rPr>
          <w:szCs w:val="22"/>
        </w:rPr>
        <w:t>). Furthermore, emerging contaminants (</w:t>
      </w:r>
      <w:proofErr w:type="gramStart"/>
      <w:r w:rsidRPr="00593B6F">
        <w:rPr>
          <w:szCs w:val="22"/>
        </w:rPr>
        <w:t>e.g.</w:t>
      </w:r>
      <w:proofErr w:type="gramEnd"/>
      <w:r w:rsidRPr="00593B6F">
        <w:rPr>
          <w:szCs w:val="22"/>
        </w:rPr>
        <w:t xml:space="preserve"> flame retardants, pharmaceuticals and personal care products, </w:t>
      </w:r>
      <w:r w:rsidRPr="00593B6F">
        <w:rPr>
          <w:szCs w:val="22"/>
        </w:rPr>
        <w:lastRenderedPageBreak/>
        <w:t xml:space="preserve">microplastics) can be found in Antarctica (Waller et al., 2017, </w:t>
      </w:r>
      <w:proofErr w:type="spellStart"/>
      <w:r w:rsidRPr="00593B6F">
        <w:rPr>
          <w:szCs w:val="22"/>
        </w:rPr>
        <w:t>Vecchiato</w:t>
      </w:r>
      <w:proofErr w:type="spellEnd"/>
      <w:r w:rsidRPr="00593B6F">
        <w:rPr>
          <w:szCs w:val="22"/>
        </w:rPr>
        <w:t xml:space="preserve"> et al. 2017, Dreyer et al. 2019,), although </w:t>
      </w:r>
      <w:r>
        <w:rPr>
          <w:szCs w:val="22"/>
        </w:rPr>
        <w:t xml:space="preserve">environmental monitoring activities </w:t>
      </w:r>
      <w:r w:rsidRPr="00593B6F">
        <w:rPr>
          <w:szCs w:val="22"/>
        </w:rPr>
        <w:t xml:space="preserve">are still scarce in comparison to data from the Northern Hemisphere. </w:t>
      </w:r>
      <w:r>
        <w:rPr>
          <w:szCs w:val="22"/>
        </w:rPr>
        <w:t xml:space="preserve">It is therefore </w:t>
      </w:r>
      <w:r w:rsidRPr="00842944">
        <w:rPr>
          <w:szCs w:val="22"/>
        </w:rPr>
        <w:t>not surprising</w:t>
      </w:r>
      <w:r>
        <w:rPr>
          <w:szCs w:val="22"/>
        </w:rPr>
        <w:t xml:space="preserve"> that</w:t>
      </w:r>
      <w:r w:rsidRPr="00842944">
        <w:rPr>
          <w:szCs w:val="22"/>
        </w:rPr>
        <w:t xml:space="preserve"> the assessment of chemical contamination is </w:t>
      </w:r>
      <w:r>
        <w:rPr>
          <w:szCs w:val="22"/>
        </w:rPr>
        <w:t xml:space="preserve">becoming </w:t>
      </w:r>
      <w:r w:rsidRPr="00842944">
        <w:rPr>
          <w:szCs w:val="22"/>
        </w:rPr>
        <w:t>a</w:t>
      </w:r>
      <w:r>
        <w:rPr>
          <w:szCs w:val="22"/>
        </w:rPr>
        <w:t xml:space="preserve">n important </w:t>
      </w:r>
      <w:r w:rsidRPr="00593B6F">
        <w:rPr>
          <w:szCs w:val="22"/>
        </w:rPr>
        <w:t>topic of various research programs in Antarctica, including the Italian National Antarctic Research Programme (PNRA), launched in 1985 and arrived today at its 37</w:t>
      </w:r>
      <w:r w:rsidRPr="005D0B6A">
        <w:rPr>
          <w:szCs w:val="22"/>
          <w:vertAlign w:val="superscript"/>
        </w:rPr>
        <w:t>th</w:t>
      </w:r>
      <w:r w:rsidRPr="00593B6F">
        <w:rPr>
          <w:szCs w:val="22"/>
        </w:rPr>
        <w:t xml:space="preserve"> year of activity.</w:t>
      </w:r>
    </w:p>
    <w:p w14:paraId="049273EF" w14:textId="77777777" w:rsidR="00DE2EE0" w:rsidRPr="00593B6F" w:rsidRDefault="00DE2EE0" w:rsidP="00DE2EE0">
      <w:pPr>
        <w:spacing w:before="120" w:after="120"/>
        <w:jc w:val="both"/>
        <w:rPr>
          <w:szCs w:val="22"/>
        </w:rPr>
      </w:pPr>
      <w:r w:rsidRPr="00593B6F">
        <w:rPr>
          <w:szCs w:val="22"/>
        </w:rPr>
        <w:t xml:space="preserve">ESBs </w:t>
      </w:r>
      <w:r>
        <w:rPr>
          <w:szCs w:val="22"/>
        </w:rPr>
        <w:t xml:space="preserve">systematically </w:t>
      </w:r>
      <w:r w:rsidRPr="00593B6F">
        <w:rPr>
          <w:szCs w:val="22"/>
        </w:rPr>
        <w:t xml:space="preserve">archive samples from the environment for future research and monitoring purposes (Küster et al. 2014). In addition, the long-term preservation of representative specimens is an important complement to environmental research and monitoring plans. The first banking activities were set up in the 1960s in Sweden and Japan and then in </w:t>
      </w:r>
      <w:r>
        <w:rPr>
          <w:szCs w:val="22"/>
        </w:rPr>
        <w:t>the 1970s and 1980s</w:t>
      </w:r>
      <w:r w:rsidRPr="00593B6F">
        <w:rPr>
          <w:szCs w:val="22"/>
        </w:rPr>
        <w:t xml:space="preserve"> in the USA and in Germany</w:t>
      </w:r>
      <w:r>
        <w:rPr>
          <w:szCs w:val="22"/>
        </w:rPr>
        <w:t>, respectively</w:t>
      </w:r>
      <w:r w:rsidRPr="00593B6F">
        <w:rPr>
          <w:szCs w:val="22"/>
        </w:rPr>
        <w:t xml:space="preserve">. Today, around 30 national ESBs are established around the globe, including the </w:t>
      </w:r>
      <w:r w:rsidRPr="00593B6F">
        <w:rPr>
          <w:i/>
          <w:szCs w:val="22"/>
        </w:rPr>
        <w:t>Italian Antarctic ESB</w:t>
      </w:r>
      <w:r w:rsidRPr="00593B6F">
        <w:rPr>
          <w:szCs w:val="22"/>
        </w:rPr>
        <w:t xml:space="preserve"> (</w:t>
      </w:r>
      <w:r>
        <w:rPr>
          <w:szCs w:val="22"/>
        </w:rPr>
        <w:t>BCAA</w:t>
      </w:r>
      <w:r w:rsidRPr="00593B6F">
        <w:rPr>
          <w:szCs w:val="22"/>
        </w:rPr>
        <w:t xml:space="preserve">), </w:t>
      </w:r>
      <w:r w:rsidRPr="00593B6F">
        <w:rPr>
          <w:color w:val="000000" w:themeColor="text1"/>
          <w:szCs w:val="22"/>
          <w:lang w:val="en-US"/>
        </w:rPr>
        <w:t>operating since 1994 within the PNRA (</w:t>
      </w:r>
      <w:proofErr w:type="spellStart"/>
      <w:r w:rsidRPr="00593B6F">
        <w:rPr>
          <w:color w:val="000000" w:themeColor="text1"/>
          <w:szCs w:val="22"/>
          <w:lang w:val="en-US"/>
        </w:rPr>
        <w:t>Soggia</w:t>
      </w:r>
      <w:proofErr w:type="spellEnd"/>
      <w:r w:rsidRPr="00593B6F">
        <w:rPr>
          <w:color w:val="000000" w:themeColor="text1"/>
          <w:szCs w:val="22"/>
          <w:lang w:val="en-US"/>
        </w:rPr>
        <w:t xml:space="preserve"> et al. 2001).</w:t>
      </w:r>
      <w:r w:rsidRPr="00593B6F">
        <w:rPr>
          <w:szCs w:val="22"/>
        </w:rPr>
        <w:t xml:space="preserve"> UBA, to which the </w:t>
      </w:r>
      <w:r w:rsidRPr="008576DE">
        <w:rPr>
          <w:szCs w:val="22"/>
        </w:rPr>
        <w:t>German ESB</w:t>
      </w:r>
      <w:r w:rsidRPr="00593B6F">
        <w:rPr>
          <w:szCs w:val="22"/>
        </w:rPr>
        <w:t xml:space="preserve"> belongs, has initiated case studies together with the </w:t>
      </w:r>
      <w:r w:rsidRPr="00593B6F">
        <w:rPr>
          <w:i/>
          <w:szCs w:val="22"/>
        </w:rPr>
        <w:t>Alfred-Wegener-Institute, Helmholtz-</w:t>
      </w:r>
      <w:proofErr w:type="spellStart"/>
      <w:r w:rsidRPr="00593B6F">
        <w:rPr>
          <w:i/>
          <w:szCs w:val="22"/>
        </w:rPr>
        <w:t>Zentrum</w:t>
      </w:r>
      <w:proofErr w:type="spellEnd"/>
      <w:r w:rsidRPr="00593B6F">
        <w:rPr>
          <w:i/>
          <w:szCs w:val="22"/>
        </w:rPr>
        <w:t xml:space="preserve"> für Polar- und </w:t>
      </w:r>
      <w:proofErr w:type="spellStart"/>
      <w:r w:rsidRPr="00593B6F">
        <w:rPr>
          <w:i/>
          <w:szCs w:val="22"/>
        </w:rPr>
        <w:t>Meeresforschung</w:t>
      </w:r>
      <w:proofErr w:type="spellEnd"/>
      <w:r w:rsidRPr="00593B6F">
        <w:rPr>
          <w:i/>
          <w:szCs w:val="22"/>
        </w:rPr>
        <w:t xml:space="preserve"> </w:t>
      </w:r>
      <w:r w:rsidRPr="00593B6F">
        <w:rPr>
          <w:szCs w:val="22"/>
        </w:rPr>
        <w:t xml:space="preserve">(AWI) to explore the use of samples from penguin colonies, coastal </w:t>
      </w:r>
      <w:proofErr w:type="gramStart"/>
      <w:r w:rsidRPr="00593B6F">
        <w:rPr>
          <w:szCs w:val="22"/>
        </w:rPr>
        <w:t>fish</w:t>
      </w:r>
      <w:proofErr w:type="gramEnd"/>
      <w:r w:rsidRPr="00593B6F">
        <w:rPr>
          <w:szCs w:val="22"/>
        </w:rPr>
        <w:t xml:space="preserve"> and krill for contaminant analysis, including systematic archiving. Moreover, UBA will commission a </w:t>
      </w:r>
      <w:r>
        <w:rPr>
          <w:szCs w:val="22"/>
        </w:rPr>
        <w:t>r</w:t>
      </w:r>
      <w:r w:rsidRPr="00593B6F">
        <w:rPr>
          <w:szCs w:val="22"/>
        </w:rPr>
        <w:t>esearch project with funding from the Federal Ministry for the Environment, Nature Conservation, Nuclear Safety and Consumer Protection to develop more detailed ideas about systematic approaches to gather</w:t>
      </w:r>
      <w:r>
        <w:rPr>
          <w:szCs w:val="22"/>
        </w:rPr>
        <w:t>ing</w:t>
      </w:r>
      <w:r w:rsidRPr="00593B6F">
        <w:rPr>
          <w:szCs w:val="22"/>
        </w:rPr>
        <w:t xml:space="preserve"> data and information about the chemical pollution and its impacts on the Antarctic environment</w:t>
      </w:r>
      <w:r>
        <w:rPr>
          <w:szCs w:val="22"/>
        </w:rPr>
        <w:t>. The aim is</w:t>
      </w:r>
      <w:r w:rsidRPr="00593B6F">
        <w:rPr>
          <w:szCs w:val="22"/>
        </w:rPr>
        <w:t xml:space="preserve"> to derive knowledge-based measures for protecti</w:t>
      </w:r>
      <w:r>
        <w:rPr>
          <w:szCs w:val="22"/>
        </w:rPr>
        <w:t>ng the Antarctic environment</w:t>
      </w:r>
      <w:r w:rsidRPr="00593B6F">
        <w:rPr>
          <w:szCs w:val="22"/>
        </w:rPr>
        <w:t xml:space="preserve">. </w:t>
      </w:r>
    </w:p>
    <w:p w14:paraId="017651AC" w14:textId="77777777" w:rsidR="00DE2EE0" w:rsidRPr="00593B6F" w:rsidRDefault="00DE2EE0" w:rsidP="00DE2EE0">
      <w:pPr>
        <w:spacing w:before="120" w:after="120"/>
        <w:jc w:val="both"/>
        <w:rPr>
          <w:szCs w:val="22"/>
        </w:rPr>
      </w:pPr>
      <w:r w:rsidRPr="00593B6F">
        <w:rPr>
          <w:szCs w:val="22"/>
        </w:rPr>
        <w:t xml:space="preserve">The SCAR </w:t>
      </w:r>
      <w:proofErr w:type="spellStart"/>
      <w:r w:rsidRPr="00593B6F">
        <w:rPr>
          <w:szCs w:val="22"/>
        </w:rPr>
        <w:t>ImPACT</w:t>
      </w:r>
      <w:proofErr w:type="spellEnd"/>
      <w:r w:rsidRPr="00593B6F">
        <w:rPr>
          <w:szCs w:val="22"/>
        </w:rPr>
        <w:t xml:space="preserve"> (</w:t>
      </w:r>
      <w:bookmarkStart w:id="10" w:name="_Hlk97643217"/>
      <w:r w:rsidRPr="00593B6F">
        <w:rPr>
          <w:szCs w:val="22"/>
        </w:rPr>
        <w:t xml:space="preserve">Input Pathways of Persistent Organic Pollutants in Antarctica) Action Group </w:t>
      </w:r>
      <w:bookmarkEnd w:id="10"/>
      <w:r w:rsidRPr="00593B6F">
        <w:rPr>
          <w:szCs w:val="22"/>
        </w:rPr>
        <w:t xml:space="preserve">was established in 2018 to facilitate coordinated investigation and monitoring of chemical inputs </w:t>
      </w:r>
      <w:r>
        <w:rPr>
          <w:szCs w:val="22"/>
        </w:rPr>
        <w:t>in</w:t>
      </w:r>
      <w:r w:rsidRPr="00593B6F">
        <w:rPr>
          <w:szCs w:val="22"/>
        </w:rPr>
        <w:t xml:space="preserve">to the Antarctic. Through ATCMXLIII/IP137, the Action </w:t>
      </w:r>
      <w:r>
        <w:rPr>
          <w:szCs w:val="22"/>
        </w:rPr>
        <w:t>G</w:t>
      </w:r>
      <w:r w:rsidRPr="00593B6F">
        <w:rPr>
          <w:szCs w:val="22"/>
        </w:rPr>
        <w:t>roup has identified priority challenges for persistent organic chemical research in Antarctica. The paper includes the identified priority research gaps and proposed actions that resulted from a scoping meeting of th</w:t>
      </w:r>
      <w:r>
        <w:rPr>
          <w:szCs w:val="22"/>
        </w:rPr>
        <w:t>e</w:t>
      </w:r>
      <w:r w:rsidRPr="00593B6F">
        <w:rPr>
          <w:szCs w:val="22"/>
        </w:rPr>
        <w:t xml:space="preserve"> group. It identified potential approaches for coordinated research and monitoring efforts and outlined a set of actions needed to </w:t>
      </w:r>
      <w:r>
        <w:rPr>
          <w:szCs w:val="22"/>
        </w:rPr>
        <w:t>align</w:t>
      </w:r>
      <w:r w:rsidRPr="00593B6F">
        <w:rPr>
          <w:szCs w:val="22"/>
        </w:rPr>
        <w:t xml:space="preserve"> research on persistent organic chemicals in </w:t>
      </w:r>
      <w:r>
        <w:rPr>
          <w:szCs w:val="22"/>
        </w:rPr>
        <w:t xml:space="preserve">the </w:t>
      </w:r>
      <w:r w:rsidRPr="00593B6F">
        <w:rPr>
          <w:szCs w:val="22"/>
        </w:rPr>
        <w:t>Antarctic with international efforts and existing global monitoring frameworks.</w:t>
      </w:r>
    </w:p>
    <w:bookmarkEnd w:id="9"/>
    <w:p w14:paraId="3327EFA7" w14:textId="77777777" w:rsidR="00DE2EE0" w:rsidRPr="00C1107F" w:rsidRDefault="00DE2EE0" w:rsidP="00DE2EE0">
      <w:pPr>
        <w:pStyle w:val="ATSHeading2"/>
        <w:spacing w:before="240"/>
        <w:rPr>
          <w:rFonts w:cs="Arial"/>
          <w:szCs w:val="24"/>
        </w:rPr>
      </w:pPr>
      <w:r w:rsidRPr="00C1107F">
        <w:rPr>
          <w:rFonts w:cs="Arial"/>
          <w:szCs w:val="24"/>
        </w:rPr>
        <w:t xml:space="preserve">Findings within the project </w:t>
      </w:r>
      <w:bookmarkStart w:id="11" w:name="_Hlk97651907"/>
      <w:r w:rsidRPr="00C1107F">
        <w:rPr>
          <w:rFonts w:cs="Arial"/>
          <w:szCs w:val="24"/>
        </w:rPr>
        <w:t>‘Emerging and legacy organic contaminants in the polar regions’</w:t>
      </w:r>
      <w:bookmarkEnd w:id="11"/>
    </w:p>
    <w:p w14:paraId="1E21AE0A" w14:textId="77777777" w:rsidR="00DE2EE0" w:rsidRDefault="00DE2EE0" w:rsidP="00DE2EE0">
      <w:pPr>
        <w:pStyle w:val="ATSNormal"/>
        <w:jc w:val="both"/>
        <w:rPr>
          <w:szCs w:val="22"/>
        </w:rPr>
      </w:pPr>
      <w:r w:rsidRPr="00593B6F">
        <w:rPr>
          <w:szCs w:val="22"/>
        </w:rPr>
        <w:t xml:space="preserve">The aim of the project </w:t>
      </w:r>
      <w:r>
        <w:rPr>
          <w:szCs w:val="22"/>
        </w:rPr>
        <w:t>‘</w:t>
      </w:r>
      <w:r w:rsidRPr="00593B6F">
        <w:rPr>
          <w:szCs w:val="22"/>
        </w:rPr>
        <w:t>Emerging and legacy organic contaminants in the polar regions</w:t>
      </w:r>
      <w:r>
        <w:rPr>
          <w:szCs w:val="22"/>
        </w:rPr>
        <w:t>’</w:t>
      </w:r>
      <w:r w:rsidRPr="00593B6F">
        <w:rPr>
          <w:szCs w:val="22"/>
        </w:rPr>
        <w:t xml:space="preserve">, funded by UBA, </w:t>
      </w:r>
      <w:r>
        <w:rPr>
          <w:szCs w:val="22"/>
        </w:rPr>
        <w:t>wa</w:t>
      </w:r>
      <w:r w:rsidRPr="00593B6F">
        <w:rPr>
          <w:szCs w:val="22"/>
        </w:rPr>
        <w:t xml:space="preserve">s to review studies on the occurrence of EOCs in both the Arctic and the Antarctic and to evaluate the long-range environmental transport processes of EOCs via ocean currents and the atmosphere from continental sources to polar regions. </w:t>
      </w:r>
    </w:p>
    <w:p w14:paraId="0D1E88D8" w14:textId="77777777" w:rsidR="00DE2EE0" w:rsidRDefault="00DE2EE0" w:rsidP="00DE2EE0">
      <w:pPr>
        <w:pStyle w:val="ATSNormal"/>
        <w:jc w:val="both"/>
        <w:rPr>
          <w:szCs w:val="22"/>
        </w:rPr>
      </w:pPr>
      <w:r>
        <w:rPr>
          <w:szCs w:val="22"/>
        </w:rPr>
        <w:t>T</w:t>
      </w:r>
      <w:r w:rsidRPr="00593B6F">
        <w:rPr>
          <w:szCs w:val="22"/>
        </w:rPr>
        <w:t xml:space="preserve">he </w:t>
      </w:r>
      <w:r>
        <w:rPr>
          <w:szCs w:val="22"/>
        </w:rPr>
        <w:t xml:space="preserve">report indicates that </w:t>
      </w:r>
      <w:r w:rsidRPr="00593B6F">
        <w:rPr>
          <w:szCs w:val="22"/>
        </w:rPr>
        <w:t xml:space="preserve">legacy </w:t>
      </w:r>
      <w:r>
        <w:rPr>
          <w:szCs w:val="22"/>
        </w:rPr>
        <w:t>P</w:t>
      </w:r>
      <w:r w:rsidRPr="00593B6F">
        <w:rPr>
          <w:szCs w:val="22"/>
        </w:rPr>
        <w:t>OPs in environmental media and biota declin</w:t>
      </w:r>
      <w:r>
        <w:rPr>
          <w:szCs w:val="22"/>
        </w:rPr>
        <w:t>e</w:t>
      </w:r>
      <w:r w:rsidRPr="00593B6F">
        <w:rPr>
          <w:szCs w:val="22"/>
        </w:rPr>
        <w:t xml:space="preserve"> in both the Arctic and the Antarctic </w:t>
      </w:r>
      <w:r>
        <w:rPr>
          <w:szCs w:val="22"/>
        </w:rPr>
        <w:t xml:space="preserve">in response to regional and international chemical management, </w:t>
      </w:r>
      <w:proofErr w:type="gramStart"/>
      <w:r>
        <w:rPr>
          <w:szCs w:val="22"/>
        </w:rPr>
        <w:t>e.g.</w:t>
      </w:r>
      <w:proofErr w:type="gramEnd"/>
      <w:r>
        <w:rPr>
          <w:szCs w:val="22"/>
        </w:rPr>
        <w:t xml:space="preserve"> the Stockholm Convention. It has been </w:t>
      </w:r>
      <w:proofErr w:type="gramStart"/>
      <w:r>
        <w:rPr>
          <w:szCs w:val="22"/>
        </w:rPr>
        <w:t>observed,</w:t>
      </w:r>
      <w:proofErr w:type="gramEnd"/>
      <w:r>
        <w:rPr>
          <w:szCs w:val="22"/>
        </w:rPr>
        <w:t xml:space="preserve"> that</w:t>
      </w:r>
      <w:r w:rsidRPr="00593B6F">
        <w:rPr>
          <w:szCs w:val="22"/>
        </w:rPr>
        <w:t xml:space="preserve"> reemission of POPs that previously accumulated in polar environment </w:t>
      </w:r>
      <w:r>
        <w:rPr>
          <w:szCs w:val="22"/>
        </w:rPr>
        <w:t>can enter</w:t>
      </w:r>
      <w:r w:rsidRPr="00593B6F">
        <w:rPr>
          <w:szCs w:val="22"/>
        </w:rPr>
        <w:t xml:space="preserve"> </w:t>
      </w:r>
      <w:r>
        <w:rPr>
          <w:szCs w:val="22"/>
        </w:rPr>
        <w:t xml:space="preserve">the </w:t>
      </w:r>
      <w:r w:rsidRPr="00593B6F">
        <w:rPr>
          <w:szCs w:val="22"/>
        </w:rPr>
        <w:t>global cycle</w:t>
      </w:r>
      <w:r>
        <w:rPr>
          <w:szCs w:val="22"/>
        </w:rPr>
        <w:t xml:space="preserve"> again</w:t>
      </w:r>
      <w:r w:rsidRPr="00593B6F">
        <w:rPr>
          <w:szCs w:val="22"/>
        </w:rPr>
        <w:t xml:space="preserve"> following ice retreat, glacier melting and permafrost throwing </w:t>
      </w:r>
      <w:r>
        <w:rPr>
          <w:szCs w:val="22"/>
        </w:rPr>
        <w:t>due to</w:t>
      </w:r>
      <w:r w:rsidRPr="00593B6F">
        <w:rPr>
          <w:szCs w:val="22"/>
        </w:rPr>
        <w:t xml:space="preserve"> global warming. On the other hand, </w:t>
      </w:r>
      <w:proofErr w:type="gramStart"/>
      <w:r w:rsidRPr="00593B6F">
        <w:rPr>
          <w:szCs w:val="22"/>
        </w:rPr>
        <w:t>a number of</w:t>
      </w:r>
      <w:proofErr w:type="gramEnd"/>
      <w:r w:rsidRPr="00593B6F">
        <w:rPr>
          <w:szCs w:val="22"/>
        </w:rPr>
        <w:t xml:space="preserve"> </w:t>
      </w:r>
      <w:r>
        <w:rPr>
          <w:szCs w:val="22"/>
        </w:rPr>
        <w:t xml:space="preserve">CECs </w:t>
      </w:r>
      <w:r w:rsidRPr="00593B6F">
        <w:rPr>
          <w:szCs w:val="22"/>
        </w:rPr>
        <w:t>ha</w:t>
      </w:r>
      <w:r>
        <w:rPr>
          <w:szCs w:val="22"/>
        </w:rPr>
        <w:t>s</w:t>
      </w:r>
      <w:r w:rsidRPr="00593B6F">
        <w:rPr>
          <w:szCs w:val="22"/>
        </w:rPr>
        <w:t xml:space="preserve"> been reported in different environmental </w:t>
      </w:r>
      <w:r>
        <w:rPr>
          <w:szCs w:val="22"/>
        </w:rPr>
        <w:t>media</w:t>
      </w:r>
      <w:r w:rsidRPr="00593B6F">
        <w:rPr>
          <w:szCs w:val="22"/>
        </w:rPr>
        <w:t xml:space="preserve"> in the Arctic and Antarctic. Literature data showed that environmental pathways such as atmospheric deposition, air-water exchange and discharge from seasonal melting </w:t>
      </w:r>
      <w:r>
        <w:rPr>
          <w:szCs w:val="22"/>
        </w:rPr>
        <w:t>can</w:t>
      </w:r>
      <w:r w:rsidRPr="00593B6F">
        <w:rPr>
          <w:szCs w:val="22"/>
        </w:rPr>
        <w:t xml:space="preserve"> interfere with the biogeochemical cycl</w:t>
      </w:r>
      <w:r>
        <w:rPr>
          <w:szCs w:val="22"/>
        </w:rPr>
        <w:t>ing</w:t>
      </w:r>
      <w:r w:rsidRPr="00593B6F">
        <w:rPr>
          <w:szCs w:val="22"/>
        </w:rPr>
        <w:t xml:space="preserve"> of </w:t>
      </w:r>
      <w:r>
        <w:rPr>
          <w:szCs w:val="22"/>
        </w:rPr>
        <w:t>CECs</w:t>
      </w:r>
      <w:r w:rsidRPr="00593B6F">
        <w:rPr>
          <w:szCs w:val="22"/>
        </w:rPr>
        <w:t xml:space="preserve"> in polar regions. Local emissions of certain </w:t>
      </w:r>
      <w:r>
        <w:rPr>
          <w:szCs w:val="22"/>
        </w:rPr>
        <w:t>CECs</w:t>
      </w:r>
      <w:r w:rsidRPr="00593B6F">
        <w:rPr>
          <w:szCs w:val="22"/>
        </w:rPr>
        <w:t xml:space="preserve"> may occur near research stations, </w:t>
      </w:r>
      <w:proofErr w:type="gramStart"/>
      <w:r w:rsidRPr="00593B6F">
        <w:rPr>
          <w:szCs w:val="22"/>
        </w:rPr>
        <w:t>harbour</w:t>
      </w:r>
      <w:r>
        <w:rPr>
          <w:szCs w:val="22"/>
        </w:rPr>
        <w:t>s</w:t>
      </w:r>
      <w:proofErr w:type="gramEnd"/>
      <w:r w:rsidRPr="00593B6F">
        <w:rPr>
          <w:szCs w:val="22"/>
        </w:rPr>
        <w:t xml:space="preserve"> and tourism sites. Some EOCs such as per- and polyfluoroalkyl substances (PFASs), </w:t>
      </w:r>
      <w:r>
        <w:rPr>
          <w:szCs w:val="22"/>
        </w:rPr>
        <w:t>c</w:t>
      </w:r>
      <w:r w:rsidRPr="00593B6F">
        <w:rPr>
          <w:szCs w:val="22"/>
        </w:rPr>
        <w:t xml:space="preserve">hlorinated </w:t>
      </w:r>
      <w:r>
        <w:rPr>
          <w:szCs w:val="22"/>
        </w:rPr>
        <w:t>p</w:t>
      </w:r>
      <w:r w:rsidRPr="00593B6F">
        <w:rPr>
          <w:szCs w:val="22"/>
        </w:rPr>
        <w:t xml:space="preserve">araffins (SCCPs and MCCPs) and organophosphate esters (OPEs) have been included in long-term atmospheric monitoring programs of the Arctic Monitoring and Assessment Programme (AMAP). Screening survey for EOCs in environmental and biological matrices have been carried out through national and regional research programs. Data of </w:t>
      </w:r>
      <w:r>
        <w:rPr>
          <w:szCs w:val="22"/>
        </w:rPr>
        <w:t>CECs</w:t>
      </w:r>
      <w:r w:rsidRPr="00593B6F">
        <w:rPr>
          <w:szCs w:val="22"/>
        </w:rPr>
        <w:t xml:space="preserve"> in Antarctic are </w:t>
      </w:r>
      <w:r>
        <w:rPr>
          <w:szCs w:val="22"/>
        </w:rPr>
        <w:t>scarce</w:t>
      </w:r>
      <w:r w:rsidRPr="00593B6F">
        <w:rPr>
          <w:szCs w:val="22"/>
        </w:rPr>
        <w:t xml:space="preserve">. Nevertheless, </w:t>
      </w:r>
      <w:r>
        <w:rPr>
          <w:szCs w:val="22"/>
        </w:rPr>
        <w:t xml:space="preserve">the </w:t>
      </w:r>
      <w:r w:rsidRPr="00593B6F">
        <w:rPr>
          <w:szCs w:val="22"/>
        </w:rPr>
        <w:t xml:space="preserve">long-range environmental transport of </w:t>
      </w:r>
      <w:r>
        <w:rPr>
          <w:szCs w:val="22"/>
        </w:rPr>
        <w:t>CECs</w:t>
      </w:r>
      <w:r w:rsidRPr="00593B6F">
        <w:rPr>
          <w:szCs w:val="22"/>
        </w:rPr>
        <w:t xml:space="preserve"> </w:t>
      </w:r>
      <w:r>
        <w:rPr>
          <w:szCs w:val="22"/>
        </w:rPr>
        <w:t>has</w:t>
      </w:r>
      <w:r w:rsidRPr="00593B6F">
        <w:rPr>
          <w:szCs w:val="22"/>
        </w:rPr>
        <w:t xml:space="preserve"> been highlighted with their occurrences in </w:t>
      </w:r>
      <w:r>
        <w:rPr>
          <w:szCs w:val="22"/>
        </w:rPr>
        <w:t xml:space="preserve">the </w:t>
      </w:r>
      <w:r w:rsidRPr="00593B6F">
        <w:rPr>
          <w:szCs w:val="22"/>
        </w:rPr>
        <w:t xml:space="preserve">ice core, </w:t>
      </w:r>
      <w:proofErr w:type="gramStart"/>
      <w:r w:rsidRPr="00593B6F">
        <w:rPr>
          <w:szCs w:val="22"/>
        </w:rPr>
        <w:t>snow</w:t>
      </w:r>
      <w:proofErr w:type="gramEnd"/>
      <w:r w:rsidRPr="00593B6F">
        <w:rPr>
          <w:szCs w:val="22"/>
        </w:rPr>
        <w:t xml:space="preserve"> and lake waters in polar regions. </w:t>
      </w:r>
    </w:p>
    <w:p w14:paraId="67748212" w14:textId="77777777" w:rsidR="00DE2EE0" w:rsidRPr="00D746B2" w:rsidRDefault="00DE2EE0" w:rsidP="00DE2EE0">
      <w:pPr>
        <w:pStyle w:val="ATSNormal"/>
        <w:jc w:val="both"/>
        <w:rPr>
          <w:szCs w:val="22"/>
        </w:rPr>
      </w:pPr>
      <w:r w:rsidRPr="00D746B2">
        <w:rPr>
          <w:szCs w:val="22"/>
        </w:rPr>
        <w:t xml:space="preserve">The major findings for ten groups of CECs are presented in detail in the </w:t>
      </w:r>
      <w:hyperlink r:id="rId11" w:history="1">
        <w:r w:rsidRPr="00060561">
          <w:rPr>
            <w:rStyle w:val="Hipervnculo"/>
          </w:rPr>
          <w:t>UBA-</w:t>
        </w:r>
        <w:proofErr w:type="spellStart"/>
        <w:r w:rsidRPr="00060561">
          <w:rPr>
            <w:rStyle w:val="Hipervnculo"/>
          </w:rPr>
          <w:t>Texte</w:t>
        </w:r>
        <w:proofErr w:type="spellEnd"/>
        <w:r w:rsidRPr="00060561">
          <w:rPr>
            <w:rStyle w:val="Hipervnculo"/>
          </w:rPr>
          <w:t xml:space="preserve"> report “</w:t>
        </w:r>
        <w:r w:rsidRPr="00060561">
          <w:rPr>
            <w:rStyle w:val="Hipervnculo"/>
            <w:szCs w:val="22"/>
          </w:rPr>
          <w:t>Emerging and legacy organic contaminants in the polar regions</w:t>
        </w:r>
        <w:r w:rsidRPr="00D746B2">
          <w:rPr>
            <w:rStyle w:val="Hipervnculo"/>
            <w:bCs/>
            <w:szCs w:val="22"/>
          </w:rPr>
          <w:t>”</w:t>
        </w:r>
      </w:hyperlink>
      <w:r>
        <w:rPr>
          <w:b/>
          <w:i/>
          <w:szCs w:val="22"/>
        </w:rPr>
        <w:t xml:space="preserve"> </w:t>
      </w:r>
      <w:r w:rsidRPr="00D746B2">
        <w:rPr>
          <w:szCs w:val="22"/>
        </w:rPr>
        <w:t xml:space="preserve">as well as in the related </w:t>
      </w:r>
      <w:hyperlink r:id="rId12" w:history="1">
        <w:r w:rsidRPr="00060561">
          <w:rPr>
            <w:rStyle w:val="Hipervnculo"/>
          </w:rPr>
          <w:t>publication “Legacy and emerging organic contaminants in the polar regions”</w:t>
        </w:r>
      </w:hyperlink>
      <w:r w:rsidRPr="00D746B2">
        <w:rPr>
          <w:szCs w:val="22"/>
        </w:rPr>
        <w:t xml:space="preserve">. </w:t>
      </w:r>
    </w:p>
    <w:p w14:paraId="7BAEEC8D" w14:textId="77777777" w:rsidR="00DE2EE0" w:rsidRPr="00C1107F" w:rsidRDefault="00DE2EE0" w:rsidP="00DE2EE0">
      <w:pPr>
        <w:pStyle w:val="ATSHeading2"/>
        <w:spacing w:before="240"/>
        <w:rPr>
          <w:rFonts w:cs="Arial"/>
          <w:szCs w:val="24"/>
        </w:rPr>
      </w:pPr>
      <w:r w:rsidRPr="00C1107F">
        <w:rPr>
          <w:rFonts w:cs="Arial"/>
          <w:szCs w:val="24"/>
        </w:rPr>
        <w:lastRenderedPageBreak/>
        <w:t>Outcomes of the Expert Workshop ‘Act now – Legacy and Emerging Contaminants in Polar Regions’</w:t>
      </w:r>
    </w:p>
    <w:p w14:paraId="00B5D70F" w14:textId="77777777" w:rsidR="00DE2EE0" w:rsidRPr="00593B6F" w:rsidRDefault="00DE2EE0" w:rsidP="00DE2EE0">
      <w:pPr>
        <w:spacing w:before="120" w:after="120"/>
        <w:jc w:val="both"/>
        <w:rPr>
          <w:szCs w:val="22"/>
        </w:rPr>
      </w:pPr>
      <w:r w:rsidRPr="00593B6F">
        <w:rPr>
          <w:szCs w:val="22"/>
        </w:rPr>
        <w:t>On</w:t>
      </w:r>
      <w:r>
        <w:rPr>
          <w:szCs w:val="22"/>
        </w:rPr>
        <w:t xml:space="preserve"> 25 and 26</w:t>
      </w:r>
      <w:r w:rsidRPr="00593B6F">
        <w:rPr>
          <w:szCs w:val="22"/>
        </w:rPr>
        <w:t xml:space="preserve"> January 2022, experts from four continents met online at the Expert Workshop ‘Act now – Legacy and Emerging Contaminants in Polar Regions’ co-hosted by UBA and the </w:t>
      </w:r>
      <w:r w:rsidRPr="00E775C5">
        <w:rPr>
          <w:i/>
          <w:szCs w:val="22"/>
        </w:rPr>
        <w:t>Helmholtz-</w:t>
      </w:r>
      <w:proofErr w:type="spellStart"/>
      <w:r w:rsidRPr="00E775C5">
        <w:rPr>
          <w:i/>
          <w:szCs w:val="22"/>
        </w:rPr>
        <w:t>Zentrum</w:t>
      </w:r>
      <w:proofErr w:type="spellEnd"/>
      <w:r w:rsidRPr="00E775C5">
        <w:rPr>
          <w:i/>
          <w:szCs w:val="22"/>
        </w:rPr>
        <w:t xml:space="preserve"> Hereon</w:t>
      </w:r>
      <w:r w:rsidRPr="00593B6F">
        <w:rPr>
          <w:szCs w:val="22"/>
        </w:rPr>
        <w:t xml:space="preserve"> and discussed potential impacts of legacy and new hazardous chemicals, which accumulate in snow, </w:t>
      </w:r>
      <w:proofErr w:type="gramStart"/>
      <w:r w:rsidRPr="00593B6F">
        <w:rPr>
          <w:szCs w:val="22"/>
        </w:rPr>
        <w:t>ice</w:t>
      </w:r>
      <w:proofErr w:type="gramEnd"/>
      <w:r w:rsidRPr="00593B6F">
        <w:rPr>
          <w:szCs w:val="22"/>
        </w:rPr>
        <w:t xml:space="preserve"> and wildlife. It was the first time that international experts from contaminant research in polar regions, representatives from regulatory chemical assessment and monitoring, ESBs, and information and data platforms jointly discussed pressing chemical pollution issues in the polar regions and opportunities for collaboration. The goal of the workshop was to provide recommendations for improving screening, monitoring, assessment, </w:t>
      </w:r>
      <w:proofErr w:type="gramStart"/>
      <w:r w:rsidRPr="00593B6F">
        <w:rPr>
          <w:szCs w:val="22"/>
        </w:rPr>
        <w:t>co</w:t>
      </w:r>
      <w:r>
        <w:rPr>
          <w:szCs w:val="22"/>
        </w:rPr>
        <w:t>-</w:t>
      </w:r>
      <w:r w:rsidRPr="00593B6F">
        <w:rPr>
          <w:szCs w:val="22"/>
        </w:rPr>
        <w:t>operation</w:t>
      </w:r>
      <w:proofErr w:type="gramEnd"/>
      <w:r w:rsidRPr="00593B6F">
        <w:rPr>
          <w:szCs w:val="22"/>
        </w:rPr>
        <w:t xml:space="preserve"> and data sharing to provide environmental policy and chemicals management with effective and reliable pollution data to protect the polar environment. Members of the European Commission, the Stockholm Convention, the Arctic Council, the Antarctic Treaty Consultative Meeting, ESBs and Data Centres discussed together with the research community two questions which were a common thread throughout the workshop: What are the common goals and scientific bases for chemical research and monitoring in the polar regions - and how do the respective approaches differ for the Arctic and Antarctic? </w:t>
      </w:r>
    </w:p>
    <w:p w14:paraId="5B081B69" w14:textId="77777777" w:rsidR="00DE2EE0" w:rsidRPr="00593B6F" w:rsidRDefault="00DE2EE0" w:rsidP="00DE2EE0">
      <w:pPr>
        <w:spacing w:before="120" w:after="120"/>
        <w:jc w:val="both"/>
        <w:rPr>
          <w:szCs w:val="22"/>
        </w:rPr>
      </w:pPr>
      <w:r w:rsidRPr="00593B6F">
        <w:rPr>
          <w:szCs w:val="22"/>
        </w:rPr>
        <w:t>The overarching outcome of the discussion during this Expert Workshop is the need for more structured sampl</w:t>
      </w:r>
      <w:r>
        <w:rPr>
          <w:szCs w:val="22"/>
        </w:rPr>
        <w:t>e</w:t>
      </w:r>
      <w:r w:rsidRPr="00593B6F">
        <w:rPr>
          <w:szCs w:val="22"/>
        </w:rPr>
        <w:t xml:space="preserve"> and data collection of chemical contamination in Antarctica, through the establishment of an international network, which brings together all relevant actors and stakeholders, including the national research programs in Antarctica, the ESBs and policy makers. </w:t>
      </w:r>
      <w:r w:rsidRPr="003776D9">
        <w:rPr>
          <w:szCs w:val="22"/>
        </w:rPr>
        <w:t xml:space="preserve">While arctic-wide assessments </w:t>
      </w:r>
      <w:r>
        <w:rPr>
          <w:szCs w:val="22"/>
        </w:rPr>
        <w:t>have</w:t>
      </w:r>
      <w:r w:rsidRPr="003776D9">
        <w:rPr>
          <w:szCs w:val="22"/>
        </w:rPr>
        <w:t xml:space="preserve"> already</w:t>
      </w:r>
      <w:r>
        <w:rPr>
          <w:szCs w:val="22"/>
        </w:rPr>
        <w:t xml:space="preserve"> been</w:t>
      </w:r>
      <w:r w:rsidRPr="003776D9">
        <w:rPr>
          <w:szCs w:val="22"/>
        </w:rPr>
        <w:t xml:space="preserve"> prepared through the </w:t>
      </w:r>
      <w:r w:rsidRPr="00E775C5">
        <w:rPr>
          <w:i/>
          <w:szCs w:val="22"/>
        </w:rPr>
        <w:t>Arctic Monitoring and Assessment Programme</w:t>
      </w:r>
      <w:r w:rsidRPr="003776D9">
        <w:rPr>
          <w:szCs w:val="22"/>
        </w:rPr>
        <w:t xml:space="preserve"> (AMAP) within the Arctic Council</w:t>
      </w:r>
      <w:r>
        <w:rPr>
          <w:szCs w:val="22"/>
        </w:rPr>
        <w:t>,</w:t>
      </w:r>
      <w:r w:rsidRPr="003776D9">
        <w:rPr>
          <w:szCs w:val="22"/>
        </w:rPr>
        <w:t xml:space="preserve"> such assessments are still missing in the Antarctic. The ATCM together with the </w:t>
      </w:r>
      <w:r w:rsidRPr="00E775C5">
        <w:rPr>
          <w:i/>
          <w:szCs w:val="22"/>
        </w:rPr>
        <w:t>Scientific Committee of Antarctic Research</w:t>
      </w:r>
      <w:r w:rsidRPr="003776D9">
        <w:rPr>
          <w:szCs w:val="22"/>
        </w:rPr>
        <w:t xml:space="preserve"> (SCAR </w:t>
      </w:r>
      <w:proofErr w:type="spellStart"/>
      <w:r w:rsidRPr="003776D9">
        <w:rPr>
          <w:szCs w:val="22"/>
        </w:rPr>
        <w:t>ImPACT</w:t>
      </w:r>
      <w:proofErr w:type="spellEnd"/>
      <w:r w:rsidRPr="003776D9">
        <w:rPr>
          <w:szCs w:val="22"/>
        </w:rPr>
        <w:t xml:space="preserve"> </w:t>
      </w:r>
      <w:r>
        <w:rPr>
          <w:szCs w:val="22"/>
        </w:rPr>
        <w:t>Action G</w:t>
      </w:r>
      <w:r w:rsidRPr="003776D9">
        <w:rPr>
          <w:szCs w:val="22"/>
        </w:rPr>
        <w:t xml:space="preserve">roup), the NAPs and Environmental Agencies could use </w:t>
      </w:r>
      <w:r>
        <w:rPr>
          <w:szCs w:val="22"/>
        </w:rPr>
        <w:t xml:space="preserve">the </w:t>
      </w:r>
      <w:r w:rsidRPr="003776D9">
        <w:rPr>
          <w:szCs w:val="22"/>
        </w:rPr>
        <w:t xml:space="preserve">proven frameworks and structures by AMAP to strengthen their efforts to initiate a more structured sample and data collection of environmental contamination in the Antarctic. </w:t>
      </w:r>
      <w:r w:rsidRPr="00A35600">
        <w:rPr>
          <w:szCs w:val="22"/>
        </w:rPr>
        <w:t xml:space="preserve">The Protocol and the work of the CEP together with a better understanding of the current state of the Antarctic environment and </w:t>
      </w:r>
      <w:r>
        <w:rPr>
          <w:szCs w:val="22"/>
        </w:rPr>
        <w:t xml:space="preserve">of </w:t>
      </w:r>
      <w:r w:rsidRPr="00A35600">
        <w:rPr>
          <w:szCs w:val="22"/>
        </w:rPr>
        <w:t xml:space="preserve">the long-term effects of persistent contaminants on the organisms and food chains, would enable the Antarctic Treaty Parties to </w:t>
      </w:r>
      <w:r>
        <w:rPr>
          <w:szCs w:val="22"/>
        </w:rPr>
        <w:t>make</w:t>
      </w:r>
      <w:r w:rsidRPr="00A35600">
        <w:rPr>
          <w:szCs w:val="22"/>
        </w:rPr>
        <w:t xml:space="preserve"> necessary decisions or to take measures for the protection of the Antarctic environment, wherever needed and </w:t>
      </w:r>
      <w:r>
        <w:rPr>
          <w:szCs w:val="22"/>
        </w:rPr>
        <w:t xml:space="preserve">to </w:t>
      </w:r>
      <w:r w:rsidRPr="00A35600">
        <w:rPr>
          <w:szCs w:val="22"/>
        </w:rPr>
        <w:t>distinguish local from global sources.</w:t>
      </w:r>
    </w:p>
    <w:p w14:paraId="6110777E" w14:textId="77777777" w:rsidR="00DE2EE0" w:rsidRPr="00593B6F" w:rsidRDefault="00DE2EE0" w:rsidP="00DE2EE0">
      <w:pPr>
        <w:autoSpaceDE w:val="0"/>
        <w:autoSpaceDN w:val="0"/>
        <w:adjustRightInd w:val="0"/>
        <w:jc w:val="both"/>
        <w:rPr>
          <w:color w:val="000000"/>
          <w:szCs w:val="22"/>
          <w:lang w:eastAsia="es-AR"/>
        </w:rPr>
      </w:pPr>
      <w:r w:rsidRPr="00593B6F">
        <w:rPr>
          <w:bCs/>
          <w:color w:val="000000"/>
          <w:szCs w:val="22"/>
          <w:lang w:eastAsia="es-AR"/>
        </w:rPr>
        <w:t xml:space="preserve">As a result of the workshop, </w:t>
      </w:r>
      <w:r>
        <w:rPr>
          <w:bCs/>
          <w:color w:val="000000"/>
          <w:szCs w:val="22"/>
          <w:lang w:eastAsia="es-AR"/>
        </w:rPr>
        <w:t xml:space="preserve">the following </w:t>
      </w:r>
      <w:r w:rsidRPr="00593B6F">
        <w:rPr>
          <w:bCs/>
          <w:color w:val="000000"/>
          <w:szCs w:val="22"/>
          <w:lang w:eastAsia="es-AR"/>
        </w:rPr>
        <w:t xml:space="preserve">strategic and technical recommendations for contaminant research and monitoring in polar regions were developed: </w:t>
      </w:r>
    </w:p>
    <w:p w14:paraId="4FC4F4BD" w14:textId="77777777" w:rsidR="00DE2EE0" w:rsidRPr="00593B6F" w:rsidRDefault="00DE2EE0" w:rsidP="00DE2EE0">
      <w:pPr>
        <w:autoSpaceDE w:val="0"/>
        <w:autoSpaceDN w:val="0"/>
        <w:adjustRightInd w:val="0"/>
        <w:spacing w:before="120"/>
        <w:jc w:val="both"/>
        <w:rPr>
          <w:color w:val="000000"/>
          <w:szCs w:val="22"/>
          <w:u w:val="single"/>
          <w:lang w:eastAsia="es-AR"/>
        </w:rPr>
      </w:pPr>
      <w:r>
        <w:rPr>
          <w:bCs/>
          <w:color w:val="000000"/>
          <w:szCs w:val="22"/>
          <w:u w:val="single"/>
          <w:lang w:eastAsia="es-AR"/>
        </w:rPr>
        <w:t>“</w:t>
      </w:r>
      <w:r w:rsidRPr="00593B6F">
        <w:rPr>
          <w:bCs/>
          <w:color w:val="000000"/>
          <w:szCs w:val="22"/>
          <w:u w:val="single"/>
          <w:lang w:eastAsia="es-AR"/>
        </w:rPr>
        <w:t>Strategic recommendations</w:t>
      </w:r>
      <w:r>
        <w:rPr>
          <w:bCs/>
          <w:color w:val="000000"/>
          <w:szCs w:val="22"/>
          <w:u w:val="single"/>
          <w:lang w:eastAsia="es-AR"/>
        </w:rPr>
        <w:t>:</w:t>
      </w:r>
      <w:r w:rsidRPr="00593B6F">
        <w:rPr>
          <w:bCs/>
          <w:color w:val="000000"/>
          <w:szCs w:val="22"/>
          <w:u w:val="single"/>
          <w:lang w:eastAsia="es-AR"/>
        </w:rPr>
        <w:t xml:space="preserve"> </w:t>
      </w:r>
    </w:p>
    <w:p w14:paraId="51EDD9F0"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Raise awareness among policymakers and the public about the need to take better action against chemical pollution in the Arctic and Antarctic, </w:t>
      </w:r>
    </w:p>
    <w:p w14:paraId="2CCEBFE1"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Set</w:t>
      </w:r>
      <w:r>
        <w:rPr>
          <w:color w:val="000000"/>
          <w:szCs w:val="22"/>
          <w:lang w:eastAsia="es-AR"/>
        </w:rPr>
        <w:t xml:space="preserve"> </w:t>
      </w:r>
      <w:r w:rsidRPr="00593B6F">
        <w:rPr>
          <w:color w:val="000000"/>
          <w:szCs w:val="22"/>
          <w:lang w:eastAsia="es-AR"/>
        </w:rPr>
        <w:t xml:space="preserve">up a network of all relevant actors and stakeholders, including policy makers, regulators, the research community, non-governmental organisations, indigenous </w:t>
      </w:r>
      <w:proofErr w:type="gramStart"/>
      <w:r w:rsidRPr="00593B6F">
        <w:rPr>
          <w:color w:val="000000"/>
          <w:szCs w:val="22"/>
          <w:lang w:eastAsia="es-AR"/>
        </w:rPr>
        <w:t>communities</w:t>
      </w:r>
      <w:proofErr w:type="gramEnd"/>
      <w:r w:rsidRPr="00593B6F">
        <w:rPr>
          <w:color w:val="000000"/>
          <w:szCs w:val="22"/>
          <w:lang w:eastAsia="es-AR"/>
        </w:rPr>
        <w:t xml:space="preserve"> and the public, </w:t>
      </w:r>
    </w:p>
    <w:p w14:paraId="12A3DF9A"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promote polar environments as sentinels of the Earth's condition and forcefully present their importance to the concepts of planetary boundaries and the EU's goal of zero pollution ambition, </w:t>
      </w:r>
    </w:p>
    <w:p w14:paraId="33C5C7A6"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define stakeholder needs and make systematic use of polar pollution data in regional and international chemicals management, </w:t>
      </w:r>
    </w:p>
    <w:p w14:paraId="458907B1"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develop long-term perspectives for standardized monitoring: establish chemical monitoring capacities and expertise in the Antarctic and strengthen existing infrastructure in the Arctic, </w:t>
      </w:r>
    </w:p>
    <w:p w14:paraId="34F8E9B8"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support systematic environmental specimen banking to help monitor temporal trends, support environmental </w:t>
      </w:r>
      <w:proofErr w:type="gramStart"/>
      <w:r w:rsidRPr="00593B6F">
        <w:rPr>
          <w:color w:val="000000"/>
          <w:szCs w:val="22"/>
          <w:lang w:eastAsia="es-AR"/>
        </w:rPr>
        <w:t>research</w:t>
      </w:r>
      <w:proofErr w:type="gramEnd"/>
      <w:r w:rsidRPr="00593B6F">
        <w:rPr>
          <w:color w:val="000000"/>
          <w:szCs w:val="22"/>
          <w:lang w:eastAsia="es-AR"/>
        </w:rPr>
        <w:t xml:space="preserve"> and provide samples for future generations, </w:t>
      </w:r>
    </w:p>
    <w:p w14:paraId="4C2AF835"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lastRenderedPageBreak/>
        <w:t>foster data repositories according to the FAIR data principles</w:t>
      </w:r>
      <w:r>
        <w:rPr>
          <w:rStyle w:val="Refdenotaalpie"/>
          <w:color w:val="000000"/>
          <w:szCs w:val="22"/>
          <w:lang w:eastAsia="es-AR"/>
        </w:rPr>
        <w:footnoteReference w:id="1"/>
      </w:r>
      <w:r w:rsidRPr="00593B6F">
        <w:rPr>
          <w:color w:val="000000"/>
          <w:szCs w:val="22"/>
          <w:lang w:eastAsia="es-AR"/>
        </w:rPr>
        <w:t xml:space="preserve"> so that all polar contaminant data are findable, accessible, interoperable and reusable, and link to other data bases, </w:t>
      </w:r>
      <w:proofErr w:type="gramStart"/>
      <w:r w:rsidRPr="00593B6F">
        <w:rPr>
          <w:color w:val="000000"/>
          <w:szCs w:val="22"/>
          <w:lang w:eastAsia="es-AR"/>
        </w:rPr>
        <w:t>e.g.</w:t>
      </w:r>
      <w:proofErr w:type="gramEnd"/>
      <w:r w:rsidRPr="00593B6F">
        <w:rPr>
          <w:color w:val="000000"/>
          <w:szCs w:val="22"/>
          <w:lang w:eastAsia="es-AR"/>
        </w:rPr>
        <w:t xml:space="preserve"> EU IPCHEM, the Norman network. </w:t>
      </w:r>
    </w:p>
    <w:p w14:paraId="2780E438" w14:textId="77777777" w:rsidR="00DE2EE0" w:rsidRPr="00593B6F" w:rsidRDefault="00DE2EE0" w:rsidP="00DE2EE0">
      <w:pPr>
        <w:autoSpaceDE w:val="0"/>
        <w:autoSpaceDN w:val="0"/>
        <w:adjustRightInd w:val="0"/>
        <w:jc w:val="both"/>
        <w:rPr>
          <w:color w:val="000000"/>
          <w:szCs w:val="22"/>
          <w:lang w:eastAsia="es-AR"/>
        </w:rPr>
      </w:pPr>
    </w:p>
    <w:p w14:paraId="16BFFF74" w14:textId="77777777" w:rsidR="00DE2EE0" w:rsidRPr="00593B6F" w:rsidRDefault="00DE2EE0" w:rsidP="00DE2EE0">
      <w:pPr>
        <w:autoSpaceDE w:val="0"/>
        <w:autoSpaceDN w:val="0"/>
        <w:adjustRightInd w:val="0"/>
        <w:jc w:val="both"/>
        <w:rPr>
          <w:color w:val="000000"/>
          <w:szCs w:val="22"/>
          <w:u w:val="single"/>
          <w:lang w:eastAsia="es-AR"/>
        </w:rPr>
      </w:pPr>
      <w:r w:rsidRPr="00593B6F">
        <w:rPr>
          <w:bCs/>
          <w:color w:val="000000"/>
          <w:szCs w:val="22"/>
          <w:u w:val="single"/>
          <w:lang w:eastAsia="es-AR"/>
        </w:rPr>
        <w:t>Technical recommendations</w:t>
      </w:r>
      <w:r>
        <w:rPr>
          <w:bCs/>
          <w:color w:val="000000"/>
          <w:szCs w:val="22"/>
          <w:u w:val="single"/>
          <w:lang w:eastAsia="es-AR"/>
        </w:rPr>
        <w:t>:</w:t>
      </w:r>
      <w:r w:rsidRPr="00593B6F">
        <w:rPr>
          <w:bCs/>
          <w:color w:val="000000"/>
          <w:szCs w:val="22"/>
          <w:u w:val="single"/>
          <w:lang w:eastAsia="es-AR"/>
        </w:rPr>
        <w:t xml:space="preserve"> </w:t>
      </w:r>
    </w:p>
    <w:p w14:paraId="5EB7C713"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Establish harmonised workflows for collecting, shipping, processing, and archiving of environmental samples, and their chemical analysis, </w:t>
      </w:r>
    </w:p>
    <w:p w14:paraId="4B5D1E1C"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connect monitoring approaches for long-range transport of pollutants and the local chemical footprint from tourism, research, and settlements, </w:t>
      </w:r>
    </w:p>
    <w:p w14:paraId="4E58FBD3"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integrate state-of-the-art chemical analysis methods, including mass spectrometry and effects directed analysis to monitor contaminants of emerging concern together with legacy pollutants, </w:t>
      </w:r>
    </w:p>
    <w:p w14:paraId="46C1BDD2"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link to innovative prioritisation and screening approaches and explore advanced modelling approaches for chemicals in the environment, </w:t>
      </w:r>
    </w:p>
    <w:p w14:paraId="119BF7E9"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 xml:space="preserve">explore the use of innovative monitoring tools, such as passive samplers, in extreme environments like the Antarctic where operations and logistics are challenging, </w:t>
      </w:r>
    </w:p>
    <w:p w14:paraId="27825839" w14:textId="77777777" w:rsidR="00DE2EE0" w:rsidRPr="00593B6F" w:rsidRDefault="00DE2EE0" w:rsidP="00DE2EE0">
      <w:pPr>
        <w:pStyle w:val="Prrafodelista"/>
        <w:numPr>
          <w:ilvl w:val="0"/>
          <w:numId w:val="21"/>
        </w:numPr>
        <w:autoSpaceDE w:val="0"/>
        <w:autoSpaceDN w:val="0"/>
        <w:adjustRightInd w:val="0"/>
        <w:spacing w:before="60"/>
        <w:ind w:left="426" w:hanging="426"/>
        <w:jc w:val="both"/>
        <w:rPr>
          <w:color w:val="000000"/>
          <w:szCs w:val="22"/>
          <w:lang w:eastAsia="es-AR"/>
        </w:rPr>
      </w:pPr>
      <w:r w:rsidRPr="00593B6F">
        <w:rPr>
          <w:color w:val="000000"/>
          <w:szCs w:val="22"/>
          <w:lang w:eastAsia="es-AR"/>
        </w:rPr>
        <w:t>generate data for POPs and CECs in the Russian part of the Arctic to enable a more comprehensive circumpolar view and to investigate large-scale spatial and temporal trends.</w:t>
      </w:r>
      <w:r>
        <w:rPr>
          <w:color w:val="000000"/>
          <w:szCs w:val="22"/>
          <w:lang w:eastAsia="es-AR"/>
        </w:rPr>
        <w:t>”</w:t>
      </w:r>
    </w:p>
    <w:p w14:paraId="4E7F4D7C" w14:textId="77777777" w:rsidR="00DE2EE0" w:rsidRPr="00593B6F" w:rsidRDefault="00DE2EE0" w:rsidP="00DE2EE0">
      <w:pPr>
        <w:jc w:val="both"/>
        <w:rPr>
          <w:szCs w:val="22"/>
        </w:rPr>
      </w:pPr>
    </w:p>
    <w:p w14:paraId="04CC7288" w14:textId="77777777" w:rsidR="00DE2EE0" w:rsidRPr="00593B6F" w:rsidRDefault="00DE2EE0" w:rsidP="00DE2EE0">
      <w:pPr>
        <w:rPr>
          <w:szCs w:val="22"/>
        </w:rPr>
      </w:pPr>
      <w:r w:rsidRPr="00593B6F">
        <w:rPr>
          <w:szCs w:val="22"/>
        </w:rPr>
        <w:t>The workshop report including the proceedings, abstracts of presentations and the reports of the working groups can be downloaded:</w:t>
      </w:r>
      <w:r>
        <w:rPr>
          <w:szCs w:val="22"/>
        </w:rPr>
        <w:t xml:space="preserve"> </w:t>
      </w:r>
      <w:hyperlink r:id="rId13" w:history="1">
        <w:r w:rsidRPr="008B6954">
          <w:rPr>
            <w:rStyle w:val="Hipervnculo"/>
            <w:szCs w:val="22"/>
          </w:rPr>
          <w:t>https://www.umweltbundesamt.de/en/node/94089%20</w:t>
        </w:r>
      </w:hyperlink>
      <w:r>
        <w:rPr>
          <w:szCs w:val="22"/>
        </w:rPr>
        <w:t>.</w:t>
      </w:r>
    </w:p>
    <w:p w14:paraId="32526EC6" w14:textId="77777777" w:rsidR="00DE2EE0" w:rsidRPr="00C1107F" w:rsidRDefault="00DE2EE0" w:rsidP="00DE2EE0">
      <w:pPr>
        <w:pStyle w:val="ATSHeading2"/>
        <w:spacing w:before="240"/>
        <w:rPr>
          <w:rFonts w:cs="Arial"/>
          <w:szCs w:val="24"/>
        </w:rPr>
      </w:pPr>
      <w:r w:rsidRPr="00C1107F">
        <w:rPr>
          <w:rFonts w:cs="Arial"/>
          <w:szCs w:val="24"/>
        </w:rPr>
        <w:t>Conclusions</w:t>
      </w:r>
    </w:p>
    <w:p w14:paraId="1F707195" w14:textId="77777777" w:rsidR="00DE2EE0" w:rsidRPr="00593B6F" w:rsidRDefault="00DE2EE0" w:rsidP="00DE2EE0">
      <w:pPr>
        <w:pStyle w:val="ATSNormal"/>
        <w:jc w:val="both"/>
        <w:rPr>
          <w:szCs w:val="22"/>
          <w:lang w:val="en-US"/>
        </w:rPr>
      </w:pPr>
      <w:r w:rsidRPr="00593B6F">
        <w:rPr>
          <w:szCs w:val="22"/>
          <w:lang w:val="en-US"/>
        </w:rPr>
        <w:t xml:space="preserve">Organic contaminants in polar regions have become significant concerns because of their persistence, </w:t>
      </w:r>
      <w:proofErr w:type="gramStart"/>
      <w:r w:rsidRPr="00593B6F">
        <w:rPr>
          <w:szCs w:val="22"/>
          <w:lang w:val="en-US"/>
        </w:rPr>
        <w:t>bioaccumulation</w:t>
      </w:r>
      <w:proofErr w:type="gramEnd"/>
      <w:r w:rsidRPr="00593B6F">
        <w:rPr>
          <w:szCs w:val="22"/>
          <w:lang w:val="en-US"/>
        </w:rPr>
        <w:t xml:space="preserve"> and toxicity potential. Climate change can alter the biogeochemical cycling of POPs and </w:t>
      </w:r>
      <w:r>
        <w:rPr>
          <w:szCs w:val="22"/>
          <w:lang w:val="en-US"/>
        </w:rPr>
        <w:t>CECs</w:t>
      </w:r>
      <w:r w:rsidRPr="00593B6F">
        <w:rPr>
          <w:szCs w:val="22"/>
          <w:lang w:val="en-US"/>
        </w:rPr>
        <w:t xml:space="preserve"> and amplify their effects on polar ecosystems. Occurrences of POPs and </w:t>
      </w:r>
      <w:r>
        <w:rPr>
          <w:szCs w:val="22"/>
          <w:lang w:val="en-US"/>
        </w:rPr>
        <w:t>CECs</w:t>
      </w:r>
      <w:r w:rsidRPr="00593B6F">
        <w:rPr>
          <w:szCs w:val="22"/>
          <w:lang w:val="en-US"/>
        </w:rPr>
        <w:t xml:space="preserve"> from long-range transport and local discharge have left impacts on these fragile regions. Therefore, actions are urgently needed to monitor the temporal trends of POPs and to strengthen </w:t>
      </w:r>
      <w:r>
        <w:rPr>
          <w:szCs w:val="22"/>
          <w:lang w:val="en-US"/>
        </w:rPr>
        <w:t>research</w:t>
      </w:r>
      <w:r w:rsidRPr="00593B6F">
        <w:rPr>
          <w:szCs w:val="22"/>
          <w:lang w:val="en-US"/>
        </w:rPr>
        <w:t xml:space="preserve"> of </w:t>
      </w:r>
      <w:r>
        <w:rPr>
          <w:szCs w:val="22"/>
          <w:lang w:val="en-US"/>
        </w:rPr>
        <w:t>CECs</w:t>
      </w:r>
      <w:r w:rsidRPr="00593B6F">
        <w:rPr>
          <w:szCs w:val="22"/>
          <w:lang w:val="en-US"/>
        </w:rPr>
        <w:t xml:space="preserve"> in the Antarctic through national and international research programs. Glacial ice and snow </w:t>
      </w:r>
      <w:r>
        <w:rPr>
          <w:szCs w:val="22"/>
          <w:lang w:val="en-US"/>
        </w:rPr>
        <w:t xml:space="preserve">have </w:t>
      </w:r>
      <w:r w:rsidRPr="00593B6F">
        <w:rPr>
          <w:szCs w:val="22"/>
          <w:lang w:val="en-US"/>
        </w:rPr>
        <w:t xml:space="preserve">acted as secondary emission sources in the polar regions and released POPs and </w:t>
      </w:r>
      <w:r>
        <w:rPr>
          <w:szCs w:val="22"/>
          <w:lang w:val="en-US"/>
        </w:rPr>
        <w:t>CECs</w:t>
      </w:r>
      <w:r w:rsidRPr="00593B6F">
        <w:rPr>
          <w:szCs w:val="22"/>
          <w:lang w:val="en-US"/>
        </w:rPr>
        <w:t xml:space="preserve"> into the atmosphere and ocean. Future research will need to understand the various biogeochemical and geophysical processes under climate change and anthropogenic pressures to be able to predict the environmental fates and</w:t>
      </w:r>
      <w:r>
        <w:rPr>
          <w:szCs w:val="22"/>
          <w:lang w:val="en-US"/>
        </w:rPr>
        <w:t xml:space="preserve"> the</w:t>
      </w:r>
      <w:r w:rsidRPr="00593B6F">
        <w:rPr>
          <w:szCs w:val="22"/>
          <w:lang w:val="en-US"/>
        </w:rPr>
        <w:t xml:space="preserve"> toxicity risk of </w:t>
      </w:r>
      <w:r>
        <w:rPr>
          <w:szCs w:val="22"/>
          <w:lang w:val="en-US"/>
        </w:rPr>
        <w:t>CECs</w:t>
      </w:r>
      <w:r w:rsidRPr="00593B6F">
        <w:rPr>
          <w:szCs w:val="22"/>
          <w:lang w:val="en-US"/>
        </w:rPr>
        <w:t xml:space="preserve"> in polar regions.</w:t>
      </w:r>
    </w:p>
    <w:p w14:paraId="37C217D4" w14:textId="77777777" w:rsidR="00DE2EE0" w:rsidRPr="00593B6F" w:rsidRDefault="00DE2EE0" w:rsidP="00DE2EE0">
      <w:pPr>
        <w:pStyle w:val="ATSNormal"/>
        <w:jc w:val="both"/>
        <w:rPr>
          <w:szCs w:val="22"/>
        </w:rPr>
      </w:pPr>
      <w:r w:rsidRPr="00593B6F">
        <w:rPr>
          <w:szCs w:val="22"/>
        </w:rPr>
        <w:t xml:space="preserve">The cooperation between national research programs of Antarctic Treaty Parties and ESBs is considered the easiest and </w:t>
      </w:r>
      <w:r>
        <w:rPr>
          <w:szCs w:val="22"/>
        </w:rPr>
        <w:t>most</w:t>
      </w:r>
      <w:r w:rsidRPr="00593B6F">
        <w:rPr>
          <w:szCs w:val="22"/>
        </w:rPr>
        <w:t xml:space="preserve"> effective way towards a more structured sample and data collection on chemical contamination in the Antarctic, c</w:t>
      </w:r>
      <w:r w:rsidRPr="00593B6F">
        <w:rPr>
          <w:szCs w:val="22"/>
          <w:lang w:eastAsia="es-ES"/>
        </w:rPr>
        <w:t xml:space="preserve">orresponding with the requirements of the Protocol. </w:t>
      </w:r>
    </w:p>
    <w:p w14:paraId="2C18EA6C" w14:textId="77777777" w:rsidR="00DE2EE0" w:rsidRDefault="00DE2EE0" w:rsidP="00DE2EE0">
      <w:pPr>
        <w:pStyle w:val="ATSNormal"/>
        <w:spacing w:before="240"/>
        <w:jc w:val="both"/>
        <w:rPr>
          <w:b/>
          <w:szCs w:val="22"/>
        </w:rPr>
      </w:pPr>
      <w:bookmarkStart w:id="12" w:name="_Hlk97643265"/>
    </w:p>
    <w:p w14:paraId="52E5F2DF" w14:textId="77777777" w:rsidR="00DE2EE0" w:rsidRPr="000C02B8" w:rsidRDefault="00DE2EE0" w:rsidP="00DE2EE0">
      <w:pPr>
        <w:rPr>
          <w:b/>
          <w:szCs w:val="22"/>
          <w:lang w:val="en-US" w:eastAsia="en-GB"/>
        </w:rPr>
      </w:pPr>
      <w:r w:rsidRPr="00A6591C">
        <w:rPr>
          <w:b/>
          <w:szCs w:val="22"/>
          <w:lang w:val="en-US"/>
        </w:rPr>
        <w:br w:type="page"/>
      </w:r>
    </w:p>
    <w:p w14:paraId="5AA33358" w14:textId="77777777" w:rsidR="00DE2EE0" w:rsidRPr="00C1107F" w:rsidRDefault="00DE2EE0" w:rsidP="00DE2EE0">
      <w:pPr>
        <w:pStyle w:val="ATSHeading2"/>
        <w:spacing w:before="240"/>
        <w:rPr>
          <w:rFonts w:cs="Arial"/>
          <w:szCs w:val="24"/>
        </w:rPr>
      </w:pPr>
      <w:r w:rsidRPr="00C1107F">
        <w:rPr>
          <w:rFonts w:cs="Arial"/>
          <w:szCs w:val="24"/>
        </w:rPr>
        <w:lastRenderedPageBreak/>
        <w:t>References</w:t>
      </w:r>
    </w:p>
    <w:p w14:paraId="41F5AB1C" w14:textId="77777777" w:rsidR="00DE2EE0" w:rsidRPr="00C1107F" w:rsidRDefault="00DE2EE0" w:rsidP="00DE2EE0">
      <w:pPr>
        <w:pStyle w:val="ATSNormal"/>
        <w:spacing w:after="0"/>
        <w:jc w:val="both"/>
        <w:rPr>
          <w:i/>
          <w:szCs w:val="22"/>
          <w:lang w:val="en-US"/>
        </w:rPr>
      </w:pPr>
      <w:r w:rsidRPr="00C1107F">
        <w:rPr>
          <w:i/>
          <w:szCs w:val="22"/>
          <w:lang w:val="en-US"/>
        </w:rPr>
        <w:t>ATCM XXXI IP097, Antarctic Persistent Organic Pollutants Notes on a Request from the Stockholm Convention.</w:t>
      </w:r>
    </w:p>
    <w:p w14:paraId="08B2197B" w14:textId="77777777" w:rsidR="00DE2EE0" w:rsidRPr="00C1107F" w:rsidRDefault="00DE2EE0" w:rsidP="00DE2EE0">
      <w:pPr>
        <w:pStyle w:val="ATSNormal"/>
        <w:spacing w:after="0"/>
        <w:jc w:val="both"/>
        <w:rPr>
          <w:i/>
          <w:szCs w:val="22"/>
          <w:lang w:val="en-US"/>
        </w:rPr>
      </w:pPr>
      <w:r w:rsidRPr="00C1107F">
        <w:rPr>
          <w:i/>
          <w:szCs w:val="22"/>
          <w:lang w:val="en-US"/>
        </w:rPr>
        <w:t xml:space="preserve">ATCM XXXII IP069, SCAR </w:t>
      </w:r>
      <w:bookmarkStart w:id="13" w:name="_Hlk66457925"/>
      <w:r w:rsidRPr="00C1107F">
        <w:rPr>
          <w:i/>
          <w:szCs w:val="22"/>
          <w:lang w:val="en-US"/>
        </w:rPr>
        <w:t xml:space="preserve">report on </w:t>
      </w:r>
      <w:r w:rsidRPr="00C1107F">
        <w:rPr>
          <w:i/>
          <w:szCs w:val="22"/>
        </w:rPr>
        <w:t>Persistent Organic Pollutants in the Antarctic: An Upd</w:t>
      </w:r>
      <w:bookmarkEnd w:id="13"/>
      <w:r w:rsidRPr="00C1107F">
        <w:rPr>
          <w:i/>
          <w:szCs w:val="22"/>
        </w:rPr>
        <w:t>ate</w:t>
      </w:r>
    </w:p>
    <w:p w14:paraId="33884206" w14:textId="77777777" w:rsidR="00DE2EE0" w:rsidRPr="00C1107F" w:rsidRDefault="00DE2EE0" w:rsidP="00DE2EE0">
      <w:pPr>
        <w:pStyle w:val="ATSNormal"/>
        <w:spacing w:after="0"/>
        <w:jc w:val="both"/>
        <w:rPr>
          <w:i/>
          <w:szCs w:val="22"/>
        </w:rPr>
      </w:pPr>
      <w:r w:rsidRPr="00C1107F">
        <w:rPr>
          <w:i/>
          <w:szCs w:val="22"/>
        </w:rPr>
        <w:t>ATCM XXXVII IP008, Persistent organic pollutants (POPs) in Admiralty Bay - Antarctic Specially Managed Area (ASMA 1): Bioaccumulation and temporal trend.</w:t>
      </w:r>
    </w:p>
    <w:p w14:paraId="0D59BED1" w14:textId="77777777" w:rsidR="00DE2EE0" w:rsidRPr="00C1107F" w:rsidRDefault="00DE2EE0" w:rsidP="00DE2EE0">
      <w:pPr>
        <w:pStyle w:val="ATSNormal"/>
        <w:spacing w:after="0"/>
        <w:jc w:val="both"/>
        <w:rPr>
          <w:i/>
          <w:szCs w:val="22"/>
        </w:rPr>
      </w:pPr>
      <w:r w:rsidRPr="00C1107F">
        <w:rPr>
          <w:i/>
          <w:szCs w:val="22"/>
        </w:rPr>
        <w:t>ATCM XL IP022, Trace element contamination and availability within the Antarctic Treaty Area.</w:t>
      </w:r>
    </w:p>
    <w:p w14:paraId="46FA1B36" w14:textId="77777777" w:rsidR="00DE2EE0" w:rsidRPr="00C1107F" w:rsidRDefault="00DE2EE0" w:rsidP="00DE2EE0">
      <w:pPr>
        <w:pStyle w:val="ATSNormal"/>
        <w:spacing w:after="0"/>
        <w:jc w:val="both"/>
        <w:rPr>
          <w:i/>
          <w:szCs w:val="22"/>
        </w:rPr>
      </w:pPr>
      <w:r w:rsidRPr="00C1107F">
        <w:rPr>
          <w:i/>
          <w:szCs w:val="22"/>
        </w:rPr>
        <w:t>ATCM XLIII IP021, A step towards a structured sample and data collection of environmental contamination in the Antarctic.</w:t>
      </w:r>
    </w:p>
    <w:p w14:paraId="03F2C4CE" w14:textId="77777777" w:rsidR="00DE2EE0" w:rsidRPr="00C1107F" w:rsidRDefault="00DE2EE0" w:rsidP="00DE2EE0">
      <w:pPr>
        <w:pStyle w:val="ATSNormal"/>
        <w:spacing w:after="0"/>
        <w:jc w:val="both"/>
        <w:rPr>
          <w:i/>
          <w:szCs w:val="22"/>
        </w:rPr>
      </w:pPr>
      <w:r w:rsidRPr="00C1107F">
        <w:rPr>
          <w:i/>
          <w:szCs w:val="22"/>
        </w:rPr>
        <w:t xml:space="preserve">ATCM XLIII IP137, Persistent Organic Chemicals in Antarctica: A horizon scan of priority challenges </w:t>
      </w:r>
    </w:p>
    <w:p w14:paraId="1374D2AE" w14:textId="77777777" w:rsidR="00DE2EE0" w:rsidRPr="00C1107F" w:rsidRDefault="00DE2EE0" w:rsidP="00DE2EE0">
      <w:pPr>
        <w:pStyle w:val="ATSNormal"/>
        <w:spacing w:after="0"/>
        <w:jc w:val="both"/>
        <w:rPr>
          <w:i/>
          <w:szCs w:val="22"/>
          <w:lang w:val="de-DE"/>
        </w:rPr>
      </w:pPr>
      <w:r w:rsidRPr="00C1107F">
        <w:rPr>
          <w:i/>
          <w:szCs w:val="22"/>
          <w:lang w:val="de-DE"/>
        </w:rPr>
        <w:t xml:space="preserve">Dreyer A., Neugebauer F., Lohmann N., Rüdel H., Teubner D., Grotti M., Rauert C., Koschorreck J., 2019. </w:t>
      </w:r>
      <w:r w:rsidRPr="00C1107F">
        <w:rPr>
          <w:i/>
          <w:szCs w:val="22"/>
          <w:lang w:val="en-US"/>
        </w:rPr>
        <w:t xml:space="preserve">Recent findings of halogenated flame retardants (HFR) in the German and Polar environment. </w:t>
      </w:r>
      <w:r w:rsidRPr="00C1107F">
        <w:rPr>
          <w:i/>
          <w:szCs w:val="22"/>
          <w:lang w:val="de-DE"/>
        </w:rPr>
        <w:t>Environmental Pollution 253: 850-863.</w:t>
      </w:r>
    </w:p>
    <w:p w14:paraId="03C30766" w14:textId="77777777" w:rsidR="00DE2EE0" w:rsidRPr="00C1107F" w:rsidRDefault="00DE2EE0" w:rsidP="00DE2EE0">
      <w:pPr>
        <w:pStyle w:val="ATSNormal"/>
        <w:spacing w:after="0"/>
        <w:jc w:val="both"/>
        <w:rPr>
          <w:i/>
          <w:szCs w:val="22"/>
        </w:rPr>
      </w:pPr>
      <w:bookmarkStart w:id="14" w:name="_Hlk97889810"/>
      <w:r w:rsidRPr="00C1107F">
        <w:rPr>
          <w:i/>
          <w:szCs w:val="22"/>
          <w:lang w:val="de-DE"/>
        </w:rPr>
        <w:t xml:space="preserve">Gandraß J., Küster A., Ebinghaus R., Herata H., Xie Z., Koschorreck J. (2022). </w:t>
      </w:r>
      <w:r w:rsidRPr="00C1107F">
        <w:rPr>
          <w:i/>
          <w:szCs w:val="22"/>
        </w:rPr>
        <w:t>Act now – Legacy and Emerging Contaminants in Polar Regions – Workshop Report.</w:t>
      </w:r>
      <w:bookmarkEnd w:id="14"/>
      <w:r w:rsidRPr="00C1107F">
        <w:rPr>
          <w:i/>
          <w:szCs w:val="22"/>
        </w:rPr>
        <w:t xml:space="preserve"> </w:t>
      </w:r>
    </w:p>
    <w:p w14:paraId="6BFF91A5" w14:textId="77777777" w:rsidR="00DE2EE0" w:rsidRPr="00C1107F" w:rsidRDefault="00DE2EE0" w:rsidP="00DE2EE0">
      <w:pPr>
        <w:pStyle w:val="ATSNormal"/>
        <w:spacing w:after="0"/>
        <w:jc w:val="both"/>
        <w:rPr>
          <w:bCs/>
          <w:i/>
          <w:szCs w:val="22"/>
        </w:rPr>
      </w:pPr>
      <w:r w:rsidRPr="00C1107F">
        <w:rPr>
          <w:i/>
          <w:szCs w:val="22"/>
          <w:lang w:val="de-DE"/>
        </w:rPr>
        <w:t xml:space="preserve">Küster A., Becker P.R., Kucklick J.R., Pugh R.S., Koschorreck J. (2014). </w:t>
      </w:r>
      <w:r w:rsidRPr="00C1107F">
        <w:rPr>
          <w:bCs/>
          <w:i/>
          <w:szCs w:val="22"/>
          <w:lang w:val="en-US"/>
        </w:rPr>
        <w:t xml:space="preserve">The international environmental specimen banks - let’s get visible. </w:t>
      </w:r>
      <w:r w:rsidRPr="00C1107F">
        <w:rPr>
          <w:bCs/>
          <w:i/>
          <w:iCs/>
          <w:szCs w:val="22"/>
        </w:rPr>
        <w:t>Environmental Science and Pollution Research</w:t>
      </w:r>
      <w:r w:rsidRPr="00C1107F">
        <w:rPr>
          <w:bCs/>
          <w:i/>
          <w:szCs w:val="22"/>
        </w:rPr>
        <w:t xml:space="preserve"> 22: 1559–1561.</w:t>
      </w:r>
    </w:p>
    <w:p w14:paraId="46834C9E" w14:textId="77777777" w:rsidR="00DE2EE0" w:rsidRPr="00C1107F" w:rsidRDefault="00DE2EE0" w:rsidP="00DE2EE0">
      <w:pPr>
        <w:pStyle w:val="ATSNormal"/>
        <w:spacing w:after="0"/>
        <w:jc w:val="both"/>
        <w:rPr>
          <w:bCs/>
          <w:i/>
          <w:szCs w:val="22"/>
        </w:rPr>
      </w:pPr>
      <w:proofErr w:type="spellStart"/>
      <w:r w:rsidRPr="00C1107F">
        <w:rPr>
          <w:bCs/>
          <w:i/>
          <w:szCs w:val="22"/>
        </w:rPr>
        <w:t>Soggia</w:t>
      </w:r>
      <w:proofErr w:type="spellEnd"/>
      <w:r w:rsidRPr="00C1107F">
        <w:rPr>
          <w:bCs/>
          <w:i/>
          <w:szCs w:val="22"/>
        </w:rPr>
        <w:t xml:space="preserve"> F., </w:t>
      </w:r>
      <w:proofErr w:type="spellStart"/>
      <w:r w:rsidRPr="00C1107F">
        <w:rPr>
          <w:bCs/>
          <w:i/>
          <w:szCs w:val="22"/>
        </w:rPr>
        <w:t>Abelmoschi</w:t>
      </w:r>
      <w:proofErr w:type="spellEnd"/>
      <w:r w:rsidRPr="00C1107F">
        <w:rPr>
          <w:bCs/>
          <w:i/>
          <w:szCs w:val="22"/>
        </w:rPr>
        <w:t xml:space="preserve"> M.L., Dalla Riva S., De Pellegrini R., </w:t>
      </w:r>
      <w:proofErr w:type="spellStart"/>
      <w:r w:rsidRPr="00C1107F">
        <w:rPr>
          <w:bCs/>
          <w:i/>
          <w:szCs w:val="22"/>
        </w:rPr>
        <w:t>Frache</w:t>
      </w:r>
      <w:proofErr w:type="spellEnd"/>
      <w:r w:rsidRPr="00C1107F">
        <w:rPr>
          <w:bCs/>
          <w:i/>
          <w:szCs w:val="22"/>
        </w:rPr>
        <w:t xml:space="preserve"> R., Antarctic Environmental Specimen Bank-First 5 Years of Experience. International Journal of Environmental Analytical Chemistry 79: 363-378.</w:t>
      </w:r>
    </w:p>
    <w:p w14:paraId="361F35F8" w14:textId="77777777" w:rsidR="00DE2EE0" w:rsidRPr="00C1107F" w:rsidRDefault="00DE2EE0" w:rsidP="00DE2EE0">
      <w:pPr>
        <w:pStyle w:val="ATSNormal"/>
        <w:spacing w:after="0"/>
        <w:jc w:val="both"/>
        <w:rPr>
          <w:i/>
          <w:szCs w:val="22"/>
        </w:rPr>
      </w:pPr>
      <w:proofErr w:type="spellStart"/>
      <w:r w:rsidRPr="00C1107F">
        <w:rPr>
          <w:i/>
          <w:szCs w:val="22"/>
        </w:rPr>
        <w:t>Vecchiato</w:t>
      </w:r>
      <w:proofErr w:type="spellEnd"/>
      <w:r w:rsidRPr="00C1107F">
        <w:rPr>
          <w:i/>
          <w:szCs w:val="22"/>
        </w:rPr>
        <w:t xml:space="preserve"> M., </w:t>
      </w:r>
      <w:proofErr w:type="spellStart"/>
      <w:r w:rsidRPr="00C1107F">
        <w:rPr>
          <w:i/>
          <w:szCs w:val="22"/>
        </w:rPr>
        <w:t>Gregoris</w:t>
      </w:r>
      <w:proofErr w:type="spellEnd"/>
      <w:r w:rsidRPr="00C1107F">
        <w:rPr>
          <w:i/>
          <w:szCs w:val="22"/>
        </w:rPr>
        <w:t xml:space="preserve"> E., </w:t>
      </w:r>
      <w:proofErr w:type="spellStart"/>
      <w:r w:rsidRPr="00C1107F">
        <w:rPr>
          <w:i/>
          <w:szCs w:val="22"/>
        </w:rPr>
        <w:t>Barbaro</w:t>
      </w:r>
      <w:proofErr w:type="spellEnd"/>
      <w:r w:rsidRPr="00C1107F">
        <w:rPr>
          <w:i/>
          <w:szCs w:val="22"/>
        </w:rPr>
        <w:t xml:space="preserve"> E., </w:t>
      </w:r>
      <w:proofErr w:type="spellStart"/>
      <w:r w:rsidRPr="00C1107F">
        <w:rPr>
          <w:i/>
          <w:szCs w:val="22"/>
        </w:rPr>
        <w:t>Barbante</w:t>
      </w:r>
      <w:proofErr w:type="spellEnd"/>
      <w:r w:rsidRPr="00C1107F">
        <w:rPr>
          <w:i/>
          <w:szCs w:val="22"/>
        </w:rPr>
        <w:t xml:space="preserve"> C., Piazza R., Gambaro G., 2017. Fragrances in the seawater of Terra Nova Bay, Antarctica. Science of The Total Environment 593–594: 375-379.</w:t>
      </w:r>
    </w:p>
    <w:p w14:paraId="66664C80" w14:textId="77777777" w:rsidR="00DE2EE0" w:rsidRPr="00503929" w:rsidRDefault="00DE2EE0" w:rsidP="00DE2EE0">
      <w:pPr>
        <w:spacing w:before="120"/>
        <w:jc w:val="both"/>
        <w:rPr>
          <w:i/>
          <w:szCs w:val="22"/>
        </w:rPr>
      </w:pPr>
      <w:r w:rsidRPr="00C1107F">
        <w:rPr>
          <w:i/>
          <w:szCs w:val="22"/>
        </w:rPr>
        <w:t xml:space="preserve">Waller C.L., Griffiths H.J., </w:t>
      </w:r>
      <w:proofErr w:type="spellStart"/>
      <w:r w:rsidRPr="00C1107F">
        <w:rPr>
          <w:i/>
          <w:szCs w:val="22"/>
        </w:rPr>
        <w:t>Waluda</w:t>
      </w:r>
      <w:proofErr w:type="spellEnd"/>
      <w:r w:rsidRPr="00C1107F">
        <w:rPr>
          <w:i/>
          <w:szCs w:val="22"/>
        </w:rPr>
        <w:t xml:space="preserve"> C.M., Thorpe S.E., </w:t>
      </w:r>
      <w:proofErr w:type="spellStart"/>
      <w:r w:rsidRPr="00C1107F">
        <w:rPr>
          <w:i/>
          <w:szCs w:val="22"/>
        </w:rPr>
        <w:t>Loaiza</w:t>
      </w:r>
      <w:proofErr w:type="spellEnd"/>
      <w:r w:rsidRPr="00C1107F">
        <w:rPr>
          <w:i/>
          <w:szCs w:val="22"/>
        </w:rPr>
        <w:t xml:space="preserve"> I., Moreno B., </w:t>
      </w:r>
      <w:proofErr w:type="spellStart"/>
      <w:r w:rsidRPr="00C1107F">
        <w:rPr>
          <w:i/>
          <w:szCs w:val="22"/>
        </w:rPr>
        <w:t>Pacherres</w:t>
      </w:r>
      <w:proofErr w:type="spellEnd"/>
      <w:r w:rsidRPr="00C1107F">
        <w:rPr>
          <w:i/>
          <w:szCs w:val="22"/>
        </w:rPr>
        <w:t xml:space="preserve"> C.O., Hughes K.A., 2017. </w:t>
      </w:r>
      <w:r w:rsidRPr="00C1107F">
        <w:rPr>
          <w:i/>
          <w:iCs/>
          <w:szCs w:val="22"/>
          <w:lang w:val="en-US"/>
        </w:rPr>
        <w:t>Microplastics in the Antarctic marine system: An emerging area of research.</w:t>
      </w:r>
      <w:r w:rsidRPr="00C1107F">
        <w:rPr>
          <w:i/>
          <w:szCs w:val="22"/>
          <w:lang w:val="en-US"/>
        </w:rPr>
        <w:t xml:space="preserve"> </w:t>
      </w:r>
      <w:r w:rsidRPr="00503929">
        <w:rPr>
          <w:i/>
          <w:szCs w:val="22"/>
        </w:rPr>
        <w:t>Science of The Total Environment 598: 220-227.</w:t>
      </w:r>
    </w:p>
    <w:p w14:paraId="7D91A96E" w14:textId="77777777" w:rsidR="00DE2EE0" w:rsidRPr="00060561" w:rsidRDefault="00DE2EE0" w:rsidP="00DE2EE0">
      <w:pPr>
        <w:spacing w:before="120"/>
        <w:jc w:val="both"/>
        <w:rPr>
          <w:i/>
        </w:rPr>
      </w:pPr>
      <w:proofErr w:type="spellStart"/>
      <w:r w:rsidRPr="00062CED">
        <w:rPr>
          <w:i/>
        </w:rPr>
        <w:t>Xie</w:t>
      </w:r>
      <w:proofErr w:type="spellEnd"/>
      <w:r w:rsidRPr="00062CED">
        <w:rPr>
          <w:i/>
        </w:rPr>
        <w:t xml:space="preserve">, Z., Zhang, P., Wu, Z., Zhang, S., Wei, L., Mi, L., Kuester, A., </w:t>
      </w:r>
      <w:proofErr w:type="spellStart"/>
      <w:r w:rsidRPr="00062CED">
        <w:rPr>
          <w:i/>
        </w:rPr>
        <w:t>Gandrass</w:t>
      </w:r>
      <w:proofErr w:type="spellEnd"/>
      <w:r w:rsidRPr="00062CED">
        <w:rPr>
          <w:i/>
        </w:rPr>
        <w:t xml:space="preserve">, J., </w:t>
      </w:r>
      <w:proofErr w:type="spellStart"/>
      <w:r w:rsidRPr="00062CED">
        <w:rPr>
          <w:i/>
        </w:rPr>
        <w:t>Ebinghaus</w:t>
      </w:r>
      <w:proofErr w:type="spellEnd"/>
      <w:r w:rsidRPr="00062CED">
        <w:rPr>
          <w:i/>
        </w:rPr>
        <w:t xml:space="preserve">, R., Yang, R., Wang, Z., Mi, W. </w:t>
      </w:r>
      <w:proofErr w:type="gramStart"/>
      <w:r w:rsidRPr="00062CED">
        <w:rPr>
          <w:i/>
        </w:rPr>
        <w:t>Legacy</w:t>
      </w:r>
      <w:proofErr w:type="gramEnd"/>
      <w:r w:rsidRPr="00062CED">
        <w:rPr>
          <w:i/>
        </w:rPr>
        <w:t xml:space="preserve"> and emerging organic contaminants in the polar regions. Science of The Total Environment, 2022, 155376</w:t>
      </w:r>
      <w:r>
        <w:rPr>
          <w:i/>
        </w:rPr>
        <w:t>,</w:t>
      </w:r>
      <w:r w:rsidRPr="00062CED">
        <w:rPr>
          <w:i/>
        </w:rPr>
        <w:t xml:space="preserve"> </w:t>
      </w:r>
      <w:hyperlink r:id="rId14" w:history="1">
        <w:r w:rsidRPr="00062CED">
          <w:rPr>
            <w:i/>
          </w:rPr>
          <w:t>https://doi.org/10.1016/j.scitotenv.2022.155376</w:t>
        </w:r>
      </w:hyperlink>
      <w:r w:rsidRPr="00C1107F">
        <w:rPr>
          <w:bCs/>
          <w:i/>
          <w:szCs w:val="22"/>
          <w:lang w:val="en-US"/>
        </w:rPr>
        <w:t>.</w:t>
      </w:r>
    </w:p>
    <w:bookmarkEnd w:id="12"/>
    <w:p w14:paraId="65403450" w14:textId="77777777" w:rsidR="00DE2EE0" w:rsidRDefault="00DE2EE0" w:rsidP="00952E9F"/>
    <w:sectPr w:rsidR="00DE2EE0"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9B94" w14:textId="77777777" w:rsidR="00000000" w:rsidRDefault="00DE2EE0">
      <w:r>
        <w:separator/>
      </w:r>
    </w:p>
  </w:endnote>
  <w:endnote w:type="continuationSeparator" w:id="0">
    <w:p w14:paraId="1EBDA227" w14:textId="77777777" w:rsidR="00000000" w:rsidRDefault="00DE2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60608" w14:textId="77777777" w:rsidR="00FA0B9F" w:rsidRDefault="00DE2EE0" w:rsidP="00CF5C82">
    <w:pPr>
      <w:framePr w:wrap="around" w:vAnchor="text" w:hAnchor="margin" w:xAlign="right" w:y="1"/>
    </w:pPr>
    <w:r>
      <w:fldChar w:fldCharType="begin"/>
    </w:r>
    <w:r>
      <w:instrText xml:space="preserve">PAGE  </w:instrText>
    </w:r>
    <w:r>
      <w:fldChar w:fldCharType="separate"/>
    </w:r>
    <w:r>
      <w:fldChar w:fldCharType="end"/>
    </w:r>
  </w:p>
  <w:p w14:paraId="0E123128" w14:textId="77777777" w:rsidR="00FA0B9F" w:rsidRDefault="00DE2EE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FBDD5" w14:textId="77777777" w:rsidR="00FA0B9F" w:rsidRDefault="00DE2EE0"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3B27F74" w14:textId="77777777" w:rsidR="00FA0B9F" w:rsidRDefault="00DE2EE0"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F5243" w14:textId="77777777" w:rsidR="00E311C9" w:rsidRDefault="00DE2EE0"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4BF3B479" w14:textId="77777777" w:rsidR="00E311C9" w:rsidRDefault="00DE2EE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299BF" w14:textId="77777777" w:rsidR="00000000" w:rsidRDefault="00DE2EE0">
      <w:r>
        <w:separator/>
      </w:r>
    </w:p>
  </w:footnote>
  <w:footnote w:type="continuationSeparator" w:id="0">
    <w:p w14:paraId="2AADBBEC" w14:textId="77777777" w:rsidR="00000000" w:rsidRDefault="00DE2EE0">
      <w:r>
        <w:continuationSeparator/>
      </w:r>
    </w:p>
  </w:footnote>
  <w:footnote w:id="1">
    <w:p w14:paraId="581DE67B" w14:textId="77777777" w:rsidR="00DE2EE0" w:rsidRDefault="00DE2EE0" w:rsidP="00DE2EE0">
      <w:pPr>
        <w:pStyle w:val="Textonotapie"/>
        <w:ind w:left="142" w:hanging="142"/>
      </w:pPr>
      <w:r>
        <w:rPr>
          <w:rStyle w:val="Refdenotaalpie"/>
        </w:rPr>
        <w:footnoteRef/>
      </w:r>
      <w:r>
        <w:t xml:space="preserve"> </w:t>
      </w:r>
      <w:r w:rsidRPr="00FE5165">
        <w:rPr>
          <w:sz w:val="18"/>
          <w:szCs w:val="18"/>
        </w:rPr>
        <w:t xml:space="preserve">The FAIR Data Principles are a set of guiding principles </w:t>
      </w:r>
      <w:proofErr w:type="gramStart"/>
      <w:r w:rsidRPr="00FE5165">
        <w:rPr>
          <w:sz w:val="18"/>
          <w:szCs w:val="18"/>
        </w:rPr>
        <w:t>in order to</w:t>
      </w:r>
      <w:proofErr w:type="gramEnd"/>
      <w:r w:rsidRPr="00FE5165">
        <w:rPr>
          <w:sz w:val="18"/>
          <w:szCs w:val="18"/>
        </w:rPr>
        <w:t xml:space="preserve"> make data findable, accessible, interoperable and reusable (Wilkinson et al., 2016</w:t>
      </w:r>
      <w:r>
        <w:rPr>
          <w:sz w:val="18"/>
          <w:szCs w:val="18"/>
        </w:rPr>
        <w:t xml:space="preserve">. </w:t>
      </w:r>
      <w:r w:rsidRPr="00BE4905">
        <w:rPr>
          <w:sz w:val="18"/>
          <w:szCs w:val="18"/>
        </w:rPr>
        <w:t>The FAIR Guiding Principles for scientific data management and stewardship</w:t>
      </w:r>
      <w:r w:rsidRPr="00FE5165">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CE4EE9" w14:paraId="47DD5191" w14:textId="77777777" w:rsidTr="00490760">
      <w:trPr>
        <w:trHeight w:val="344"/>
        <w:jc w:val="center"/>
      </w:trPr>
      <w:tc>
        <w:tcPr>
          <w:tcW w:w="5495" w:type="dxa"/>
        </w:tcPr>
        <w:p w14:paraId="2FB975B0" w14:textId="77777777" w:rsidR="00DB7C09" w:rsidRDefault="00DE2EE0" w:rsidP="00F968D4"/>
      </w:tc>
      <w:tc>
        <w:tcPr>
          <w:tcW w:w="4253" w:type="dxa"/>
          <w:gridSpan w:val="2"/>
        </w:tcPr>
        <w:p w14:paraId="78E49D1A" w14:textId="77777777" w:rsidR="00DB7C09" w:rsidRPr="00BD47E4" w:rsidRDefault="00DE2EE0" w:rsidP="002A07BC">
          <w:pPr>
            <w:jc w:val="right"/>
            <w:rPr>
              <w:b/>
              <w:sz w:val="32"/>
              <w:szCs w:val="32"/>
            </w:rPr>
          </w:pPr>
          <w:bookmarkStart w:id="2" w:name="type"/>
          <w:r w:rsidRPr="00BD47E4">
            <w:rPr>
              <w:b/>
              <w:sz w:val="32"/>
              <w:szCs w:val="32"/>
            </w:rPr>
            <w:t>IP</w:t>
          </w:r>
          <w:bookmarkEnd w:id="2"/>
        </w:p>
      </w:tc>
      <w:tc>
        <w:tcPr>
          <w:tcW w:w="1524" w:type="dxa"/>
          <w:gridSpan w:val="2"/>
        </w:tcPr>
        <w:p w14:paraId="756BE92D" w14:textId="77777777" w:rsidR="00DB7C09" w:rsidRPr="00BD47E4" w:rsidRDefault="00DE2EE0" w:rsidP="00DB7C09">
          <w:pPr>
            <w:rPr>
              <w:b/>
              <w:sz w:val="32"/>
              <w:szCs w:val="32"/>
            </w:rPr>
          </w:pPr>
          <w:bookmarkStart w:id="3" w:name="number"/>
          <w:r w:rsidRPr="00BD47E4">
            <w:rPr>
              <w:b/>
              <w:sz w:val="32"/>
              <w:szCs w:val="32"/>
            </w:rPr>
            <w:t>7 rev. 1</w:t>
          </w:r>
          <w:bookmarkEnd w:id="3"/>
        </w:p>
      </w:tc>
    </w:tr>
    <w:tr w:rsidR="00CE4EE9" w14:paraId="33388E95" w14:textId="77777777" w:rsidTr="00490760">
      <w:trPr>
        <w:trHeight w:val="2165"/>
        <w:jc w:val="center"/>
      </w:trPr>
      <w:tc>
        <w:tcPr>
          <w:tcW w:w="5495" w:type="dxa"/>
        </w:tcPr>
        <w:p w14:paraId="108F0903" w14:textId="77777777" w:rsidR="00490760" w:rsidRPr="00EE4D48" w:rsidRDefault="00DE2EE0" w:rsidP="002A07BC">
          <w:pPr>
            <w:rPr>
              <w:b/>
              <w:sz w:val="28"/>
              <w:szCs w:val="28"/>
            </w:rPr>
          </w:pPr>
          <w:r>
            <w:rPr>
              <w:noProof/>
            </w:rPr>
            <w:drawing>
              <wp:inline distT="0" distB="0" distL="0" distR="0" wp14:anchorId="7EF7E387" wp14:editId="06E0AF41">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92003"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5A5969B1" w14:textId="77777777" w:rsidR="00490760" w:rsidRPr="00FE5146" w:rsidRDefault="00DE2EE0" w:rsidP="00490760">
          <w:pPr>
            <w:jc w:val="right"/>
            <w:rPr>
              <w:sz w:val="144"/>
              <w:szCs w:val="144"/>
            </w:rPr>
          </w:pPr>
          <w:r w:rsidRPr="00FE5146">
            <w:rPr>
              <w:sz w:val="144"/>
              <w:szCs w:val="144"/>
            </w:rPr>
            <w:t>ENG</w:t>
          </w:r>
        </w:p>
      </w:tc>
    </w:tr>
    <w:tr w:rsidR="00CE4EE9" w14:paraId="08B47D96" w14:textId="77777777" w:rsidTr="00BD47E4">
      <w:trPr>
        <w:trHeight w:val="409"/>
        <w:jc w:val="center"/>
      </w:trPr>
      <w:tc>
        <w:tcPr>
          <w:tcW w:w="9039" w:type="dxa"/>
          <w:gridSpan w:val="2"/>
        </w:tcPr>
        <w:p w14:paraId="1BC2B775" w14:textId="77777777" w:rsidR="00BD47E4" w:rsidRDefault="00DE2EE0" w:rsidP="002C30DA">
          <w:pPr>
            <w:jc w:val="right"/>
          </w:pPr>
          <w:r>
            <w:t>Agenda Item:</w:t>
          </w:r>
        </w:p>
      </w:tc>
      <w:tc>
        <w:tcPr>
          <w:tcW w:w="1843" w:type="dxa"/>
          <w:gridSpan w:val="2"/>
        </w:tcPr>
        <w:p w14:paraId="1804C85E" w14:textId="77777777" w:rsidR="00BD47E4" w:rsidRDefault="00DE2EE0" w:rsidP="002C30DA">
          <w:pPr>
            <w:jc w:val="right"/>
          </w:pPr>
          <w:bookmarkStart w:id="4" w:name="agenda"/>
          <w:r>
            <w:t>CEP 11</w:t>
          </w:r>
          <w:bookmarkEnd w:id="4"/>
        </w:p>
      </w:tc>
      <w:tc>
        <w:tcPr>
          <w:tcW w:w="390" w:type="dxa"/>
        </w:tcPr>
        <w:p w14:paraId="0A876EDB" w14:textId="77777777" w:rsidR="00BD47E4" w:rsidRDefault="00DE2EE0" w:rsidP="00387A65">
          <w:pPr>
            <w:jc w:val="right"/>
          </w:pPr>
        </w:p>
      </w:tc>
    </w:tr>
    <w:tr w:rsidR="00CE4EE9" w14:paraId="7829FA97" w14:textId="77777777" w:rsidTr="00BD47E4">
      <w:trPr>
        <w:trHeight w:val="397"/>
        <w:jc w:val="center"/>
      </w:trPr>
      <w:tc>
        <w:tcPr>
          <w:tcW w:w="9039" w:type="dxa"/>
          <w:gridSpan w:val="2"/>
        </w:tcPr>
        <w:p w14:paraId="0F42958C" w14:textId="77777777" w:rsidR="00BD47E4" w:rsidRDefault="00DE2EE0" w:rsidP="002C30DA">
          <w:pPr>
            <w:jc w:val="right"/>
          </w:pPr>
          <w:r>
            <w:t>Presented by:</w:t>
          </w:r>
        </w:p>
      </w:tc>
      <w:tc>
        <w:tcPr>
          <w:tcW w:w="1843" w:type="dxa"/>
          <w:gridSpan w:val="2"/>
        </w:tcPr>
        <w:p w14:paraId="086FDC3A" w14:textId="77777777" w:rsidR="00BD47E4" w:rsidRDefault="00DE2EE0" w:rsidP="002C30DA">
          <w:pPr>
            <w:jc w:val="right"/>
          </w:pPr>
          <w:bookmarkStart w:id="5" w:name="party"/>
          <w:r>
            <w:t xml:space="preserve">Australia, Germany, Italy, </w:t>
          </w:r>
          <w:r>
            <w:t>Sweden, United Kingdom, United States</w:t>
          </w:r>
          <w:bookmarkEnd w:id="5"/>
        </w:p>
      </w:tc>
      <w:tc>
        <w:tcPr>
          <w:tcW w:w="390" w:type="dxa"/>
        </w:tcPr>
        <w:p w14:paraId="466051AB" w14:textId="77777777" w:rsidR="00BD47E4" w:rsidRDefault="00DE2EE0" w:rsidP="00387A65">
          <w:pPr>
            <w:jc w:val="right"/>
          </w:pPr>
        </w:p>
      </w:tc>
    </w:tr>
    <w:tr w:rsidR="00CE4EE9" w14:paraId="48D62215" w14:textId="77777777" w:rsidTr="00BD47E4">
      <w:trPr>
        <w:trHeight w:val="409"/>
        <w:jc w:val="center"/>
      </w:trPr>
      <w:tc>
        <w:tcPr>
          <w:tcW w:w="9039" w:type="dxa"/>
          <w:gridSpan w:val="2"/>
        </w:tcPr>
        <w:p w14:paraId="7D7F5B27" w14:textId="77777777" w:rsidR="00BD47E4" w:rsidRDefault="00DE2EE0" w:rsidP="002C30DA">
          <w:pPr>
            <w:jc w:val="right"/>
          </w:pPr>
          <w:r>
            <w:t>Original:</w:t>
          </w:r>
        </w:p>
      </w:tc>
      <w:tc>
        <w:tcPr>
          <w:tcW w:w="1843" w:type="dxa"/>
          <w:gridSpan w:val="2"/>
        </w:tcPr>
        <w:p w14:paraId="19D8E161" w14:textId="77777777" w:rsidR="00BD47E4" w:rsidRDefault="00DE2EE0" w:rsidP="002C30DA">
          <w:pPr>
            <w:jc w:val="right"/>
          </w:pPr>
          <w:bookmarkStart w:id="6" w:name="language"/>
          <w:r>
            <w:t>English</w:t>
          </w:r>
          <w:bookmarkEnd w:id="6"/>
        </w:p>
      </w:tc>
      <w:tc>
        <w:tcPr>
          <w:tcW w:w="390" w:type="dxa"/>
        </w:tcPr>
        <w:p w14:paraId="304B039B" w14:textId="77777777" w:rsidR="00BD47E4" w:rsidRDefault="00DE2EE0" w:rsidP="00387A65">
          <w:pPr>
            <w:jc w:val="right"/>
          </w:pPr>
        </w:p>
      </w:tc>
    </w:tr>
    <w:tr w:rsidR="00CE4EE9" w14:paraId="28440726" w14:textId="77777777" w:rsidTr="00BD47E4">
      <w:trPr>
        <w:trHeight w:val="409"/>
        <w:jc w:val="center"/>
      </w:trPr>
      <w:tc>
        <w:tcPr>
          <w:tcW w:w="9039" w:type="dxa"/>
          <w:gridSpan w:val="2"/>
        </w:tcPr>
        <w:p w14:paraId="59E65220" w14:textId="77777777" w:rsidR="0097629D" w:rsidRDefault="00DE2EE0" w:rsidP="002C30DA">
          <w:pPr>
            <w:jc w:val="right"/>
          </w:pPr>
          <w:r>
            <w:t>Submitted:</w:t>
          </w:r>
        </w:p>
      </w:tc>
      <w:tc>
        <w:tcPr>
          <w:tcW w:w="1843" w:type="dxa"/>
          <w:gridSpan w:val="2"/>
        </w:tcPr>
        <w:p w14:paraId="73E96EF0" w14:textId="77777777" w:rsidR="0097629D" w:rsidRDefault="00DE2EE0" w:rsidP="0097629D">
          <w:pPr>
            <w:jc w:val="right"/>
          </w:pPr>
          <w:bookmarkStart w:id="7" w:name="date_submission"/>
          <w:r>
            <w:t>27/4/2022</w:t>
          </w:r>
          <w:bookmarkEnd w:id="7"/>
        </w:p>
      </w:tc>
      <w:tc>
        <w:tcPr>
          <w:tcW w:w="390" w:type="dxa"/>
        </w:tcPr>
        <w:p w14:paraId="5D51DACE" w14:textId="77777777" w:rsidR="0097629D" w:rsidRDefault="00DE2EE0" w:rsidP="00387A65">
          <w:pPr>
            <w:jc w:val="right"/>
          </w:pPr>
        </w:p>
      </w:tc>
    </w:tr>
  </w:tbl>
  <w:p w14:paraId="54D30F60" w14:textId="77777777" w:rsidR="00AE5DD0" w:rsidRDefault="00DE2EE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CE4EE9" w14:paraId="687179E1" w14:textId="77777777">
      <w:trPr>
        <w:trHeight w:val="354"/>
        <w:jc w:val="center"/>
      </w:trPr>
      <w:tc>
        <w:tcPr>
          <w:tcW w:w="9694" w:type="dxa"/>
        </w:tcPr>
        <w:p w14:paraId="6616C305" w14:textId="77777777" w:rsidR="00AE5DD0" w:rsidRPr="00BD47E4" w:rsidRDefault="00DE2EE0" w:rsidP="00C26F2D">
          <w:pPr>
            <w:jc w:val="right"/>
            <w:rPr>
              <w:b/>
              <w:sz w:val="32"/>
              <w:szCs w:val="32"/>
            </w:rPr>
          </w:pPr>
          <w:r>
            <w:rPr>
              <w:b/>
              <w:sz w:val="32"/>
              <w:szCs w:val="32"/>
            </w:rPr>
            <w:t>IP</w:t>
          </w:r>
        </w:p>
      </w:tc>
      <w:tc>
        <w:tcPr>
          <w:tcW w:w="1332" w:type="dxa"/>
        </w:tcPr>
        <w:p w14:paraId="12447CB9" w14:textId="7A489965" w:rsidR="00AE5DD0" w:rsidRPr="00BD47E4" w:rsidRDefault="00DE2EE0" w:rsidP="00080F4C">
          <w:pPr>
            <w:rPr>
              <w:b/>
              <w:sz w:val="32"/>
              <w:szCs w:val="32"/>
            </w:rPr>
          </w:pPr>
          <w:r>
            <w:rPr>
              <w:b/>
              <w:sz w:val="32"/>
              <w:szCs w:val="32"/>
            </w:rPr>
            <w:t>7 rev.1</w:t>
          </w:r>
        </w:p>
      </w:tc>
    </w:tr>
  </w:tbl>
  <w:p w14:paraId="645DA12D" w14:textId="77777777" w:rsidR="00AE5DD0" w:rsidRDefault="00DE2EE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F391403"/>
    <w:multiLevelType w:val="hybridMultilevel"/>
    <w:tmpl w:val="FFFFFFFF"/>
    <w:lvl w:ilvl="0" w:tplc="CC9C1A9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4796AE30">
      <w:start w:val="1"/>
      <w:numFmt w:val="bullet"/>
      <w:pStyle w:val="ATSBullet1"/>
      <w:lvlText w:val=""/>
      <w:lvlJc w:val="left"/>
      <w:pPr>
        <w:tabs>
          <w:tab w:val="num" w:pos="360"/>
        </w:tabs>
        <w:ind w:left="360" w:hanging="360"/>
      </w:pPr>
      <w:rPr>
        <w:rFonts w:ascii="Symbol" w:hAnsi="Symbol" w:hint="default"/>
        <w:color w:val="auto"/>
      </w:rPr>
    </w:lvl>
    <w:lvl w:ilvl="1" w:tplc="F4E8F2E6" w:tentative="1">
      <w:start w:val="1"/>
      <w:numFmt w:val="bullet"/>
      <w:lvlText w:val="o"/>
      <w:lvlJc w:val="left"/>
      <w:pPr>
        <w:tabs>
          <w:tab w:val="num" w:pos="1440"/>
        </w:tabs>
        <w:ind w:left="1440" w:hanging="360"/>
      </w:pPr>
      <w:rPr>
        <w:rFonts w:ascii="Courier New" w:hAnsi="Courier New" w:cs="Courier New" w:hint="default"/>
      </w:rPr>
    </w:lvl>
    <w:lvl w:ilvl="2" w:tplc="0D1A19E2" w:tentative="1">
      <w:start w:val="1"/>
      <w:numFmt w:val="bullet"/>
      <w:lvlText w:val=""/>
      <w:lvlJc w:val="left"/>
      <w:pPr>
        <w:tabs>
          <w:tab w:val="num" w:pos="2160"/>
        </w:tabs>
        <w:ind w:left="2160" w:hanging="360"/>
      </w:pPr>
      <w:rPr>
        <w:rFonts w:ascii="Wingdings" w:hAnsi="Wingdings" w:hint="default"/>
      </w:rPr>
    </w:lvl>
    <w:lvl w:ilvl="3" w:tplc="491AC20E" w:tentative="1">
      <w:start w:val="1"/>
      <w:numFmt w:val="bullet"/>
      <w:lvlText w:val=""/>
      <w:lvlJc w:val="left"/>
      <w:pPr>
        <w:tabs>
          <w:tab w:val="num" w:pos="2880"/>
        </w:tabs>
        <w:ind w:left="2880" w:hanging="360"/>
      </w:pPr>
      <w:rPr>
        <w:rFonts w:ascii="Symbol" w:hAnsi="Symbol" w:hint="default"/>
      </w:rPr>
    </w:lvl>
    <w:lvl w:ilvl="4" w:tplc="158866A6" w:tentative="1">
      <w:start w:val="1"/>
      <w:numFmt w:val="bullet"/>
      <w:lvlText w:val="o"/>
      <w:lvlJc w:val="left"/>
      <w:pPr>
        <w:tabs>
          <w:tab w:val="num" w:pos="3600"/>
        </w:tabs>
        <w:ind w:left="3600" w:hanging="360"/>
      </w:pPr>
      <w:rPr>
        <w:rFonts w:ascii="Courier New" w:hAnsi="Courier New" w:cs="Courier New" w:hint="default"/>
      </w:rPr>
    </w:lvl>
    <w:lvl w:ilvl="5" w:tplc="861C5E20" w:tentative="1">
      <w:start w:val="1"/>
      <w:numFmt w:val="bullet"/>
      <w:lvlText w:val=""/>
      <w:lvlJc w:val="left"/>
      <w:pPr>
        <w:tabs>
          <w:tab w:val="num" w:pos="4320"/>
        </w:tabs>
        <w:ind w:left="4320" w:hanging="360"/>
      </w:pPr>
      <w:rPr>
        <w:rFonts w:ascii="Wingdings" w:hAnsi="Wingdings" w:hint="default"/>
      </w:rPr>
    </w:lvl>
    <w:lvl w:ilvl="6" w:tplc="53C4EDA4" w:tentative="1">
      <w:start w:val="1"/>
      <w:numFmt w:val="bullet"/>
      <w:lvlText w:val=""/>
      <w:lvlJc w:val="left"/>
      <w:pPr>
        <w:tabs>
          <w:tab w:val="num" w:pos="5040"/>
        </w:tabs>
        <w:ind w:left="5040" w:hanging="360"/>
      </w:pPr>
      <w:rPr>
        <w:rFonts w:ascii="Symbol" w:hAnsi="Symbol" w:hint="default"/>
      </w:rPr>
    </w:lvl>
    <w:lvl w:ilvl="7" w:tplc="6482414E" w:tentative="1">
      <w:start w:val="1"/>
      <w:numFmt w:val="bullet"/>
      <w:lvlText w:val="o"/>
      <w:lvlJc w:val="left"/>
      <w:pPr>
        <w:tabs>
          <w:tab w:val="num" w:pos="5760"/>
        </w:tabs>
        <w:ind w:left="5760" w:hanging="360"/>
      </w:pPr>
      <w:rPr>
        <w:rFonts w:ascii="Courier New" w:hAnsi="Courier New" w:cs="Courier New" w:hint="default"/>
      </w:rPr>
    </w:lvl>
    <w:lvl w:ilvl="8" w:tplc="D3DE61F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F2B6EFDC">
      <w:start w:val="1"/>
      <w:numFmt w:val="decimal"/>
      <w:lvlText w:val="%1)"/>
      <w:lvlJc w:val="left"/>
      <w:pPr>
        <w:tabs>
          <w:tab w:val="num" w:pos="340"/>
        </w:tabs>
        <w:ind w:left="340" w:hanging="340"/>
      </w:pPr>
      <w:rPr>
        <w:rFonts w:hint="default"/>
      </w:rPr>
    </w:lvl>
    <w:lvl w:ilvl="1" w:tplc="5A0E3310" w:tentative="1">
      <w:start w:val="1"/>
      <w:numFmt w:val="lowerLetter"/>
      <w:lvlText w:val="%2."/>
      <w:lvlJc w:val="left"/>
      <w:pPr>
        <w:tabs>
          <w:tab w:val="num" w:pos="1440"/>
        </w:tabs>
        <w:ind w:left="1440" w:hanging="360"/>
      </w:pPr>
    </w:lvl>
    <w:lvl w:ilvl="2" w:tplc="4CFE285A" w:tentative="1">
      <w:start w:val="1"/>
      <w:numFmt w:val="lowerRoman"/>
      <w:lvlText w:val="%3."/>
      <w:lvlJc w:val="right"/>
      <w:pPr>
        <w:tabs>
          <w:tab w:val="num" w:pos="2160"/>
        </w:tabs>
        <w:ind w:left="2160" w:hanging="180"/>
      </w:pPr>
    </w:lvl>
    <w:lvl w:ilvl="3" w:tplc="5D8AEDC4" w:tentative="1">
      <w:start w:val="1"/>
      <w:numFmt w:val="decimal"/>
      <w:lvlText w:val="%4."/>
      <w:lvlJc w:val="left"/>
      <w:pPr>
        <w:tabs>
          <w:tab w:val="num" w:pos="2880"/>
        </w:tabs>
        <w:ind w:left="2880" w:hanging="360"/>
      </w:pPr>
    </w:lvl>
    <w:lvl w:ilvl="4" w:tplc="FDB246F0" w:tentative="1">
      <w:start w:val="1"/>
      <w:numFmt w:val="lowerLetter"/>
      <w:lvlText w:val="%5."/>
      <w:lvlJc w:val="left"/>
      <w:pPr>
        <w:tabs>
          <w:tab w:val="num" w:pos="3600"/>
        </w:tabs>
        <w:ind w:left="3600" w:hanging="360"/>
      </w:pPr>
    </w:lvl>
    <w:lvl w:ilvl="5" w:tplc="BA386F94" w:tentative="1">
      <w:start w:val="1"/>
      <w:numFmt w:val="lowerRoman"/>
      <w:lvlText w:val="%6."/>
      <w:lvlJc w:val="right"/>
      <w:pPr>
        <w:tabs>
          <w:tab w:val="num" w:pos="4320"/>
        </w:tabs>
        <w:ind w:left="4320" w:hanging="180"/>
      </w:pPr>
    </w:lvl>
    <w:lvl w:ilvl="6" w:tplc="21483FB6" w:tentative="1">
      <w:start w:val="1"/>
      <w:numFmt w:val="decimal"/>
      <w:lvlText w:val="%7."/>
      <w:lvlJc w:val="left"/>
      <w:pPr>
        <w:tabs>
          <w:tab w:val="num" w:pos="5040"/>
        </w:tabs>
        <w:ind w:left="5040" w:hanging="360"/>
      </w:pPr>
    </w:lvl>
    <w:lvl w:ilvl="7" w:tplc="8C261CF8" w:tentative="1">
      <w:start w:val="1"/>
      <w:numFmt w:val="lowerLetter"/>
      <w:lvlText w:val="%8."/>
      <w:lvlJc w:val="left"/>
      <w:pPr>
        <w:tabs>
          <w:tab w:val="num" w:pos="5760"/>
        </w:tabs>
        <w:ind w:left="5760" w:hanging="360"/>
      </w:pPr>
    </w:lvl>
    <w:lvl w:ilvl="8" w:tplc="ABAA29A2"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BA9CA00E">
      <w:start w:val="1"/>
      <w:numFmt w:val="decimal"/>
      <w:lvlText w:val="%1."/>
      <w:lvlJc w:val="left"/>
      <w:pPr>
        <w:tabs>
          <w:tab w:val="num" w:pos="1057"/>
        </w:tabs>
        <w:ind w:left="1057" w:hanging="360"/>
      </w:pPr>
      <w:rPr>
        <w:rFonts w:hint="default"/>
      </w:rPr>
    </w:lvl>
    <w:lvl w:ilvl="1" w:tplc="E4AAD822" w:tentative="1">
      <w:start w:val="1"/>
      <w:numFmt w:val="lowerLetter"/>
      <w:lvlText w:val="%2."/>
      <w:lvlJc w:val="left"/>
      <w:pPr>
        <w:tabs>
          <w:tab w:val="num" w:pos="2137"/>
        </w:tabs>
        <w:ind w:left="2137" w:hanging="360"/>
      </w:pPr>
    </w:lvl>
    <w:lvl w:ilvl="2" w:tplc="46FCA3DE" w:tentative="1">
      <w:start w:val="1"/>
      <w:numFmt w:val="lowerRoman"/>
      <w:lvlText w:val="%3."/>
      <w:lvlJc w:val="right"/>
      <w:pPr>
        <w:tabs>
          <w:tab w:val="num" w:pos="2857"/>
        </w:tabs>
        <w:ind w:left="2857" w:hanging="180"/>
      </w:pPr>
    </w:lvl>
    <w:lvl w:ilvl="3" w:tplc="E62E18EE" w:tentative="1">
      <w:start w:val="1"/>
      <w:numFmt w:val="decimal"/>
      <w:lvlText w:val="%4."/>
      <w:lvlJc w:val="left"/>
      <w:pPr>
        <w:tabs>
          <w:tab w:val="num" w:pos="3577"/>
        </w:tabs>
        <w:ind w:left="3577" w:hanging="360"/>
      </w:pPr>
    </w:lvl>
    <w:lvl w:ilvl="4" w:tplc="C39A9E8E" w:tentative="1">
      <w:start w:val="1"/>
      <w:numFmt w:val="lowerLetter"/>
      <w:lvlText w:val="%5."/>
      <w:lvlJc w:val="left"/>
      <w:pPr>
        <w:tabs>
          <w:tab w:val="num" w:pos="4297"/>
        </w:tabs>
        <w:ind w:left="4297" w:hanging="360"/>
      </w:pPr>
    </w:lvl>
    <w:lvl w:ilvl="5" w:tplc="5928C1AC" w:tentative="1">
      <w:start w:val="1"/>
      <w:numFmt w:val="lowerRoman"/>
      <w:lvlText w:val="%6."/>
      <w:lvlJc w:val="right"/>
      <w:pPr>
        <w:tabs>
          <w:tab w:val="num" w:pos="5017"/>
        </w:tabs>
        <w:ind w:left="5017" w:hanging="180"/>
      </w:pPr>
    </w:lvl>
    <w:lvl w:ilvl="6" w:tplc="7C487BBC" w:tentative="1">
      <w:start w:val="1"/>
      <w:numFmt w:val="decimal"/>
      <w:lvlText w:val="%7."/>
      <w:lvlJc w:val="left"/>
      <w:pPr>
        <w:tabs>
          <w:tab w:val="num" w:pos="5737"/>
        </w:tabs>
        <w:ind w:left="5737" w:hanging="360"/>
      </w:pPr>
    </w:lvl>
    <w:lvl w:ilvl="7" w:tplc="797060BE" w:tentative="1">
      <w:start w:val="1"/>
      <w:numFmt w:val="lowerLetter"/>
      <w:lvlText w:val="%8."/>
      <w:lvlJc w:val="left"/>
      <w:pPr>
        <w:tabs>
          <w:tab w:val="num" w:pos="6457"/>
        </w:tabs>
        <w:ind w:left="6457" w:hanging="360"/>
      </w:pPr>
    </w:lvl>
    <w:lvl w:ilvl="8" w:tplc="BBCAB76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E562A752">
      <w:start w:val="1"/>
      <w:numFmt w:val="decimal"/>
      <w:pStyle w:val="ATSNumber1"/>
      <w:lvlText w:val="%1)"/>
      <w:lvlJc w:val="left"/>
      <w:pPr>
        <w:tabs>
          <w:tab w:val="num" w:pos="720"/>
        </w:tabs>
        <w:ind w:left="720" w:hanging="360"/>
      </w:pPr>
    </w:lvl>
    <w:lvl w:ilvl="1" w:tplc="5EA42A54" w:tentative="1">
      <w:start w:val="1"/>
      <w:numFmt w:val="lowerLetter"/>
      <w:lvlText w:val="%2."/>
      <w:lvlJc w:val="left"/>
      <w:pPr>
        <w:tabs>
          <w:tab w:val="num" w:pos="1440"/>
        </w:tabs>
        <w:ind w:left="1440" w:hanging="360"/>
      </w:pPr>
    </w:lvl>
    <w:lvl w:ilvl="2" w:tplc="5F34DA88" w:tentative="1">
      <w:start w:val="1"/>
      <w:numFmt w:val="lowerRoman"/>
      <w:lvlText w:val="%3."/>
      <w:lvlJc w:val="right"/>
      <w:pPr>
        <w:tabs>
          <w:tab w:val="num" w:pos="2160"/>
        </w:tabs>
        <w:ind w:left="2160" w:hanging="180"/>
      </w:pPr>
    </w:lvl>
    <w:lvl w:ilvl="3" w:tplc="3E7431F4" w:tentative="1">
      <w:start w:val="1"/>
      <w:numFmt w:val="decimal"/>
      <w:lvlText w:val="%4."/>
      <w:lvlJc w:val="left"/>
      <w:pPr>
        <w:tabs>
          <w:tab w:val="num" w:pos="2880"/>
        </w:tabs>
        <w:ind w:left="2880" w:hanging="360"/>
      </w:pPr>
    </w:lvl>
    <w:lvl w:ilvl="4" w:tplc="E022F7F4" w:tentative="1">
      <w:start w:val="1"/>
      <w:numFmt w:val="lowerLetter"/>
      <w:lvlText w:val="%5."/>
      <w:lvlJc w:val="left"/>
      <w:pPr>
        <w:tabs>
          <w:tab w:val="num" w:pos="3600"/>
        </w:tabs>
        <w:ind w:left="3600" w:hanging="360"/>
      </w:pPr>
    </w:lvl>
    <w:lvl w:ilvl="5" w:tplc="F8D0DB22" w:tentative="1">
      <w:start w:val="1"/>
      <w:numFmt w:val="lowerRoman"/>
      <w:lvlText w:val="%6."/>
      <w:lvlJc w:val="right"/>
      <w:pPr>
        <w:tabs>
          <w:tab w:val="num" w:pos="4320"/>
        </w:tabs>
        <w:ind w:left="4320" w:hanging="180"/>
      </w:pPr>
    </w:lvl>
    <w:lvl w:ilvl="6" w:tplc="5282C526" w:tentative="1">
      <w:start w:val="1"/>
      <w:numFmt w:val="decimal"/>
      <w:lvlText w:val="%7."/>
      <w:lvlJc w:val="left"/>
      <w:pPr>
        <w:tabs>
          <w:tab w:val="num" w:pos="5040"/>
        </w:tabs>
        <w:ind w:left="5040" w:hanging="360"/>
      </w:pPr>
    </w:lvl>
    <w:lvl w:ilvl="7" w:tplc="E196F9D6" w:tentative="1">
      <w:start w:val="1"/>
      <w:numFmt w:val="lowerLetter"/>
      <w:lvlText w:val="%8."/>
      <w:lvlJc w:val="left"/>
      <w:pPr>
        <w:tabs>
          <w:tab w:val="num" w:pos="5760"/>
        </w:tabs>
        <w:ind w:left="5760" w:hanging="360"/>
      </w:pPr>
    </w:lvl>
    <w:lvl w:ilvl="8" w:tplc="541AF55A"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B46380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CA68A98" w:tentative="1">
      <w:start w:val="1"/>
      <w:numFmt w:val="bullet"/>
      <w:lvlText w:val="o"/>
      <w:lvlJc w:val="left"/>
      <w:pPr>
        <w:tabs>
          <w:tab w:val="num" w:pos="2517"/>
        </w:tabs>
        <w:ind w:left="2517" w:hanging="360"/>
      </w:pPr>
      <w:rPr>
        <w:rFonts w:ascii="Courier New" w:hAnsi="Courier New" w:cs="Courier New" w:hint="default"/>
      </w:rPr>
    </w:lvl>
    <w:lvl w:ilvl="2" w:tplc="572CBE12" w:tentative="1">
      <w:start w:val="1"/>
      <w:numFmt w:val="bullet"/>
      <w:lvlText w:val=""/>
      <w:lvlJc w:val="left"/>
      <w:pPr>
        <w:tabs>
          <w:tab w:val="num" w:pos="3237"/>
        </w:tabs>
        <w:ind w:left="3237" w:hanging="360"/>
      </w:pPr>
      <w:rPr>
        <w:rFonts w:ascii="Wingdings" w:hAnsi="Wingdings" w:hint="default"/>
      </w:rPr>
    </w:lvl>
    <w:lvl w:ilvl="3" w:tplc="532E5C98" w:tentative="1">
      <w:start w:val="1"/>
      <w:numFmt w:val="bullet"/>
      <w:lvlText w:val=""/>
      <w:lvlJc w:val="left"/>
      <w:pPr>
        <w:tabs>
          <w:tab w:val="num" w:pos="3957"/>
        </w:tabs>
        <w:ind w:left="3957" w:hanging="360"/>
      </w:pPr>
      <w:rPr>
        <w:rFonts w:ascii="Symbol" w:hAnsi="Symbol" w:hint="default"/>
      </w:rPr>
    </w:lvl>
    <w:lvl w:ilvl="4" w:tplc="9D3A3202" w:tentative="1">
      <w:start w:val="1"/>
      <w:numFmt w:val="bullet"/>
      <w:lvlText w:val="o"/>
      <w:lvlJc w:val="left"/>
      <w:pPr>
        <w:tabs>
          <w:tab w:val="num" w:pos="4677"/>
        </w:tabs>
        <w:ind w:left="4677" w:hanging="360"/>
      </w:pPr>
      <w:rPr>
        <w:rFonts w:ascii="Courier New" w:hAnsi="Courier New" w:cs="Courier New" w:hint="default"/>
      </w:rPr>
    </w:lvl>
    <w:lvl w:ilvl="5" w:tplc="EF7CECD6" w:tentative="1">
      <w:start w:val="1"/>
      <w:numFmt w:val="bullet"/>
      <w:lvlText w:val=""/>
      <w:lvlJc w:val="left"/>
      <w:pPr>
        <w:tabs>
          <w:tab w:val="num" w:pos="5397"/>
        </w:tabs>
        <w:ind w:left="5397" w:hanging="360"/>
      </w:pPr>
      <w:rPr>
        <w:rFonts w:ascii="Wingdings" w:hAnsi="Wingdings" w:hint="default"/>
      </w:rPr>
    </w:lvl>
    <w:lvl w:ilvl="6" w:tplc="8278C512" w:tentative="1">
      <w:start w:val="1"/>
      <w:numFmt w:val="bullet"/>
      <w:lvlText w:val=""/>
      <w:lvlJc w:val="left"/>
      <w:pPr>
        <w:tabs>
          <w:tab w:val="num" w:pos="6117"/>
        </w:tabs>
        <w:ind w:left="6117" w:hanging="360"/>
      </w:pPr>
      <w:rPr>
        <w:rFonts w:ascii="Symbol" w:hAnsi="Symbol" w:hint="default"/>
      </w:rPr>
    </w:lvl>
    <w:lvl w:ilvl="7" w:tplc="D36EB59E" w:tentative="1">
      <w:start w:val="1"/>
      <w:numFmt w:val="bullet"/>
      <w:lvlText w:val="o"/>
      <w:lvlJc w:val="left"/>
      <w:pPr>
        <w:tabs>
          <w:tab w:val="num" w:pos="6837"/>
        </w:tabs>
        <w:ind w:left="6837" w:hanging="360"/>
      </w:pPr>
      <w:rPr>
        <w:rFonts w:ascii="Courier New" w:hAnsi="Courier New" w:cs="Courier New" w:hint="default"/>
      </w:rPr>
    </w:lvl>
    <w:lvl w:ilvl="8" w:tplc="0796501A"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102CB710">
      <w:start w:val="1"/>
      <w:numFmt w:val="decimal"/>
      <w:pStyle w:val="ATSNumber2"/>
      <w:lvlText w:val="%1."/>
      <w:lvlJc w:val="left"/>
      <w:pPr>
        <w:tabs>
          <w:tab w:val="num" w:pos="720"/>
        </w:tabs>
        <w:ind w:left="720" w:hanging="360"/>
      </w:pPr>
      <w:rPr>
        <w:rFonts w:hint="default"/>
      </w:rPr>
    </w:lvl>
    <w:lvl w:ilvl="1" w:tplc="61962174" w:tentative="1">
      <w:start w:val="1"/>
      <w:numFmt w:val="lowerLetter"/>
      <w:lvlText w:val="%2."/>
      <w:lvlJc w:val="left"/>
      <w:pPr>
        <w:tabs>
          <w:tab w:val="num" w:pos="1440"/>
        </w:tabs>
        <w:ind w:left="1440" w:hanging="360"/>
      </w:pPr>
    </w:lvl>
    <w:lvl w:ilvl="2" w:tplc="CF629720" w:tentative="1">
      <w:start w:val="1"/>
      <w:numFmt w:val="lowerRoman"/>
      <w:lvlText w:val="%3."/>
      <w:lvlJc w:val="right"/>
      <w:pPr>
        <w:tabs>
          <w:tab w:val="num" w:pos="2160"/>
        </w:tabs>
        <w:ind w:left="2160" w:hanging="180"/>
      </w:pPr>
    </w:lvl>
    <w:lvl w:ilvl="3" w:tplc="2C426422" w:tentative="1">
      <w:start w:val="1"/>
      <w:numFmt w:val="decimal"/>
      <w:lvlText w:val="%4."/>
      <w:lvlJc w:val="left"/>
      <w:pPr>
        <w:tabs>
          <w:tab w:val="num" w:pos="2880"/>
        </w:tabs>
        <w:ind w:left="2880" w:hanging="360"/>
      </w:pPr>
    </w:lvl>
    <w:lvl w:ilvl="4" w:tplc="F6CED65C" w:tentative="1">
      <w:start w:val="1"/>
      <w:numFmt w:val="lowerLetter"/>
      <w:lvlText w:val="%5."/>
      <w:lvlJc w:val="left"/>
      <w:pPr>
        <w:tabs>
          <w:tab w:val="num" w:pos="3600"/>
        </w:tabs>
        <w:ind w:left="3600" w:hanging="360"/>
      </w:pPr>
    </w:lvl>
    <w:lvl w:ilvl="5" w:tplc="2B36302C" w:tentative="1">
      <w:start w:val="1"/>
      <w:numFmt w:val="lowerRoman"/>
      <w:lvlText w:val="%6."/>
      <w:lvlJc w:val="right"/>
      <w:pPr>
        <w:tabs>
          <w:tab w:val="num" w:pos="4320"/>
        </w:tabs>
        <w:ind w:left="4320" w:hanging="180"/>
      </w:pPr>
    </w:lvl>
    <w:lvl w:ilvl="6" w:tplc="5A968746" w:tentative="1">
      <w:start w:val="1"/>
      <w:numFmt w:val="decimal"/>
      <w:lvlText w:val="%7."/>
      <w:lvlJc w:val="left"/>
      <w:pPr>
        <w:tabs>
          <w:tab w:val="num" w:pos="5040"/>
        </w:tabs>
        <w:ind w:left="5040" w:hanging="360"/>
      </w:pPr>
    </w:lvl>
    <w:lvl w:ilvl="7" w:tplc="F6AA71BE" w:tentative="1">
      <w:start w:val="1"/>
      <w:numFmt w:val="lowerLetter"/>
      <w:lvlText w:val="%8."/>
      <w:lvlJc w:val="left"/>
      <w:pPr>
        <w:tabs>
          <w:tab w:val="num" w:pos="5760"/>
        </w:tabs>
        <w:ind w:left="5760" w:hanging="360"/>
      </w:pPr>
    </w:lvl>
    <w:lvl w:ilvl="8" w:tplc="194CF50E" w:tentative="1">
      <w:start w:val="1"/>
      <w:numFmt w:val="lowerRoman"/>
      <w:lvlText w:val="%9."/>
      <w:lvlJc w:val="right"/>
      <w:pPr>
        <w:tabs>
          <w:tab w:val="num" w:pos="6480"/>
        </w:tabs>
        <w:ind w:left="6480" w:hanging="180"/>
      </w:pPr>
    </w:lvl>
  </w:abstractNum>
  <w:num w:numId="1" w16cid:durableId="454913245">
    <w:abstractNumId w:val="9"/>
  </w:num>
  <w:num w:numId="2" w16cid:durableId="336009141">
    <w:abstractNumId w:val="7"/>
  </w:num>
  <w:num w:numId="3" w16cid:durableId="1369910737">
    <w:abstractNumId w:val="6"/>
  </w:num>
  <w:num w:numId="4" w16cid:durableId="1037312036">
    <w:abstractNumId w:val="5"/>
  </w:num>
  <w:num w:numId="5" w16cid:durableId="1469587338">
    <w:abstractNumId w:val="4"/>
  </w:num>
  <w:num w:numId="6" w16cid:durableId="75640272">
    <w:abstractNumId w:val="8"/>
  </w:num>
  <w:num w:numId="7" w16cid:durableId="268779249">
    <w:abstractNumId w:val="3"/>
  </w:num>
  <w:num w:numId="8" w16cid:durableId="2032028789">
    <w:abstractNumId w:val="2"/>
  </w:num>
  <w:num w:numId="9" w16cid:durableId="223371375">
    <w:abstractNumId w:val="1"/>
  </w:num>
  <w:num w:numId="10" w16cid:durableId="1752312284">
    <w:abstractNumId w:val="0"/>
  </w:num>
  <w:num w:numId="11" w16cid:durableId="2082172041">
    <w:abstractNumId w:val="12"/>
  </w:num>
  <w:num w:numId="12" w16cid:durableId="108552386">
    <w:abstractNumId w:val="16"/>
  </w:num>
  <w:num w:numId="13" w16cid:durableId="2066828976">
    <w:abstractNumId w:val="15"/>
  </w:num>
  <w:num w:numId="14" w16cid:durableId="1365911648">
    <w:abstractNumId w:val="13"/>
  </w:num>
  <w:num w:numId="15" w16cid:durableId="288586194">
    <w:abstractNumId w:val="14"/>
  </w:num>
  <w:num w:numId="16" w16cid:durableId="1504935260">
    <w:abstractNumId w:val="10"/>
  </w:num>
  <w:num w:numId="17" w16cid:durableId="1388795093">
    <w:abstractNumId w:val="12"/>
  </w:num>
  <w:num w:numId="18" w16cid:durableId="127086965">
    <w:abstractNumId w:val="16"/>
  </w:num>
  <w:num w:numId="19" w16cid:durableId="33770033">
    <w:abstractNumId w:val="15"/>
  </w:num>
  <w:num w:numId="20" w16cid:durableId="1730882412">
    <w:abstractNumId w:val="17"/>
  </w:num>
  <w:num w:numId="21" w16cid:durableId="1121342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EE9"/>
    <w:rsid w:val="00CE4EE9"/>
    <w:rsid w:val="00DE2E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C5796"/>
  <w15:chartTrackingRefBased/>
  <w15:docId w15:val="{92D42F65-3C73-4AD3-8E1C-08D3316F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DE2EE0"/>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umweltbundesamt.de/en/node/94089%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scitotenv.2022.15537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mweltbundesamt.de/publikationen/emerging-legacy-organic-contaminants-in-the-polar"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016/j.scitotenv.2022.1553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2445</Words>
  <Characters>15057</Characters>
  <Application>Microsoft Office Word</Application>
  <DocSecurity>0</DocSecurity>
  <Lines>125</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2022-04-27T13:25:00Z</dcterms:modified>
</cp:coreProperties>
</file>