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C662B" w14:textId="77777777" w:rsidR="00C26F2D" w:rsidRPr="00BF077B" w:rsidRDefault="00E36E2E" w:rsidP="00BF077B">
      <w:pPr>
        <w:pStyle w:val="ATSNormal"/>
        <w:rPr>
          <w:rStyle w:val="Ttulodellibro"/>
        </w:rPr>
      </w:pPr>
    </w:p>
    <w:p w14:paraId="772852DD" w14:textId="77777777" w:rsidR="002F0A13" w:rsidRDefault="00E36E2E" w:rsidP="004B4A60">
      <w:pPr>
        <w:rPr>
          <w:b/>
          <w:u w:val="single"/>
          <w:lang w:val="es-ES_tradnl"/>
        </w:rPr>
      </w:pPr>
    </w:p>
    <w:p w14:paraId="60FFE0EB" w14:textId="77777777" w:rsidR="002F0A13" w:rsidRDefault="00E36E2E" w:rsidP="004B4A60">
      <w:pPr>
        <w:rPr>
          <w:b/>
          <w:u w:val="single"/>
          <w:lang w:val="es-ES_tradnl"/>
        </w:rPr>
      </w:pPr>
    </w:p>
    <w:p w14:paraId="5364824B" w14:textId="77777777" w:rsidR="002F0A13" w:rsidRDefault="00E36E2E" w:rsidP="004B4A60">
      <w:pPr>
        <w:rPr>
          <w:b/>
          <w:u w:val="single"/>
          <w:lang w:val="es-ES_tradnl"/>
        </w:rPr>
      </w:pPr>
    </w:p>
    <w:p w14:paraId="51E758CD" w14:textId="77777777" w:rsidR="002F0A13" w:rsidRDefault="00E36E2E" w:rsidP="004B4A60">
      <w:pPr>
        <w:rPr>
          <w:b/>
          <w:u w:val="single"/>
          <w:lang w:val="es-ES_tradnl"/>
        </w:rPr>
      </w:pPr>
    </w:p>
    <w:p w14:paraId="33469D58" w14:textId="77777777" w:rsidR="00C26F2D" w:rsidRDefault="00E36E2E" w:rsidP="004B4A60">
      <w:pPr>
        <w:rPr>
          <w:b/>
          <w:u w:val="single"/>
          <w:lang w:val="es-ES_tradnl"/>
        </w:rPr>
      </w:pPr>
    </w:p>
    <w:p w14:paraId="370F0FE3" w14:textId="77777777" w:rsidR="004B4A60" w:rsidRPr="0057246E" w:rsidRDefault="00E91722" w:rsidP="001B789F">
      <w:pPr>
        <w:pStyle w:val="ATSTitle"/>
      </w:pPr>
      <w:bookmarkStart w:id="0" w:name="name"/>
      <w:r>
        <w:t>The Act on the Promotion of Polar Activities of the Republic of Korea</w:t>
      </w:r>
      <w:bookmarkEnd w:id="0"/>
    </w:p>
    <w:p w14:paraId="57E145EA" w14:textId="77777777" w:rsidR="004B4A60" w:rsidRPr="0057246E" w:rsidRDefault="00E36E2E" w:rsidP="00F75424">
      <w:pPr>
        <w:jc w:val="center"/>
      </w:pPr>
    </w:p>
    <w:p w14:paraId="784402AA" w14:textId="77777777" w:rsidR="004B4A60" w:rsidRPr="002F0A13" w:rsidRDefault="00E36E2E" w:rsidP="002F0A13"/>
    <w:p w14:paraId="642719BC" w14:textId="77777777" w:rsidR="004B4A60" w:rsidRDefault="00E36E2E" w:rsidP="00F75424">
      <w:pPr>
        <w:jc w:val="center"/>
      </w:pPr>
      <w:bookmarkStart w:id="1" w:name="memo"/>
      <w:bookmarkEnd w:id="1"/>
    </w:p>
    <w:p w14:paraId="4B132361" w14:textId="77777777" w:rsidR="0097629D" w:rsidRDefault="00E36E2E" w:rsidP="00F75424">
      <w:pPr>
        <w:jc w:val="center"/>
      </w:pPr>
    </w:p>
    <w:p w14:paraId="38411129" w14:textId="77777777" w:rsidR="0097629D" w:rsidRDefault="00E36E2E" w:rsidP="00F75424">
      <w:pPr>
        <w:jc w:val="center"/>
      </w:pPr>
    </w:p>
    <w:p w14:paraId="333C3254" w14:textId="77777777" w:rsidR="0097629D" w:rsidRDefault="00E36E2E" w:rsidP="00F75424">
      <w:pPr>
        <w:jc w:val="center"/>
      </w:pPr>
    </w:p>
    <w:p w14:paraId="27639197" w14:textId="77777777" w:rsidR="0097629D" w:rsidRPr="00C26F2D" w:rsidRDefault="00E36E2E" w:rsidP="00F75424">
      <w:pPr>
        <w:jc w:val="center"/>
      </w:pPr>
    </w:p>
    <w:p w14:paraId="31D515DD" w14:textId="77777777" w:rsidR="004B4A60" w:rsidRPr="0057246E" w:rsidRDefault="00E36E2E" w:rsidP="004B4A60"/>
    <w:p w14:paraId="56B4881D" w14:textId="77777777" w:rsidR="00C26F2D" w:rsidRDefault="00E36E2E"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66D6AFA7" w14:textId="6CECDE23" w:rsidR="004B4A60" w:rsidRDefault="00E36E2E" w:rsidP="00952E9F"/>
    <w:p w14:paraId="0149B095" w14:textId="77777777" w:rsidR="00E91722" w:rsidRPr="00E91722" w:rsidRDefault="00E91722" w:rsidP="00E91722">
      <w:pPr>
        <w:autoSpaceDE w:val="0"/>
        <w:autoSpaceDN w:val="0"/>
        <w:adjustRightInd w:val="0"/>
        <w:jc w:val="center"/>
        <w:rPr>
          <w:rFonts w:ascii="Arial" w:eastAsiaTheme="minorEastAsia" w:hAnsi="Arial" w:cs="Arial"/>
          <w:b/>
          <w:sz w:val="32"/>
          <w:szCs w:val="32"/>
          <w:lang w:eastAsia="ko-KR"/>
        </w:rPr>
      </w:pPr>
      <w:r w:rsidRPr="00E91722">
        <w:rPr>
          <w:rFonts w:ascii="Arial" w:hAnsi="Arial" w:cs="Arial"/>
          <w:b/>
          <w:sz w:val="32"/>
          <w:lang w:val="en-US" w:eastAsia="ko-KR"/>
        </w:rPr>
        <w:t xml:space="preserve">The Act on the </w:t>
      </w:r>
      <w:r w:rsidRPr="00E91722">
        <w:rPr>
          <w:rFonts w:ascii="Arial" w:eastAsiaTheme="minorEastAsia" w:hAnsi="Arial" w:cs="Arial"/>
          <w:b/>
          <w:sz w:val="32"/>
          <w:lang w:val="en-US" w:eastAsia="ko-KR"/>
        </w:rPr>
        <w:t>Promotion of Polar Activities of the Republic of Korea</w:t>
      </w:r>
    </w:p>
    <w:p w14:paraId="0307E627" w14:textId="77777777" w:rsidR="00E91722" w:rsidRPr="00E91722" w:rsidRDefault="00E91722" w:rsidP="00E91722">
      <w:pPr>
        <w:spacing w:before="240" w:after="60"/>
        <w:jc w:val="center"/>
        <w:rPr>
          <w:rFonts w:eastAsia="Malgun Gothic"/>
          <w:b/>
        </w:rPr>
      </w:pPr>
      <w:r w:rsidRPr="00E91722">
        <w:rPr>
          <w:rFonts w:eastAsia="Malgun Gothic"/>
          <w:b/>
        </w:rPr>
        <w:t>Information Paper submitted by the Republic of Korea</w:t>
      </w:r>
    </w:p>
    <w:p w14:paraId="6115051D" w14:textId="77777777" w:rsidR="00E91722" w:rsidRPr="00E91722" w:rsidRDefault="00E91722" w:rsidP="00E91722">
      <w:pPr>
        <w:autoSpaceDE w:val="0"/>
        <w:autoSpaceDN w:val="0"/>
        <w:adjustRightInd w:val="0"/>
        <w:jc w:val="center"/>
        <w:rPr>
          <w:rFonts w:ascii="Arial" w:eastAsiaTheme="minorEastAsia" w:hAnsi="Arial" w:cs="Arial"/>
          <w:sz w:val="32"/>
          <w:lang w:eastAsia="ko-KR"/>
        </w:rPr>
      </w:pPr>
    </w:p>
    <w:p w14:paraId="7E720F8B" w14:textId="77777777" w:rsidR="00E91722" w:rsidRPr="00E91722" w:rsidRDefault="00E91722" w:rsidP="00E91722">
      <w:pPr>
        <w:spacing w:before="480" w:after="120"/>
        <w:rPr>
          <w:rFonts w:ascii="Arial" w:eastAsia="Malgun Gothic" w:hAnsi="Arial" w:cs="Arial"/>
          <w:b/>
          <w:i/>
          <w:sz w:val="24"/>
          <w:lang w:eastAsia="ko-KR"/>
        </w:rPr>
      </w:pPr>
      <w:r w:rsidRPr="00E91722">
        <w:rPr>
          <w:rFonts w:ascii="Arial" w:eastAsia="Malgun Gothic" w:hAnsi="Arial" w:cs="Arial"/>
          <w:b/>
          <w:i/>
          <w:sz w:val="24"/>
          <w:lang w:eastAsia="ko-KR"/>
        </w:rPr>
        <w:t xml:space="preserve">Background </w:t>
      </w:r>
    </w:p>
    <w:p w14:paraId="78CB4F90" w14:textId="77777777" w:rsidR="00E91722" w:rsidRPr="00E91722" w:rsidRDefault="00E91722" w:rsidP="00E91722">
      <w:pPr>
        <w:spacing w:before="120" w:after="120"/>
        <w:rPr>
          <w:rFonts w:eastAsia="Malgun Gothic"/>
          <w:lang w:eastAsia="ko-KR"/>
        </w:rPr>
      </w:pPr>
      <w:r w:rsidRPr="00E91722">
        <w:rPr>
          <w:rFonts w:eastAsia="Malgun Gothic"/>
          <w:lang w:eastAsia="ko-KR"/>
        </w:rPr>
        <w:t xml:space="preserve">In April 2021, the government of the Republic of Korea enacted the Act on the Promotion of Polar Activities (hereinafter referred to as the ‘Polar Act’). The purpose of this Act is to promote the activities of the Korean Polar Program in the Arctic and Antarctic, and to increase Korea’s contribution towards addressing the global challenges faced by humanity, such as climate change. </w:t>
      </w:r>
    </w:p>
    <w:p w14:paraId="2AB8421F" w14:textId="77777777" w:rsidR="00E91722" w:rsidRPr="00E91722" w:rsidRDefault="00E91722" w:rsidP="00E91722">
      <w:pPr>
        <w:spacing w:before="120" w:after="120"/>
        <w:rPr>
          <w:rFonts w:eastAsia="Malgun Gothic"/>
          <w:lang w:eastAsia="ko-KR"/>
        </w:rPr>
      </w:pPr>
      <w:r w:rsidRPr="00E91722">
        <w:rPr>
          <w:rFonts w:eastAsia="Malgun Gothic"/>
          <w:lang w:eastAsia="ko-KR"/>
        </w:rPr>
        <w:t>The Polar Act is based on the basic principle that the polar regions shall exist for the common good of humanity and all activities shall be carried out while recognizing the importance of environmental conservation. The Act is also grounded in the understanding that it is the obligation of each Consultative Parties to cooperate and establish Antarctica as a region of peace under the Antarctic Treaty system.</w:t>
      </w:r>
    </w:p>
    <w:p w14:paraId="79CD6E02" w14:textId="77777777" w:rsidR="00E91722" w:rsidRPr="00E91722" w:rsidRDefault="00E91722" w:rsidP="00E91722">
      <w:pPr>
        <w:spacing w:before="120" w:after="120"/>
        <w:rPr>
          <w:rFonts w:eastAsia="Malgun Gothic"/>
          <w:lang w:eastAsia="ko-KR"/>
        </w:rPr>
      </w:pPr>
      <w:r w:rsidRPr="00E91722">
        <w:rPr>
          <w:rFonts w:eastAsia="Malgun Gothic"/>
          <w:lang w:eastAsia="ko-KR"/>
        </w:rPr>
        <w:t xml:space="preserve">The Polar Act is a new development that is distinguishable from the existing ‘Act on Antarctic Activities and Antarctic Environmental Protection’ (hereinafter referred to as the ‘Antarctic Act’), which is a legislation that contains the commitment to the protection of the Antarctic environment and regulations to implement the provisions. The Polar Act was enacted to facilitate and promote Korea’s polar activities and build competencies in research and development (R&amp;D), operation and safe management of polar infrastructure, and environmental protection in the polar regions. The ‘Polar Act’ also aims to support activities such as education and training, economic cooperation in the Arctic, international cooperation and outreach. </w:t>
      </w:r>
    </w:p>
    <w:tbl>
      <w:tblPr>
        <w:tblpPr w:leftFromText="142" w:rightFromText="142" w:vertAnchor="text" w:horzAnchor="margin" w:tblpY="125"/>
        <w:tblW w:w="0" w:type="auto"/>
        <w:tblLook w:val="0000" w:firstRow="0" w:lastRow="0" w:firstColumn="0" w:lastColumn="0" w:noHBand="0" w:noVBand="0"/>
      </w:tblPr>
      <w:tblGrid>
        <w:gridCol w:w="1267"/>
        <w:gridCol w:w="3631"/>
        <w:gridCol w:w="3597"/>
      </w:tblGrid>
      <w:tr w:rsidR="00E91722" w:rsidRPr="00E91722" w14:paraId="649DF418" w14:textId="77777777" w:rsidTr="00005596">
        <w:tc>
          <w:tcPr>
            <w:tcW w:w="12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023F42" w14:textId="77777777" w:rsidR="00E91722" w:rsidRPr="00E91722" w:rsidRDefault="00E91722" w:rsidP="00E91722">
            <w:pPr>
              <w:rPr>
                <w:rFonts w:eastAsiaTheme="minorEastAsia"/>
                <w:sz w:val="20"/>
                <w:lang w:eastAsia="en-GB"/>
              </w:rPr>
            </w:pPr>
          </w:p>
        </w:tc>
        <w:tc>
          <w:tcPr>
            <w:tcW w:w="4179" w:type="dxa"/>
            <w:tcBorders>
              <w:top w:val="single" w:sz="4" w:space="0" w:color="auto"/>
              <w:left w:val="single" w:sz="4" w:space="0" w:color="auto"/>
              <w:bottom w:val="single" w:sz="4" w:space="0" w:color="auto"/>
              <w:right w:val="single" w:sz="4" w:space="0" w:color="auto"/>
            </w:tcBorders>
          </w:tcPr>
          <w:p w14:paraId="46419C9F" w14:textId="77777777" w:rsidR="00E91722" w:rsidRPr="00E91722" w:rsidRDefault="00E91722" w:rsidP="00E91722">
            <w:pPr>
              <w:jc w:val="center"/>
              <w:rPr>
                <w:rFonts w:eastAsiaTheme="minorEastAsia"/>
                <w:b/>
                <w:sz w:val="20"/>
                <w:lang w:eastAsia="en-GB"/>
              </w:rPr>
            </w:pPr>
            <w:r w:rsidRPr="00E91722">
              <w:rPr>
                <w:rFonts w:eastAsiaTheme="minorEastAsia"/>
                <w:b/>
                <w:sz w:val="20"/>
                <w:lang w:eastAsia="en-GB"/>
              </w:rPr>
              <w:t>Act on Activities in the Antarctic Area and the Protection of Antarctic Environment</w:t>
            </w:r>
            <w:r w:rsidRPr="00E91722">
              <w:rPr>
                <w:rFonts w:eastAsiaTheme="minorEastAsia"/>
                <w:b/>
                <w:sz w:val="20"/>
                <w:lang w:eastAsia="ko-KR"/>
              </w:rPr>
              <w:t xml:space="preserve"> </w:t>
            </w:r>
            <w:r w:rsidRPr="00E91722">
              <w:rPr>
                <w:rFonts w:eastAsiaTheme="minorEastAsia"/>
                <w:b/>
                <w:sz w:val="20"/>
                <w:lang w:eastAsia="en-GB"/>
              </w:rPr>
              <w:t>(Antarctic Act)</w:t>
            </w:r>
          </w:p>
        </w:tc>
        <w:tc>
          <w:tcPr>
            <w:tcW w:w="41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224AD7" w14:textId="77777777" w:rsidR="00E91722" w:rsidRPr="00E91722" w:rsidRDefault="00E91722" w:rsidP="00E91722">
            <w:pPr>
              <w:jc w:val="center"/>
              <w:rPr>
                <w:rFonts w:eastAsiaTheme="minorEastAsia"/>
                <w:b/>
                <w:sz w:val="20"/>
                <w:lang w:eastAsia="en-GB"/>
              </w:rPr>
            </w:pPr>
            <w:r w:rsidRPr="00E91722">
              <w:rPr>
                <w:rFonts w:eastAsiaTheme="minorEastAsia"/>
                <w:b/>
                <w:sz w:val="20"/>
                <w:lang w:eastAsia="en-GB"/>
              </w:rPr>
              <w:t>Act on Promotion of Polar Activities in the Polar Regions (Polar Act)</w:t>
            </w:r>
          </w:p>
        </w:tc>
      </w:tr>
      <w:tr w:rsidR="00E91722" w:rsidRPr="00E91722" w14:paraId="06F08403" w14:textId="77777777" w:rsidTr="00005596">
        <w:tc>
          <w:tcPr>
            <w:tcW w:w="12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AA1C54" w14:textId="77777777" w:rsidR="00E91722" w:rsidRPr="00E91722" w:rsidRDefault="00E91722" w:rsidP="00E91722">
            <w:pPr>
              <w:rPr>
                <w:rFonts w:eastAsiaTheme="minorEastAsia"/>
                <w:b/>
                <w:sz w:val="20"/>
                <w:lang w:eastAsia="en-GB"/>
              </w:rPr>
            </w:pPr>
            <w:r w:rsidRPr="00E91722">
              <w:rPr>
                <w:rFonts w:eastAsiaTheme="minorEastAsia"/>
                <w:b/>
                <w:sz w:val="20"/>
                <w:lang w:eastAsia="en-GB"/>
              </w:rPr>
              <w:t>Nature</w:t>
            </w:r>
          </w:p>
        </w:tc>
        <w:tc>
          <w:tcPr>
            <w:tcW w:w="4179" w:type="dxa"/>
            <w:tcBorders>
              <w:top w:val="single" w:sz="4" w:space="0" w:color="auto"/>
              <w:left w:val="single" w:sz="4" w:space="0" w:color="auto"/>
              <w:bottom w:val="single" w:sz="4" w:space="0" w:color="auto"/>
              <w:right w:val="single" w:sz="4" w:space="0" w:color="auto"/>
            </w:tcBorders>
          </w:tcPr>
          <w:p w14:paraId="0B0D93AB" w14:textId="77777777" w:rsidR="00E91722" w:rsidRPr="00E91722" w:rsidRDefault="00E91722" w:rsidP="00E91722">
            <w:pPr>
              <w:rPr>
                <w:rFonts w:eastAsiaTheme="minorEastAsia"/>
                <w:sz w:val="20"/>
                <w:lang w:eastAsia="en-GB"/>
              </w:rPr>
            </w:pPr>
            <w:r w:rsidRPr="00E91722">
              <w:rPr>
                <w:rFonts w:eastAsiaTheme="minorEastAsia"/>
                <w:sz w:val="20"/>
                <w:lang w:eastAsia="en-GB"/>
              </w:rPr>
              <w:t>Restriction on and permission of activities in Antarctica</w:t>
            </w:r>
          </w:p>
        </w:tc>
        <w:tc>
          <w:tcPr>
            <w:tcW w:w="41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E6AFBC" w14:textId="77777777" w:rsidR="00E91722" w:rsidRPr="00E91722" w:rsidRDefault="00E91722" w:rsidP="00E91722">
            <w:pPr>
              <w:rPr>
                <w:rFonts w:eastAsiaTheme="minorEastAsia"/>
                <w:sz w:val="20"/>
                <w:lang w:eastAsia="en-GB"/>
              </w:rPr>
            </w:pPr>
            <w:r w:rsidRPr="00E91722">
              <w:rPr>
                <w:rFonts w:eastAsiaTheme="minorEastAsia"/>
                <w:sz w:val="20"/>
                <w:lang w:eastAsia="en-GB"/>
              </w:rPr>
              <w:t xml:space="preserve">Systematic support for and promotion of Activities in the Arctic and Antarctica </w:t>
            </w:r>
          </w:p>
        </w:tc>
      </w:tr>
      <w:tr w:rsidR="00E91722" w:rsidRPr="00E91722" w14:paraId="49112B37" w14:textId="77777777" w:rsidTr="00005596">
        <w:tc>
          <w:tcPr>
            <w:tcW w:w="12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0509DB" w14:textId="77777777" w:rsidR="00E91722" w:rsidRPr="00E91722" w:rsidRDefault="00E91722" w:rsidP="00E91722">
            <w:pPr>
              <w:rPr>
                <w:rFonts w:eastAsiaTheme="minorEastAsia"/>
                <w:b/>
                <w:sz w:val="20"/>
                <w:lang w:eastAsia="en-GB"/>
              </w:rPr>
            </w:pPr>
            <w:r w:rsidRPr="00E91722">
              <w:rPr>
                <w:rFonts w:eastAsiaTheme="minorEastAsia"/>
                <w:b/>
                <w:sz w:val="20"/>
                <w:lang w:eastAsia="en-GB"/>
              </w:rPr>
              <w:t>Significance</w:t>
            </w:r>
          </w:p>
        </w:tc>
        <w:tc>
          <w:tcPr>
            <w:tcW w:w="4179" w:type="dxa"/>
            <w:tcBorders>
              <w:top w:val="single" w:sz="4" w:space="0" w:color="auto"/>
              <w:left w:val="single" w:sz="4" w:space="0" w:color="auto"/>
              <w:bottom w:val="single" w:sz="4" w:space="0" w:color="auto"/>
              <w:right w:val="single" w:sz="4" w:space="0" w:color="auto"/>
            </w:tcBorders>
          </w:tcPr>
          <w:p w14:paraId="6057FB30" w14:textId="77777777" w:rsidR="00E91722" w:rsidRPr="00E91722" w:rsidRDefault="00E91722" w:rsidP="00E91722">
            <w:pPr>
              <w:rPr>
                <w:rFonts w:eastAsiaTheme="minorEastAsia"/>
                <w:sz w:val="20"/>
                <w:lang w:eastAsia="en-GB"/>
              </w:rPr>
            </w:pPr>
            <w:r w:rsidRPr="00E91722">
              <w:rPr>
                <w:rFonts w:eastAsiaTheme="minorEastAsia"/>
                <w:sz w:val="20"/>
                <w:lang w:eastAsia="en-GB"/>
              </w:rPr>
              <w:t>Domestic legislation to support the international law; A law enacted for domestic implementation of the Antarctic Treaty</w:t>
            </w:r>
          </w:p>
        </w:tc>
        <w:tc>
          <w:tcPr>
            <w:tcW w:w="41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4C381B" w14:textId="77777777" w:rsidR="00E91722" w:rsidRPr="00E91722" w:rsidRDefault="00E91722" w:rsidP="00E91722">
            <w:pPr>
              <w:rPr>
                <w:rFonts w:eastAsiaTheme="minorEastAsia"/>
                <w:sz w:val="20"/>
                <w:lang w:eastAsia="en-GB"/>
              </w:rPr>
            </w:pPr>
            <w:r w:rsidRPr="00E91722">
              <w:rPr>
                <w:rFonts w:eastAsiaTheme="minorEastAsia"/>
                <w:sz w:val="20"/>
                <w:lang w:eastAsia="en-GB"/>
              </w:rPr>
              <w:t>Globalization of domestic policies; provide systemic support for activities in the Polar regions</w:t>
            </w:r>
          </w:p>
        </w:tc>
      </w:tr>
      <w:tr w:rsidR="00E91722" w:rsidRPr="00E91722" w14:paraId="70667872" w14:textId="77777777" w:rsidTr="00005596">
        <w:tc>
          <w:tcPr>
            <w:tcW w:w="12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B3BACB" w14:textId="77777777" w:rsidR="00E91722" w:rsidRPr="00E91722" w:rsidRDefault="00E91722" w:rsidP="00E91722">
            <w:pPr>
              <w:rPr>
                <w:rFonts w:eastAsiaTheme="minorEastAsia"/>
                <w:b/>
                <w:sz w:val="20"/>
                <w:lang w:eastAsia="en-GB"/>
              </w:rPr>
            </w:pPr>
            <w:r w:rsidRPr="00E91722">
              <w:rPr>
                <w:rFonts w:eastAsiaTheme="minorEastAsia"/>
                <w:b/>
                <w:sz w:val="20"/>
                <w:lang w:eastAsia="en-GB"/>
              </w:rPr>
              <w:t>Objective</w:t>
            </w:r>
          </w:p>
        </w:tc>
        <w:tc>
          <w:tcPr>
            <w:tcW w:w="4179" w:type="dxa"/>
            <w:tcBorders>
              <w:top w:val="single" w:sz="4" w:space="0" w:color="auto"/>
              <w:left w:val="single" w:sz="4" w:space="0" w:color="auto"/>
              <w:bottom w:val="single" w:sz="4" w:space="0" w:color="auto"/>
              <w:right w:val="single" w:sz="4" w:space="0" w:color="auto"/>
            </w:tcBorders>
          </w:tcPr>
          <w:p w14:paraId="3411C11C" w14:textId="77777777" w:rsidR="00E91722" w:rsidRPr="00E91722" w:rsidRDefault="00E91722" w:rsidP="00E91722">
            <w:pPr>
              <w:rPr>
                <w:rFonts w:eastAsiaTheme="minorEastAsia"/>
                <w:sz w:val="20"/>
                <w:lang w:eastAsia="en-GB"/>
              </w:rPr>
            </w:pPr>
            <w:r w:rsidRPr="00E91722">
              <w:rPr>
                <w:rFonts w:eastAsiaTheme="minorEastAsia"/>
                <w:sz w:val="20"/>
                <w:lang w:eastAsia="en-GB"/>
              </w:rPr>
              <w:t>Peaceful use and environmental protection of the Antarctic</w:t>
            </w:r>
          </w:p>
        </w:tc>
        <w:tc>
          <w:tcPr>
            <w:tcW w:w="41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2A0DF7" w14:textId="77777777" w:rsidR="00E91722" w:rsidRPr="00E91722" w:rsidRDefault="00E91722" w:rsidP="00E91722">
            <w:pPr>
              <w:rPr>
                <w:rFonts w:eastAsiaTheme="minorEastAsia"/>
                <w:sz w:val="20"/>
                <w:lang w:eastAsia="en-GB"/>
              </w:rPr>
            </w:pPr>
            <w:r w:rsidRPr="00E91722">
              <w:rPr>
                <w:rFonts w:eastAsiaTheme="minorEastAsia"/>
                <w:sz w:val="20"/>
                <w:lang w:eastAsia="en-GB"/>
              </w:rPr>
              <w:t>Sustainable development of the polar regions, environment protection, support for and systemic promotion activities in the polar regions</w:t>
            </w:r>
          </w:p>
        </w:tc>
      </w:tr>
      <w:tr w:rsidR="00E91722" w:rsidRPr="00E91722" w14:paraId="0D57C78F" w14:textId="77777777" w:rsidTr="00005596">
        <w:tc>
          <w:tcPr>
            <w:tcW w:w="12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27A4B4" w14:textId="77777777" w:rsidR="00E91722" w:rsidRPr="00E91722" w:rsidRDefault="00E91722" w:rsidP="00E91722">
            <w:pPr>
              <w:rPr>
                <w:rFonts w:eastAsiaTheme="minorEastAsia"/>
                <w:b/>
                <w:sz w:val="20"/>
                <w:lang w:eastAsia="en-GB"/>
              </w:rPr>
            </w:pPr>
            <w:r w:rsidRPr="00E91722">
              <w:rPr>
                <w:rFonts w:eastAsiaTheme="minorEastAsia"/>
                <w:b/>
                <w:sz w:val="20"/>
                <w:lang w:eastAsia="en-GB"/>
              </w:rPr>
              <w:t>Scope</w:t>
            </w:r>
          </w:p>
        </w:tc>
        <w:tc>
          <w:tcPr>
            <w:tcW w:w="4179" w:type="dxa"/>
            <w:tcBorders>
              <w:top w:val="single" w:sz="4" w:space="0" w:color="auto"/>
              <w:left w:val="single" w:sz="4" w:space="0" w:color="auto"/>
              <w:bottom w:val="single" w:sz="4" w:space="0" w:color="auto"/>
              <w:right w:val="single" w:sz="4" w:space="0" w:color="auto"/>
            </w:tcBorders>
          </w:tcPr>
          <w:p w14:paraId="59E64775" w14:textId="77777777" w:rsidR="00E91722" w:rsidRPr="00E91722" w:rsidRDefault="00E91722" w:rsidP="00E91722">
            <w:pPr>
              <w:rPr>
                <w:rFonts w:eastAsiaTheme="minorEastAsia"/>
                <w:sz w:val="20"/>
                <w:lang w:eastAsia="en-GB"/>
              </w:rPr>
            </w:pPr>
            <w:r w:rsidRPr="00E91722">
              <w:rPr>
                <w:rFonts w:eastAsiaTheme="minorEastAsia"/>
                <w:sz w:val="20"/>
                <w:lang w:eastAsia="en-GB"/>
              </w:rPr>
              <w:t>Activities in the Antarctic such as scientific research and environmental management</w:t>
            </w:r>
          </w:p>
        </w:tc>
        <w:tc>
          <w:tcPr>
            <w:tcW w:w="41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504AF0" w14:textId="77777777" w:rsidR="00E91722" w:rsidRPr="00E91722" w:rsidRDefault="00E91722" w:rsidP="00E91722">
            <w:pPr>
              <w:rPr>
                <w:rFonts w:eastAsiaTheme="minorEastAsia"/>
                <w:sz w:val="20"/>
                <w:lang w:eastAsia="en-GB"/>
              </w:rPr>
            </w:pPr>
            <w:r w:rsidRPr="00E91722">
              <w:rPr>
                <w:rFonts w:eastAsiaTheme="minorEastAsia"/>
                <w:sz w:val="20"/>
                <w:lang w:eastAsia="en-GB"/>
              </w:rPr>
              <w:t>Activities in both the Arctic and Antarctic</w:t>
            </w:r>
          </w:p>
        </w:tc>
      </w:tr>
    </w:tbl>
    <w:p w14:paraId="7B8F81DA" w14:textId="77777777" w:rsidR="00E91722" w:rsidRPr="00E91722" w:rsidRDefault="00E91722" w:rsidP="00E91722">
      <w:pPr>
        <w:spacing w:before="120" w:after="120"/>
        <w:rPr>
          <w:rFonts w:eastAsiaTheme="minorEastAsia"/>
          <w:lang w:eastAsia="zh-CN"/>
        </w:rPr>
      </w:pPr>
      <w:r w:rsidRPr="00E91722">
        <w:rPr>
          <w:rFonts w:eastAsiaTheme="minorEastAsia"/>
          <w:lang w:eastAsia="zh-CN"/>
        </w:rPr>
        <w:t>Table 1 – Comparison of the Antarctic Act and the Polar Act</w:t>
      </w:r>
    </w:p>
    <w:p w14:paraId="4B757E48" w14:textId="77777777" w:rsidR="00E91722" w:rsidRPr="00E91722" w:rsidRDefault="00E91722" w:rsidP="00E91722">
      <w:pPr>
        <w:spacing w:before="120" w:after="120"/>
        <w:rPr>
          <w:rFonts w:eastAsiaTheme="minorEastAsia"/>
          <w:lang w:eastAsia="zh-CN"/>
        </w:rPr>
      </w:pPr>
      <w:r w:rsidRPr="00E91722">
        <w:rPr>
          <w:rFonts w:eastAsiaTheme="minorEastAsia"/>
          <w:lang w:eastAsia="zh-CN"/>
        </w:rPr>
        <w:t xml:space="preserve">The Korean government plans to introduce the ‘Basic Plan for the Promotion of Polar Activities’ every five years from 2023, based on the Polar Act, in order to present a more detailed direction on how the objectives of the Act will be met. </w:t>
      </w:r>
    </w:p>
    <w:p w14:paraId="757A742F" w14:textId="77777777" w:rsidR="00E91722" w:rsidRPr="00E91722" w:rsidRDefault="00E91722" w:rsidP="00E91722">
      <w:pPr>
        <w:spacing w:before="480" w:after="120"/>
        <w:rPr>
          <w:rFonts w:ascii="Arial" w:eastAsia="Malgun Gothic" w:hAnsi="Arial" w:cs="Arial"/>
          <w:b/>
          <w:i/>
          <w:sz w:val="24"/>
          <w:lang w:eastAsia="ko-KR"/>
        </w:rPr>
      </w:pPr>
      <w:r w:rsidRPr="00E91722">
        <w:rPr>
          <w:rFonts w:ascii="Arial" w:eastAsia="Malgun Gothic" w:hAnsi="Arial" w:cs="Arial"/>
          <w:b/>
          <w:i/>
          <w:sz w:val="24"/>
          <w:lang w:eastAsia="ko-KR"/>
        </w:rPr>
        <w:t>Key Provisions</w:t>
      </w:r>
    </w:p>
    <w:p w14:paraId="75C81BB8" w14:textId="77777777" w:rsidR="00E91722" w:rsidRPr="00E91722" w:rsidRDefault="00E91722" w:rsidP="00E91722">
      <w:pPr>
        <w:spacing w:before="120" w:after="120"/>
        <w:rPr>
          <w:rFonts w:eastAsiaTheme="minorEastAsia"/>
          <w:lang w:eastAsia="zh-CN"/>
        </w:rPr>
      </w:pPr>
      <w:r w:rsidRPr="00E91722">
        <w:rPr>
          <w:rFonts w:eastAsiaTheme="minorEastAsia"/>
          <w:lang w:eastAsia="zh-CN"/>
        </w:rPr>
        <w:t xml:space="preserve">The Polar Act encourages activities related to the polar regions and developing government policies for supporting Korea’s polar activities. The aim of the Act was to develop a system for </w:t>
      </w:r>
      <w:r w:rsidRPr="00E91722">
        <w:rPr>
          <w:rFonts w:eastAsiaTheme="minorEastAsia"/>
          <w:lang w:eastAsia="zh-CN"/>
        </w:rPr>
        <w:lastRenderedPageBreak/>
        <w:t xml:space="preserve">comprehensive support. The Articles of the Polar Act contains provisions that would serve as a foundation for support and related to research and development (Article 8), training of human resources with an expertise in the polar region (Article 9), promotion of economic cooperation in the Arctic (Article 10), facilitation of international cooperation (Article 12), and education and outreach (Article 15). </w:t>
      </w:r>
    </w:p>
    <w:p w14:paraId="18DC4A5F" w14:textId="77777777" w:rsidR="00E91722" w:rsidRPr="00E91722" w:rsidRDefault="00E91722" w:rsidP="00E91722">
      <w:pPr>
        <w:spacing w:before="120" w:after="120"/>
        <w:rPr>
          <w:rFonts w:eastAsiaTheme="minorEastAsia"/>
          <w:lang w:eastAsia="zh-CN"/>
        </w:rPr>
      </w:pPr>
      <w:r w:rsidRPr="00E91722">
        <w:rPr>
          <w:rFonts w:eastAsiaTheme="minorEastAsia"/>
          <w:lang w:eastAsia="zh-CN"/>
        </w:rPr>
        <w:t xml:space="preserve">In addition, the enactment of the Polar Act provides a legal framework for universities, research institutes, and businesses in Korea to utilize Korean polar research infrastructure, namely research stations in Antarctica and icebreaking research vessels more efficiently (Article 6). </w:t>
      </w:r>
    </w:p>
    <w:p w14:paraId="561DE0F9" w14:textId="77777777" w:rsidR="00E91722" w:rsidRPr="00E91722" w:rsidRDefault="00E91722" w:rsidP="00E91722">
      <w:pPr>
        <w:spacing w:before="120" w:after="120"/>
        <w:rPr>
          <w:rFonts w:eastAsiaTheme="minorEastAsia"/>
          <w:lang w:eastAsia="zh-CN"/>
        </w:rPr>
      </w:pPr>
      <w:r w:rsidRPr="00E91722">
        <w:rPr>
          <w:rFonts w:eastAsiaTheme="minorEastAsia"/>
          <w:lang w:eastAsia="zh-CN"/>
        </w:rPr>
        <w:t xml:space="preserve">In order to fulfill the goal of the Polar Act, the Korean government plans to produce ‘Basic Plan for the promotion of polar activities’ with a view to developing detailed plans for policies suggested by the Polar Act. It will contain the following: to stimulate investment, establish the ‘Integrated Polar Information System’ to systematize the collection and management of the data observed in the polar regions, and to set ‘Safety Management Guidelines’ for infrastructure management to enhance operational safety. </w:t>
      </w:r>
    </w:p>
    <w:p w14:paraId="534C8EB7" w14:textId="77777777" w:rsidR="00E91722" w:rsidRPr="00E91722" w:rsidRDefault="00E91722" w:rsidP="00E91722">
      <w:pPr>
        <w:spacing w:before="120" w:after="120"/>
        <w:rPr>
          <w:rFonts w:eastAsiaTheme="minorEastAsia"/>
          <w:lang w:eastAsia="zh-CN"/>
        </w:rPr>
      </w:pPr>
      <w:r w:rsidRPr="00E91722">
        <w:rPr>
          <w:rFonts w:eastAsiaTheme="minorEastAsia"/>
          <w:lang w:eastAsia="zh-CN"/>
        </w:rPr>
        <w:t xml:space="preserve">With the enactment of the Polar Act, Korea now has the legal basis for promotion of polar activities, the policy basis for development of the detailed promotion plans on a five-year basis, and supporting system to implement projects such as ‘Integrated Polar Information System’ and ‘Safety Management System.’ </w:t>
      </w:r>
    </w:p>
    <w:p w14:paraId="3B0BEFA7" w14:textId="77777777" w:rsidR="00E91722" w:rsidRPr="00E91722" w:rsidRDefault="00E91722" w:rsidP="00E91722">
      <w:pPr>
        <w:spacing w:before="480" w:after="120"/>
        <w:rPr>
          <w:rFonts w:ascii="Arial" w:eastAsia="Malgun Gothic" w:hAnsi="Arial" w:cs="Arial"/>
          <w:b/>
          <w:i/>
          <w:sz w:val="24"/>
          <w:lang w:eastAsia="ko-KR"/>
        </w:rPr>
      </w:pPr>
      <w:r w:rsidRPr="00E91722">
        <w:rPr>
          <w:rFonts w:ascii="Arial" w:eastAsia="Malgun Gothic" w:hAnsi="Arial" w:cs="Arial"/>
          <w:b/>
          <w:i/>
          <w:sz w:val="24"/>
          <w:lang w:eastAsia="ko-KR"/>
        </w:rPr>
        <w:t>Expected outcomes and Plan for Follow-up Action</w:t>
      </w:r>
    </w:p>
    <w:p w14:paraId="53F5A618" w14:textId="77777777" w:rsidR="00E91722" w:rsidRPr="00E91722" w:rsidRDefault="00E91722" w:rsidP="00E91722">
      <w:pPr>
        <w:spacing w:before="120" w:after="120"/>
        <w:rPr>
          <w:rFonts w:eastAsiaTheme="minorEastAsia"/>
          <w:lang w:eastAsia="zh-CN"/>
        </w:rPr>
      </w:pPr>
      <w:r w:rsidRPr="00E91722">
        <w:rPr>
          <w:rFonts w:eastAsiaTheme="minorEastAsia"/>
          <w:lang w:eastAsia="zh-CN"/>
        </w:rPr>
        <w:t xml:space="preserve">In particular, the Korean government plans to promote the three follow-up actions for the Polar Act. </w:t>
      </w:r>
    </w:p>
    <w:p w14:paraId="11F1CB0D" w14:textId="77777777" w:rsidR="00E91722" w:rsidRPr="00E91722" w:rsidRDefault="00E91722" w:rsidP="00E91722">
      <w:pPr>
        <w:spacing w:before="120" w:after="120"/>
        <w:rPr>
          <w:rFonts w:eastAsiaTheme="minorEastAsia"/>
          <w:lang w:eastAsia="zh-CN"/>
        </w:rPr>
      </w:pPr>
      <w:r w:rsidRPr="00E91722">
        <w:rPr>
          <w:rFonts w:eastAsiaTheme="minorEastAsia"/>
          <w:lang w:eastAsia="zh-CN"/>
        </w:rPr>
        <w:t xml:space="preserve">First, the government will establish the ‘Basic Plan for the Promotion of Polar Activities’ every five years, to present the goals, strategies, and tasks for the Korean polar activities. The first Basic Plan will be applied to the year 2023-2027. Before the Act was in effect, the ‘Basic Plan for the Promotion of Research Activities in Antarctica’ was only pursuant to </w:t>
      </w:r>
      <w:r w:rsidRPr="00E91722">
        <w:rPr>
          <w:rFonts w:eastAsiaTheme="minorEastAsia"/>
          <w:lang w:eastAsia="ko-KR"/>
        </w:rPr>
        <w:t xml:space="preserve">the </w:t>
      </w:r>
      <w:r w:rsidRPr="00E91722">
        <w:rPr>
          <w:rFonts w:eastAsiaTheme="minorEastAsia"/>
          <w:lang w:eastAsia="zh-CN"/>
        </w:rPr>
        <w:t>Antarctic, but the Act will now enable Korea to establish ‘Basic Plan for the Promotion of Polar Activities’, which will be more comprehensive and encompass both poles.</w:t>
      </w:r>
    </w:p>
    <w:p w14:paraId="04076D85" w14:textId="77777777" w:rsidR="00E91722" w:rsidRPr="00E91722" w:rsidRDefault="00E91722" w:rsidP="00E91722">
      <w:pPr>
        <w:spacing w:before="120" w:after="120"/>
        <w:rPr>
          <w:rFonts w:eastAsiaTheme="minorEastAsia"/>
          <w:lang w:eastAsia="zh-CN"/>
        </w:rPr>
      </w:pPr>
      <w:r w:rsidRPr="00E91722">
        <w:rPr>
          <w:rFonts w:eastAsiaTheme="minorEastAsia"/>
          <w:lang w:eastAsia="zh-CN"/>
        </w:rPr>
        <w:t>Second, the government plans to build systems that can practically support the promotion of polar activities such as the ‘Integrated Polar Information System’ and the ‘Safety Management System.’ Currently, the observation data was collected and managed by each research institutions and researchers. The new information system will now be able to gather and manage data, systematize its management by standardization of exchange methods and systematic classification. The integrated data platform will be able to provide improved accessibility and convenience of using the data. In addition, the government plans to build the system for preventing accidents in the polar regions by laying out the ‘Safety Management Guidelines’ for the infrastructure and enhancing the supervision of the infrastructure operators.</w:t>
      </w:r>
    </w:p>
    <w:p w14:paraId="2C0138D8" w14:textId="77777777" w:rsidR="00E91722" w:rsidRPr="00E91722" w:rsidRDefault="00E91722" w:rsidP="00E91722">
      <w:pPr>
        <w:spacing w:before="120" w:after="120"/>
        <w:rPr>
          <w:rFonts w:eastAsiaTheme="minorEastAsia"/>
          <w:lang w:eastAsia="zh-CN"/>
        </w:rPr>
      </w:pPr>
      <w:r w:rsidRPr="00E91722">
        <w:rPr>
          <w:rFonts w:eastAsiaTheme="minorEastAsia"/>
          <w:lang w:eastAsia="zh-CN"/>
        </w:rPr>
        <w:t xml:space="preserve">Third, the Act will establish a cooperative ecosystem where the government, businesses, the academia, and research institutions can jointly conduct research projects more seamlessly. </w:t>
      </w:r>
    </w:p>
    <w:p w14:paraId="45EE92C8" w14:textId="77777777" w:rsidR="00E91722" w:rsidRPr="00E91722" w:rsidRDefault="00E91722" w:rsidP="00E91722">
      <w:pPr>
        <w:spacing w:before="120" w:after="120"/>
        <w:rPr>
          <w:rFonts w:eastAsiaTheme="minorEastAsia"/>
          <w:lang w:eastAsia="zh-CN"/>
        </w:rPr>
      </w:pPr>
      <w:r w:rsidRPr="00E91722">
        <w:rPr>
          <w:rFonts w:eastAsiaTheme="minorEastAsia"/>
          <w:lang w:eastAsia="zh-CN"/>
        </w:rPr>
        <w:t>Lastly, the Act aims to address issues of the polar regions, which consists of Arctic and Antarctic, two regions with significant differences in circumstances and environments in better integrated manners. However, there are room for improved efficiency through harmonization of the policies, especially in infrastructure management, education and outreach, and response to climate change.</w:t>
      </w:r>
    </w:p>
    <w:p w14:paraId="5612E511" w14:textId="77777777" w:rsidR="00E91722" w:rsidRDefault="00E91722" w:rsidP="00952E9F"/>
    <w:sectPr w:rsidR="00E91722"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9994F" w14:textId="77777777" w:rsidR="00CD6164" w:rsidRDefault="00E91722">
      <w:r>
        <w:separator/>
      </w:r>
    </w:p>
  </w:endnote>
  <w:endnote w:type="continuationSeparator" w:id="0">
    <w:p w14:paraId="58924D71" w14:textId="77777777" w:rsidR="00CD6164" w:rsidRDefault="00E91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altName w:val="¸¼Àº °íµñ"/>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B75F4" w14:textId="77777777" w:rsidR="00FA0B9F" w:rsidRDefault="00E91722" w:rsidP="00CF5C82">
    <w:pPr>
      <w:framePr w:wrap="around" w:vAnchor="text" w:hAnchor="margin" w:xAlign="right" w:y="1"/>
    </w:pPr>
    <w:r>
      <w:fldChar w:fldCharType="begin"/>
    </w:r>
    <w:r>
      <w:instrText xml:space="preserve">PAGE  </w:instrText>
    </w:r>
    <w:r w:rsidR="00E36E2E">
      <w:fldChar w:fldCharType="separate"/>
    </w:r>
    <w:r>
      <w:fldChar w:fldCharType="end"/>
    </w:r>
  </w:p>
  <w:p w14:paraId="1088E9FC" w14:textId="77777777" w:rsidR="00FA0B9F" w:rsidRDefault="00E36E2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F9A2" w14:textId="77777777" w:rsidR="00FA0B9F" w:rsidRDefault="00E9172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93CA906" w14:textId="7353B193" w:rsidR="00FA0B9F" w:rsidRDefault="00E36E2E"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8257" w14:textId="77777777" w:rsidR="00E36E2E" w:rsidRDefault="00E36E2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65A2A" w14:textId="77777777" w:rsidR="00E311C9" w:rsidRDefault="00E9172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29DB874" w14:textId="77777777" w:rsidR="00E311C9" w:rsidRDefault="00E36E2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D81D1" w14:textId="77777777" w:rsidR="00CD6164" w:rsidRDefault="00E91722">
      <w:r>
        <w:separator/>
      </w:r>
    </w:p>
  </w:footnote>
  <w:footnote w:type="continuationSeparator" w:id="0">
    <w:p w14:paraId="66C2390F" w14:textId="77777777" w:rsidR="00CD6164" w:rsidRDefault="00E91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EA061" w14:textId="77777777" w:rsidR="00E36E2E" w:rsidRDefault="00E36E2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4F31CC" w14:paraId="67574A84" w14:textId="77777777" w:rsidTr="00490760">
      <w:trPr>
        <w:trHeight w:val="344"/>
        <w:jc w:val="center"/>
      </w:trPr>
      <w:tc>
        <w:tcPr>
          <w:tcW w:w="5495" w:type="dxa"/>
        </w:tcPr>
        <w:p w14:paraId="62878C91" w14:textId="77777777" w:rsidR="00DB7C09" w:rsidRDefault="00E36E2E" w:rsidP="00F968D4"/>
      </w:tc>
      <w:tc>
        <w:tcPr>
          <w:tcW w:w="4253" w:type="dxa"/>
          <w:gridSpan w:val="2"/>
        </w:tcPr>
        <w:p w14:paraId="05287A1C" w14:textId="77777777" w:rsidR="00DB7C09" w:rsidRPr="00BD47E4" w:rsidRDefault="00E91722" w:rsidP="002A07BC">
          <w:pPr>
            <w:jc w:val="right"/>
            <w:rPr>
              <w:b/>
              <w:sz w:val="32"/>
              <w:szCs w:val="32"/>
            </w:rPr>
          </w:pPr>
          <w:bookmarkStart w:id="2" w:name="type"/>
          <w:r w:rsidRPr="00BD47E4">
            <w:rPr>
              <w:b/>
              <w:sz w:val="32"/>
              <w:szCs w:val="32"/>
            </w:rPr>
            <w:t>IP</w:t>
          </w:r>
          <w:bookmarkEnd w:id="2"/>
        </w:p>
      </w:tc>
      <w:tc>
        <w:tcPr>
          <w:tcW w:w="1524" w:type="dxa"/>
          <w:gridSpan w:val="2"/>
        </w:tcPr>
        <w:p w14:paraId="7CE13911" w14:textId="77777777" w:rsidR="00DB7C09" w:rsidRPr="00BD47E4" w:rsidRDefault="00E91722" w:rsidP="00DB7C09">
          <w:pPr>
            <w:rPr>
              <w:b/>
              <w:sz w:val="32"/>
              <w:szCs w:val="32"/>
            </w:rPr>
          </w:pPr>
          <w:bookmarkStart w:id="3" w:name="number"/>
          <w:r w:rsidRPr="00BD47E4">
            <w:rPr>
              <w:b/>
              <w:sz w:val="32"/>
              <w:szCs w:val="32"/>
            </w:rPr>
            <w:t>11</w:t>
          </w:r>
          <w:bookmarkEnd w:id="3"/>
        </w:p>
      </w:tc>
    </w:tr>
    <w:tr w:rsidR="004F31CC" w14:paraId="758CED1F" w14:textId="77777777" w:rsidTr="00490760">
      <w:trPr>
        <w:trHeight w:val="2165"/>
        <w:jc w:val="center"/>
      </w:trPr>
      <w:tc>
        <w:tcPr>
          <w:tcW w:w="5495" w:type="dxa"/>
        </w:tcPr>
        <w:p w14:paraId="1AD2A836" w14:textId="77777777" w:rsidR="00490760" w:rsidRPr="00EE4D48" w:rsidRDefault="00E91722" w:rsidP="002A07BC">
          <w:pPr>
            <w:rPr>
              <w:b/>
              <w:sz w:val="28"/>
              <w:szCs w:val="28"/>
            </w:rPr>
          </w:pPr>
          <w:r>
            <w:rPr>
              <w:noProof/>
            </w:rPr>
            <w:drawing>
              <wp:inline distT="0" distB="0" distL="0" distR="0" wp14:anchorId="33FCD428" wp14:editId="0563E331">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9893"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1E8BD591" w14:textId="77777777" w:rsidR="00490760" w:rsidRPr="00FE5146" w:rsidRDefault="00E91722" w:rsidP="00490760">
          <w:pPr>
            <w:jc w:val="right"/>
            <w:rPr>
              <w:sz w:val="144"/>
              <w:szCs w:val="144"/>
            </w:rPr>
          </w:pPr>
          <w:r w:rsidRPr="00FE5146">
            <w:rPr>
              <w:sz w:val="144"/>
              <w:szCs w:val="144"/>
            </w:rPr>
            <w:t>ENG</w:t>
          </w:r>
        </w:p>
      </w:tc>
    </w:tr>
    <w:tr w:rsidR="004F31CC" w14:paraId="17DF75EC" w14:textId="77777777" w:rsidTr="00BD47E4">
      <w:trPr>
        <w:trHeight w:val="409"/>
        <w:jc w:val="center"/>
      </w:trPr>
      <w:tc>
        <w:tcPr>
          <w:tcW w:w="9039" w:type="dxa"/>
          <w:gridSpan w:val="2"/>
        </w:tcPr>
        <w:p w14:paraId="3A71A91C" w14:textId="77777777" w:rsidR="00BD47E4" w:rsidRDefault="00E91722" w:rsidP="002C30DA">
          <w:pPr>
            <w:jc w:val="right"/>
          </w:pPr>
          <w:r>
            <w:t>Agenda Item:</w:t>
          </w:r>
        </w:p>
      </w:tc>
      <w:tc>
        <w:tcPr>
          <w:tcW w:w="1843" w:type="dxa"/>
          <w:gridSpan w:val="2"/>
        </w:tcPr>
        <w:p w14:paraId="357171E9" w14:textId="3A0EEC7D" w:rsidR="00BD47E4" w:rsidRDefault="00E91722" w:rsidP="002C30DA">
          <w:pPr>
            <w:jc w:val="right"/>
          </w:pPr>
          <w:bookmarkStart w:id="4" w:name="agenda"/>
          <w:r>
            <w:t>ATCM 6</w:t>
          </w:r>
          <w:bookmarkEnd w:id="4"/>
          <w:r w:rsidR="00E36E2E">
            <w:t>b</w:t>
          </w:r>
        </w:p>
      </w:tc>
      <w:tc>
        <w:tcPr>
          <w:tcW w:w="390" w:type="dxa"/>
        </w:tcPr>
        <w:p w14:paraId="5C2BD035" w14:textId="77777777" w:rsidR="00BD47E4" w:rsidRDefault="00E36E2E" w:rsidP="00387A65">
          <w:pPr>
            <w:jc w:val="right"/>
          </w:pPr>
        </w:p>
      </w:tc>
    </w:tr>
    <w:tr w:rsidR="004F31CC" w14:paraId="6F446343" w14:textId="77777777" w:rsidTr="00BD47E4">
      <w:trPr>
        <w:trHeight w:val="397"/>
        <w:jc w:val="center"/>
      </w:trPr>
      <w:tc>
        <w:tcPr>
          <w:tcW w:w="9039" w:type="dxa"/>
          <w:gridSpan w:val="2"/>
        </w:tcPr>
        <w:p w14:paraId="72BB8B17" w14:textId="77777777" w:rsidR="00BD47E4" w:rsidRDefault="00E91722" w:rsidP="002C30DA">
          <w:pPr>
            <w:jc w:val="right"/>
          </w:pPr>
          <w:r>
            <w:t>Presented by:</w:t>
          </w:r>
        </w:p>
      </w:tc>
      <w:tc>
        <w:tcPr>
          <w:tcW w:w="1843" w:type="dxa"/>
          <w:gridSpan w:val="2"/>
        </w:tcPr>
        <w:p w14:paraId="1FD3DF94" w14:textId="77777777" w:rsidR="00BD47E4" w:rsidRDefault="00E91722" w:rsidP="002C30DA">
          <w:pPr>
            <w:jc w:val="right"/>
          </w:pPr>
          <w:bookmarkStart w:id="5" w:name="party"/>
          <w:r>
            <w:t>Korea (ROK)</w:t>
          </w:r>
          <w:bookmarkEnd w:id="5"/>
        </w:p>
      </w:tc>
      <w:tc>
        <w:tcPr>
          <w:tcW w:w="390" w:type="dxa"/>
        </w:tcPr>
        <w:p w14:paraId="1E34EBBD" w14:textId="77777777" w:rsidR="00BD47E4" w:rsidRDefault="00E36E2E" w:rsidP="00387A65">
          <w:pPr>
            <w:jc w:val="right"/>
          </w:pPr>
        </w:p>
      </w:tc>
    </w:tr>
    <w:tr w:rsidR="004F31CC" w14:paraId="424D56F0" w14:textId="77777777" w:rsidTr="00BD47E4">
      <w:trPr>
        <w:trHeight w:val="409"/>
        <w:jc w:val="center"/>
      </w:trPr>
      <w:tc>
        <w:tcPr>
          <w:tcW w:w="9039" w:type="dxa"/>
          <w:gridSpan w:val="2"/>
        </w:tcPr>
        <w:p w14:paraId="2DA0E49F" w14:textId="77777777" w:rsidR="00BD47E4" w:rsidRDefault="00E91722" w:rsidP="002C30DA">
          <w:pPr>
            <w:jc w:val="right"/>
          </w:pPr>
          <w:r>
            <w:t>Original:</w:t>
          </w:r>
        </w:p>
      </w:tc>
      <w:tc>
        <w:tcPr>
          <w:tcW w:w="1843" w:type="dxa"/>
          <w:gridSpan w:val="2"/>
        </w:tcPr>
        <w:p w14:paraId="106F752A" w14:textId="77777777" w:rsidR="00BD47E4" w:rsidRDefault="00E91722" w:rsidP="002C30DA">
          <w:pPr>
            <w:jc w:val="right"/>
          </w:pPr>
          <w:bookmarkStart w:id="6" w:name="language"/>
          <w:r>
            <w:t>English</w:t>
          </w:r>
          <w:bookmarkEnd w:id="6"/>
        </w:p>
      </w:tc>
      <w:tc>
        <w:tcPr>
          <w:tcW w:w="390" w:type="dxa"/>
        </w:tcPr>
        <w:p w14:paraId="1EEE9816" w14:textId="77777777" w:rsidR="00BD47E4" w:rsidRDefault="00E36E2E" w:rsidP="00387A65">
          <w:pPr>
            <w:jc w:val="right"/>
          </w:pPr>
        </w:p>
      </w:tc>
    </w:tr>
    <w:tr w:rsidR="004F31CC" w14:paraId="1D9136A6" w14:textId="77777777" w:rsidTr="00BD47E4">
      <w:trPr>
        <w:trHeight w:val="409"/>
        <w:jc w:val="center"/>
      </w:trPr>
      <w:tc>
        <w:tcPr>
          <w:tcW w:w="9039" w:type="dxa"/>
          <w:gridSpan w:val="2"/>
        </w:tcPr>
        <w:p w14:paraId="2C0D11F3" w14:textId="77777777" w:rsidR="0097629D" w:rsidRDefault="00E91722" w:rsidP="002C30DA">
          <w:pPr>
            <w:jc w:val="right"/>
          </w:pPr>
          <w:r>
            <w:t>Submitted:</w:t>
          </w:r>
        </w:p>
      </w:tc>
      <w:tc>
        <w:tcPr>
          <w:tcW w:w="1843" w:type="dxa"/>
          <w:gridSpan w:val="2"/>
        </w:tcPr>
        <w:p w14:paraId="0C766C2D" w14:textId="77777777" w:rsidR="0097629D" w:rsidRDefault="00E91722" w:rsidP="0097629D">
          <w:pPr>
            <w:jc w:val="right"/>
          </w:pPr>
          <w:bookmarkStart w:id="7" w:name="date_submission"/>
          <w:r>
            <w:t>7/4/2022</w:t>
          </w:r>
          <w:bookmarkEnd w:id="7"/>
        </w:p>
      </w:tc>
      <w:tc>
        <w:tcPr>
          <w:tcW w:w="390" w:type="dxa"/>
        </w:tcPr>
        <w:p w14:paraId="3620A61B" w14:textId="77777777" w:rsidR="0097629D" w:rsidRDefault="00E36E2E" w:rsidP="00387A65">
          <w:pPr>
            <w:jc w:val="right"/>
          </w:pPr>
        </w:p>
      </w:tc>
    </w:tr>
  </w:tbl>
  <w:p w14:paraId="66EA33CD" w14:textId="77777777" w:rsidR="00AE5DD0" w:rsidRDefault="00E36E2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A769B" w14:textId="77777777" w:rsidR="00E36E2E" w:rsidRDefault="00E36E2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F31CC" w14:paraId="0FBDC868" w14:textId="77777777">
      <w:trPr>
        <w:trHeight w:val="354"/>
        <w:jc w:val="center"/>
      </w:trPr>
      <w:tc>
        <w:tcPr>
          <w:tcW w:w="9694" w:type="dxa"/>
        </w:tcPr>
        <w:p w14:paraId="47EF79A3" w14:textId="15C9A4CD" w:rsidR="00AE5DD0" w:rsidRPr="00BD47E4" w:rsidRDefault="00E91722" w:rsidP="00C26F2D">
          <w:pPr>
            <w:jc w:val="right"/>
            <w:rPr>
              <w:b/>
              <w:sz w:val="32"/>
              <w:szCs w:val="32"/>
            </w:rPr>
          </w:pPr>
          <w:r>
            <w:rPr>
              <w:b/>
              <w:sz w:val="32"/>
              <w:szCs w:val="32"/>
            </w:rPr>
            <w:t>IP</w:t>
          </w:r>
        </w:p>
      </w:tc>
      <w:tc>
        <w:tcPr>
          <w:tcW w:w="1332" w:type="dxa"/>
        </w:tcPr>
        <w:p w14:paraId="491A445F" w14:textId="2A0DED41" w:rsidR="00AE5DD0" w:rsidRPr="00BD47E4" w:rsidRDefault="00E91722" w:rsidP="00080F4C">
          <w:pPr>
            <w:rPr>
              <w:b/>
              <w:sz w:val="32"/>
              <w:szCs w:val="32"/>
            </w:rPr>
          </w:pPr>
          <w:r>
            <w:rPr>
              <w:b/>
              <w:sz w:val="32"/>
              <w:szCs w:val="32"/>
            </w:rPr>
            <w:t>11</w:t>
          </w:r>
        </w:p>
      </w:tc>
    </w:tr>
  </w:tbl>
  <w:p w14:paraId="7EBDF3BA" w14:textId="77777777" w:rsidR="00AE5DD0" w:rsidRDefault="00E36E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59A7E0C">
      <w:start w:val="1"/>
      <w:numFmt w:val="bullet"/>
      <w:pStyle w:val="ATSBullet1"/>
      <w:lvlText w:val=""/>
      <w:lvlJc w:val="left"/>
      <w:pPr>
        <w:tabs>
          <w:tab w:val="num" w:pos="360"/>
        </w:tabs>
        <w:ind w:left="360" w:hanging="360"/>
      </w:pPr>
      <w:rPr>
        <w:rFonts w:ascii="Symbol" w:hAnsi="Symbol" w:hint="default"/>
        <w:color w:val="auto"/>
      </w:rPr>
    </w:lvl>
    <w:lvl w:ilvl="1" w:tplc="03A2BF58" w:tentative="1">
      <w:start w:val="1"/>
      <w:numFmt w:val="bullet"/>
      <w:lvlText w:val="o"/>
      <w:lvlJc w:val="left"/>
      <w:pPr>
        <w:tabs>
          <w:tab w:val="num" w:pos="1440"/>
        </w:tabs>
        <w:ind w:left="1440" w:hanging="360"/>
      </w:pPr>
      <w:rPr>
        <w:rFonts w:ascii="Courier New" w:hAnsi="Courier New" w:cs="Courier New" w:hint="default"/>
      </w:rPr>
    </w:lvl>
    <w:lvl w:ilvl="2" w:tplc="2E944BD6" w:tentative="1">
      <w:start w:val="1"/>
      <w:numFmt w:val="bullet"/>
      <w:lvlText w:val=""/>
      <w:lvlJc w:val="left"/>
      <w:pPr>
        <w:tabs>
          <w:tab w:val="num" w:pos="2160"/>
        </w:tabs>
        <w:ind w:left="2160" w:hanging="360"/>
      </w:pPr>
      <w:rPr>
        <w:rFonts w:ascii="Wingdings" w:hAnsi="Wingdings" w:hint="default"/>
      </w:rPr>
    </w:lvl>
    <w:lvl w:ilvl="3" w:tplc="C7C6A4CA" w:tentative="1">
      <w:start w:val="1"/>
      <w:numFmt w:val="bullet"/>
      <w:lvlText w:val=""/>
      <w:lvlJc w:val="left"/>
      <w:pPr>
        <w:tabs>
          <w:tab w:val="num" w:pos="2880"/>
        </w:tabs>
        <w:ind w:left="2880" w:hanging="360"/>
      </w:pPr>
      <w:rPr>
        <w:rFonts w:ascii="Symbol" w:hAnsi="Symbol" w:hint="default"/>
      </w:rPr>
    </w:lvl>
    <w:lvl w:ilvl="4" w:tplc="6960DF3A" w:tentative="1">
      <w:start w:val="1"/>
      <w:numFmt w:val="bullet"/>
      <w:lvlText w:val="o"/>
      <w:lvlJc w:val="left"/>
      <w:pPr>
        <w:tabs>
          <w:tab w:val="num" w:pos="3600"/>
        </w:tabs>
        <w:ind w:left="3600" w:hanging="360"/>
      </w:pPr>
      <w:rPr>
        <w:rFonts w:ascii="Courier New" w:hAnsi="Courier New" w:cs="Courier New" w:hint="default"/>
      </w:rPr>
    </w:lvl>
    <w:lvl w:ilvl="5" w:tplc="4EE0617A" w:tentative="1">
      <w:start w:val="1"/>
      <w:numFmt w:val="bullet"/>
      <w:lvlText w:val=""/>
      <w:lvlJc w:val="left"/>
      <w:pPr>
        <w:tabs>
          <w:tab w:val="num" w:pos="4320"/>
        </w:tabs>
        <w:ind w:left="4320" w:hanging="360"/>
      </w:pPr>
      <w:rPr>
        <w:rFonts w:ascii="Wingdings" w:hAnsi="Wingdings" w:hint="default"/>
      </w:rPr>
    </w:lvl>
    <w:lvl w:ilvl="6" w:tplc="E21036D2" w:tentative="1">
      <w:start w:val="1"/>
      <w:numFmt w:val="bullet"/>
      <w:lvlText w:val=""/>
      <w:lvlJc w:val="left"/>
      <w:pPr>
        <w:tabs>
          <w:tab w:val="num" w:pos="5040"/>
        </w:tabs>
        <w:ind w:left="5040" w:hanging="360"/>
      </w:pPr>
      <w:rPr>
        <w:rFonts w:ascii="Symbol" w:hAnsi="Symbol" w:hint="default"/>
      </w:rPr>
    </w:lvl>
    <w:lvl w:ilvl="7" w:tplc="77BE5A86" w:tentative="1">
      <w:start w:val="1"/>
      <w:numFmt w:val="bullet"/>
      <w:lvlText w:val="o"/>
      <w:lvlJc w:val="left"/>
      <w:pPr>
        <w:tabs>
          <w:tab w:val="num" w:pos="5760"/>
        </w:tabs>
        <w:ind w:left="5760" w:hanging="360"/>
      </w:pPr>
      <w:rPr>
        <w:rFonts w:ascii="Courier New" w:hAnsi="Courier New" w:cs="Courier New" w:hint="default"/>
      </w:rPr>
    </w:lvl>
    <w:lvl w:ilvl="8" w:tplc="391C2F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DEE8F78">
      <w:start w:val="1"/>
      <w:numFmt w:val="decimal"/>
      <w:lvlText w:val="%1)"/>
      <w:lvlJc w:val="left"/>
      <w:pPr>
        <w:tabs>
          <w:tab w:val="num" w:pos="340"/>
        </w:tabs>
        <w:ind w:left="340" w:hanging="340"/>
      </w:pPr>
      <w:rPr>
        <w:rFonts w:hint="default"/>
      </w:rPr>
    </w:lvl>
    <w:lvl w:ilvl="1" w:tplc="64267128" w:tentative="1">
      <w:start w:val="1"/>
      <w:numFmt w:val="lowerLetter"/>
      <w:lvlText w:val="%2."/>
      <w:lvlJc w:val="left"/>
      <w:pPr>
        <w:tabs>
          <w:tab w:val="num" w:pos="1440"/>
        </w:tabs>
        <w:ind w:left="1440" w:hanging="360"/>
      </w:pPr>
    </w:lvl>
    <w:lvl w:ilvl="2" w:tplc="A1FAA1B4" w:tentative="1">
      <w:start w:val="1"/>
      <w:numFmt w:val="lowerRoman"/>
      <w:lvlText w:val="%3."/>
      <w:lvlJc w:val="right"/>
      <w:pPr>
        <w:tabs>
          <w:tab w:val="num" w:pos="2160"/>
        </w:tabs>
        <w:ind w:left="2160" w:hanging="180"/>
      </w:pPr>
    </w:lvl>
    <w:lvl w:ilvl="3" w:tplc="FE80FBBE" w:tentative="1">
      <w:start w:val="1"/>
      <w:numFmt w:val="decimal"/>
      <w:lvlText w:val="%4."/>
      <w:lvlJc w:val="left"/>
      <w:pPr>
        <w:tabs>
          <w:tab w:val="num" w:pos="2880"/>
        </w:tabs>
        <w:ind w:left="2880" w:hanging="360"/>
      </w:pPr>
    </w:lvl>
    <w:lvl w:ilvl="4" w:tplc="6F162E74" w:tentative="1">
      <w:start w:val="1"/>
      <w:numFmt w:val="lowerLetter"/>
      <w:lvlText w:val="%5."/>
      <w:lvlJc w:val="left"/>
      <w:pPr>
        <w:tabs>
          <w:tab w:val="num" w:pos="3600"/>
        </w:tabs>
        <w:ind w:left="3600" w:hanging="360"/>
      </w:pPr>
    </w:lvl>
    <w:lvl w:ilvl="5" w:tplc="622CC672" w:tentative="1">
      <w:start w:val="1"/>
      <w:numFmt w:val="lowerRoman"/>
      <w:lvlText w:val="%6."/>
      <w:lvlJc w:val="right"/>
      <w:pPr>
        <w:tabs>
          <w:tab w:val="num" w:pos="4320"/>
        </w:tabs>
        <w:ind w:left="4320" w:hanging="180"/>
      </w:pPr>
    </w:lvl>
    <w:lvl w:ilvl="6" w:tplc="8DFC7704" w:tentative="1">
      <w:start w:val="1"/>
      <w:numFmt w:val="decimal"/>
      <w:lvlText w:val="%7."/>
      <w:lvlJc w:val="left"/>
      <w:pPr>
        <w:tabs>
          <w:tab w:val="num" w:pos="5040"/>
        </w:tabs>
        <w:ind w:left="5040" w:hanging="360"/>
      </w:pPr>
    </w:lvl>
    <w:lvl w:ilvl="7" w:tplc="56628172" w:tentative="1">
      <w:start w:val="1"/>
      <w:numFmt w:val="lowerLetter"/>
      <w:lvlText w:val="%8."/>
      <w:lvlJc w:val="left"/>
      <w:pPr>
        <w:tabs>
          <w:tab w:val="num" w:pos="5760"/>
        </w:tabs>
        <w:ind w:left="5760" w:hanging="360"/>
      </w:pPr>
    </w:lvl>
    <w:lvl w:ilvl="8" w:tplc="7E527CB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9F864A2">
      <w:start w:val="1"/>
      <w:numFmt w:val="decimal"/>
      <w:lvlText w:val="%1."/>
      <w:lvlJc w:val="left"/>
      <w:pPr>
        <w:tabs>
          <w:tab w:val="num" w:pos="1057"/>
        </w:tabs>
        <w:ind w:left="1057" w:hanging="360"/>
      </w:pPr>
      <w:rPr>
        <w:rFonts w:hint="default"/>
      </w:rPr>
    </w:lvl>
    <w:lvl w:ilvl="1" w:tplc="FEA0EE06" w:tentative="1">
      <w:start w:val="1"/>
      <w:numFmt w:val="lowerLetter"/>
      <w:lvlText w:val="%2."/>
      <w:lvlJc w:val="left"/>
      <w:pPr>
        <w:tabs>
          <w:tab w:val="num" w:pos="2137"/>
        </w:tabs>
        <w:ind w:left="2137" w:hanging="360"/>
      </w:pPr>
    </w:lvl>
    <w:lvl w:ilvl="2" w:tplc="054CB686" w:tentative="1">
      <w:start w:val="1"/>
      <w:numFmt w:val="lowerRoman"/>
      <w:lvlText w:val="%3."/>
      <w:lvlJc w:val="right"/>
      <w:pPr>
        <w:tabs>
          <w:tab w:val="num" w:pos="2857"/>
        </w:tabs>
        <w:ind w:left="2857" w:hanging="180"/>
      </w:pPr>
    </w:lvl>
    <w:lvl w:ilvl="3" w:tplc="CCDCADFA" w:tentative="1">
      <w:start w:val="1"/>
      <w:numFmt w:val="decimal"/>
      <w:lvlText w:val="%4."/>
      <w:lvlJc w:val="left"/>
      <w:pPr>
        <w:tabs>
          <w:tab w:val="num" w:pos="3577"/>
        </w:tabs>
        <w:ind w:left="3577" w:hanging="360"/>
      </w:pPr>
    </w:lvl>
    <w:lvl w:ilvl="4" w:tplc="D8B42D18" w:tentative="1">
      <w:start w:val="1"/>
      <w:numFmt w:val="lowerLetter"/>
      <w:lvlText w:val="%5."/>
      <w:lvlJc w:val="left"/>
      <w:pPr>
        <w:tabs>
          <w:tab w:val="num" w:pos="4297"/>
        </w:tabs>
        <w:ind w:left="4297" w:hanging="360"/>
      </w:pPr>
    </w:lvl>
    <w:lvl w:ilvl="5" w:tplc="4B30DBFE" w:tentative="1">
      <w:start w:val="1"/>
      <w:numFmt w:val="lowerRoman"/>
      <w:lvlText w:val="%6."/>
      <w:lvlJc w:val="right"/>
      <w:pPr>
        <w:tabs>
          <w:tab w:val="num" w:pos="5017"/>
        </w:tabs>
        <w:ind w:left="5017" w:hanging="180"/>
      </w:pPr>
    </w:lvl>
    <w:lvl w:ilvl="6" w:tplc="61BA919E" w:tentative="1">
      <w:start w:val="1"/>
      <w:numFmt w:val="decimal"/>
      <w:lvlText w:val="%7."/>
      <w:lvlJc w:val="left"/>
      <w:pPr>
        <w:tabs>
          <w:tab w:val="num" w:pos="5737"/>
        </w:tabs>
        <w:ind w:left="5737" w:hanging="360"/>
      </w:pPr>
    </w:lvl>
    <w:lvl w:ilvl="7" w:tplc="FF108E08" w:tentative="1">
      <w:start w:val="1"/>
      <w:numFmt w:val="lowerLetter"/>
      <w:lvlText w:val="%8."/>
      <w:lvlJc w:val="left"/>
      <w:pPr>
        <w:tabs>
          <w:tab w:val="num" w:pos="6457"/>
        </w:tabs>
        <w:ind w:left="6457" w:hanging="360"/>
      </w:pPr>
    </w:lvl>
    <w:lvl w:ilvl="8" w:tplc="6C1E3E0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4BB017B8">
      <w:start w:val="1"/>
      <w:numFmt w:val="decimal"/>
      <w:pStyle w:val="ATSNumber1"/>
      <w:lvlText w:val="%1)"/>
      <w:lvlJc w:val="left"/>
      <w:pPr>
        <w:tabs>
          <w:tab w:val="num" w:pos="720"/>
        </w:tabs>
        <w:ind w:left="720" w:hanging="360"/>
      </w:pPr>
    </w:lvl>
    <w:lvl w:ilvl="1" w:tplc="3432AB9C" w:tentative="1">
      <w:start w:val="1"/>
      <w:numFmt w:val="lowerLetter"/>
      <w:lvlText w:val="%2."/>
      <w:lvlJc w:val="left"/>
      <w:pPr>
        <w:tabs>
          <w:tab w:val="num" w:pos="1440"/>
        </w:tabs>
        <w:ind w:left="1440" w:hanging="360"/>
      </w:pPr>
    </w:lvl>
    <w:lvl w:ilvl="2" w:tplc="31166DBC" w:tentative="1">
      <w:start w:val="1"/>
      <w:numFmt w:val="lowerRoman"/>
      <w:lvlText w:val="%3."/>
      <w:lvlJc w:val="right"/>
      <w:pPr>
        <w:tabs>
          <w:tab w:val="num" w:pos="2160"/>
        </w:tabs>
        <w:ind w:left="2160" w:hanging="180"/>
      </w:pPr>
    </w:lvl>
    <w:lvl w:ilvl="3" w:tplc="4CFAAC92" w:tentative="1">
      <w:start w:val="1"/>
      <w:numFmt w:val="decimal"/>
      <w:lvlText w:val="%4."/>
      <w:lvlJc w:val="left"/>
      <w:pPr>
        <w:tabs>
          <w:tab w:val="num" w:pos="2880"/>
        </w:tabs>
        <w:ind w:left="2880" w:hanging="360"/>
      </w:pPr>
    </w:lvl>
    <w:lvl w:ilvl="4" w:tplc="085E5CF2" w:tentative="1">
      <w:start w:val="1"/>
      <w:numFmt w:val="lowerLetter"/>
      <w:lvlText w:val="%5."/>
      <w:lvlJc w:val="left"/>
      <w:pPr>
        <w:tabs>
          <w:tab w:val="num" w:pos="3600"/>
        </w:tabs>
        <w:ind w:left="3600" w:hanging="360"/>
      </w:pPr>
    </w:lvl>
    <w:lvl w:ilvl="5" w:tplc="2A1CE388" w:tentative="1">
      <w:start w:val="1"/>
      <w:numFmt w:val="lowerRoman"/>
      <w:lvlText w:val="%6."/>
      <w:lvlJc w:val="right"/>
      <w:pPr>
        <w:tabs>
          <w:tab w:val="num" w:pos="4320"/>
        </w:tabs>
        <w:ind w:left="4320" w:hanging="180"/>
      </w:pPr>
    </w:lvl>
    <w:lvl w:ilvl="6" w:tplc="5F06F430" w:tentative="1">
      <w:start w:val="1"/>
      <w:numFmt w:val="decimal"/>
      <w:lvlText w:val="%7."/>
      <w:lvlJc w:val="left"/>
      <w:pPr>
        <w:tabs>
          <w:tab w:val="num" w:pos="5040"/>
        </w:tabs>
        <w:ind w:left="5040" w:hanging="360"/>
      </w:pPr>
    </w:lvl>
    <w:lvl w:ilvl="7" w:tplc="991A01F6" w:tentative="1">
      <w:start w:val="1"/>
      <w:numFmt w:val="lowerLetter"/>
      <w:lvlText w:val="%8."/>
      <w:lvlJc w:val="left"/>
      <w:pPr>
        <w:tabs>
          <w:tab w:val="num" w:pos="5760"/>
        </w:tabs>
        <w:ind w:left="5760" w:hanging="360"/>
      </w:pPr>
    </w:lvl>
    <w:lvl w:ilvl="8" w:tplc="79C4EE8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95C41CF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E94FC6E" w:tentative="1">
      <w:start w:val="1"/>
      <w:numFmt w:val="bullet"/>
      <w:lvlText w:val="o"/>
      <w:lvlJc w:val="left"/>
      <w:pPr>
        <w:tabs>
          <w:tab w:val="num" w:pos="2517"/>
        </w:tabs>
        <w:ind w:left="2517" w:hanging="360"/>
      </w:pPr>
      <w:rPr>
        <w:rFonts w:ascii="Courier New" w:hAnsi="Courier New" w:cs="Courier New" w:hint="default"/>
      </w:rPr>
    </w:lvl>
    <w:lvl w:ilvl="2" w:tplc="BDCE10F8" w:tentative="1">
      <w:start w:val="1"/>
      <w:numFmt w:val="bullet"/>
      <w:lvlText w:val=""/>
      <w:lvlJc w:val="left"/>
      <w:pPr>
        <w:tabs>
          <w:tab w:val="num" w:pos="3237"/>
        </w:tabs>
        <w:ind w:left="3237" w:hanging="360"/>
      </w:pPr>
      <w:rPr>
        <w:rFonts w:ascii="Wingdings" w:hAnsi="Wingdings" w:hint="default"/>
      </w:rPr>
    </w:lvl>
    <w:lvl w:ilvl="3" w:tplc="397EF52E" w:tentative="1">
      <w:start w:val="1"/>
      <w:numFmt w:val="bullet"/>
      <w:lvlText w:val=""/>
      <w:lvlJc w:val="left"/>
      <w:pPr>
        <w:tabs>
          <w:tab w:val="num" w:pos="3957"/>
        </w:tabs>
        <w:ind w:left="3957" w:hanging="360"/>
      </w:pPr>
      <w:rPr>
        <w:rFonts w:ascii="Symbol" w:hAnsi="Symbol" w:hint="default"/>
      </w:rPr>
    </w:lvl>
    <w:lvl w:ilvl="4" w:tplc="86F6EB18" w:tentative="1">
      <w:start w:val="1"/>
      <w:numFmt w:val="bullet"/>
      <w:lvlText w:val="o"/>
      <w:lvlJc w:val="left"/>
      <w:pPr>
        <w:tabs>
          <w:tab w:val="num" w:pos="4677"/>
        </w:tabs>
        <w:ind w:left="4677" w:hanging="360"/>
      </w:pPr>
      <w:rPr>
        <w:rFonts w:ascii="Courier New" w:hAnsi="Courier New" w:cs="Courier New" w:hint="default"/>
      </w:rPr>
    </w:lvl>
    <w:lvl w:ilvl="5" w:tplc="7C80CFB6" w:tentative="1">
      <w:start w:val="1"/>
      <w:numFmt w:val="bullet"/>
      <w:lvlText w:val=""/>
      <w:lvlJc w:val="left"/>
      <w:pPr>
        <w:tabs>
          <w:tab w:val="num" w:pos="5397"/>
        </w:tabs>
        <w:ind w:left="5397" w:hanging="360"/>
      </w:pPr>
      <w:rPr>
        <w:rFonts w:ascii="Wingdings" w:hAnsi="Wingdings" w:hint="default"/>
      </w:rPr>
    </w:lvl>
    <w:lvl w:ilvl="6" w:tplc="039CD018" w:tentative="1">
      <w:start w:val="1"/>
      <w:numFmt w:val="bullet"/>
      <w:lvlText w:val=""/>
      <w:lvlJc w:val="left"/>
      <w:pPr>
        <w:tabs>
          <w:tab w:val="num" w:pos="6117"/>
        </w:tabs>
        <w:ind w:left="6117" w:hanging="360"/>
      </w:pPr>
      <w:rPr>
        <w:rFonts w:ascii="Symbol" w:hAnsi="Symbol" w:hint="default"/>
      </w:rPr>
    </w:lvl>
    <w:lvl w:ilvl="7" w:tplc="BFD00872" w:tentative="1">
      <w:start w:val="1"/>
      <w:numFmt w:val="bullet"/>
      <w:lvlText w:val="o"/>
      <w:lvlJc w:val="left"/>
      <w:pPr>
        <w:tabs>
          <w:tab w:val="num" w:pos="6837"/>
        </w:tabs>
        <w:ind w:left="6837" w:hanging="360"/>
      </w:pPr>
      <w:rPr>
        <w:rFonts w:ascii="Courier New" w:hAnsi="Courier New" w:cs="Courier New" w:hint="default"/>
      </w:rPr>
    </w:lvl>
    <w:lvl w:ilvl="8" w:tplc="4C26A64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5E741990">
      <w:start w:val="1"/>
      <w:numFmt w:val="decimal"/>
      <w:pStyle w:val="ATSNumber2"/>
      <w:lvlText w:val="%1."/>
      <w:lvlJc w:val="left"/>
      <w:pPr>
        <w:tabs>
          <w:tab w:val="num" w:pos="720"/>
        </w:tabs>
        <w:ind w:left="720" w:hanging="360"/>
      </w:pPr>
      <w:rPr>
        <w:rFonts w:hint="default"/>
      </w:rPr>
    </w:lvl>
    <w:lvl w:ilvl="1" w:tplc="2130AF40" w:tentative="1">
      <w:start w:val="1"/>
      <w:numFmt w:val="lowerLetter"/>
      <w:lvlText w:val="%2."/>
      <w:lvlJc w:val="left"/>
      <w:pPr>
        <w:tabs>
          <w:tab w:val="num" w:pos="1440"/>
        </w:tabs>
        <w:ind w:left="1440" w:hanging="360"/>
      </w:pPr>
    </w:lvl>
    <w:lvl w:ilvl="2" w:tplc="CBF298D8" w:tentative="1">
      <w:start w:val="1"/>
      <w:numFmt w:val="lowerRoman"/>
      <w:lvlText w:val="%3."/>
      <w:lvlJc w:val="right"/>
      <w:pPr>
        <w:tabs>
          <w:tab w:val="num" w:pos="2160"/>
        </w:tabs>
        <w:ind w:left="2160" w:hanging="180"/>
      </w:pPr>
    </w:lvl>
    <w:lvl w:ilvl="3" w:tplc="39DC10BA" w:tentative="1">
      <w:start w:val="1"/>
      <w:numFmt w:val="decimal"/>
      <w:lvlText w:val="%4."/>
      <w:lvlJc w:val="left"/>
      <w:pPr>
        <w:tabs>
          <w:tab w:val="num" w:pos="2880"/>
        </w:tabs>
        <w:ind w:left="2880" w:hanging="360"/>
      </w:pPr>
    </w:lvl>
    <w:lvl w:ilvl="4" w:tplc="2012AD32" w:tentative="1">
      <w:start w:val="1"/>
      <w:numFmt w:val="lowerLetter"/>
      <w:lvlText w:val="%5."/>
      <w:lvlJc w:val="left"/>
      <w:pPr>
        <w:tabs>
          <w:tab w:val="num" w:pos="3600"/>
        </w:tabs>
        <w:ind w:left="3600" w:hanging="360"/>
      </w:pPr>
    </w:lvl>
    <w:lvl w:ilvl="5" w:tplc="CE82E462" w:tentative="1">
      <w:start w:val="1"/>
      <w:numFmt w:val="lowerRoman"/>
      <w:lvlText w:val="%6."/>
      <w:lvlJc w:val="right"/>
      <w:pPr>
        <w:tabs>
          <w:tab w:val="num" w:pos="4320"/>
        </w:tabs>
        <w:ind w:left="4320" w:hanging="180"/>
      </w:pPr>
    </w:lvl>
    <w:lvl w:ilvl="6" w:tplc="21DA1336" w:tentative="1">
      <w:start w:val="1"/>
      <w:numFmt w:val="decimal"/>
      <w:lvlText w:val="%7."/>
      <w:lvlJc w:val="left"/>
      <w:pPr>
        <w:tabs>
          <w:tab w:val="num" w:pos="5040"/>
        </w:tabs>
        <w:ind w:left="5040" w:hanging="360"/>
      </w:pPr>
    </w:lvl>
    <w:lvl w:ilvl="7" w:tplc="5F361CB8" w:tentative="1">
      <w:start w:val="1"/>
      <w:numFmt w:val="lowerLetter"/>
      <w:lvlText w:val="%8."/>
      <w:lvlJc w:val="left"/>
      <w:pPr>
        <w:tabs>
          <w:tab w:val="num" w:pos="5760"/>
        </w:tabs>
        <w:ind w:left="5760" w:hanging="360"/>
      </w:pPr>
    </w:lvl>
    <w:lvl w:ilvl="8" w:tplc="0F00E608" w:tentative="1">
      <w:start w:val="1"/>
      <w:numFmt w:val="lowerRoman"/>
      <w:lvlText w:val="%9."/>
      <w:lvlJc w:val="right"/>
      <w:pPr>
        <w:tabs>
          <w:tab w:val="num" w:pos="6480"/>
        </w:tabs>
        <w:ind w:left="6480" w:hanging="180"/>
      </w:pPr>
    </w:lvl>
  </w:abstractNum>
  <w:num w:numId="1" w16cid:durableId="1664313367">
    <w:abstractNumId w:val="9"/>
  </w:num>
  <w:num w:numId="2" w16cid:durableId="2103988457">
    <w:abstractNumId w:val="7"/>
  </w:num>
  <w:num w:numId="3" w16cid:durableId="1659571334">
    <w:abstractNumId w:val="6"/>
  </w:num>
  <w:num w:numId="4" w16cid:durableId="1510021970">
    <w:abstractNumId w:val="5"/>
  </w:num>
  <w:num w:numId="5" w16cid:durableId="1795100111">
    <w:abstractNumId w:val="4"/>
  </w:num>
  <w:num w:numId="6" w16cid:durableId="346449693">
    <w:abstractNumId w:val="8"/>
  </w:num>
  <w:num w:numId="7" w16cid:durableId="2045590552">
    <w:abstractNumId w:val="3"/>
  </w:num>
  <w:num w:numId="8" w16cid:durableId="381903551">
    <w:abstractNumId w:val="2"/>
  </w:num>
  <w:num w:numId="9" w16cid:durableId="1768884742">
    <w:abstractNumId w:val="1"/>
  </w:num>
  <w:num w:numId="10" w16cid:durableId="656231602">
    <w:abstractNumId w:val="0"/>
  </w:num>
  <w:num w:numId="11" w16cid:durableId="347875592">
    <w:abstractNumId w:val="11"/>
  </w:num>
  <w:num w:numId="12" w16cid:durableId="1460108186">
    <w:abstractNumId w:val="15"/>
  </w:num>
  <w:num w:numId="13" w16cid:durableId="557672932">
    <w:abstractNumId w:val="14"/>
  </w:num>
  <w:num w:numId="14" w16cid:durableId="1078677653">
    <w:abstractNumId w:val="12"/>
  </w:num>
  <w:num w:numId="15" w16cid:durableId="18744448">
    <w:abstractNumId w:val="13"/>
  </w:num>
  <w:num w:numId="16" w16cid:durableId="417948593">
    <w:abstractNumId w:val="10"/>
  </w:num>
  <w:num w:numId="17" w16cid:durableId="1637878345">
    <w:abstractNumId w:val="11"/>
  </w:num>
  <w:num w:numId="18" w16cid:durableId="1879972646">
    <w:abstractNumId w:val="15"/>
  </w:num>
  <w:num w:numId="19" w16cid:durableId="468595574">
    <w:abstractNumId w:val="14"/>
  </w:num>
  <w:num w:numId="20" w16cid:durableId="1782753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1CC"/>
    <w:rsid w:val="004F31CC"/>
    <w:rsid w:val="00CD6164"/>
    <w:rsid w:val="00E36E2E"/>
    <w:rsid w:val="00E917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75A84"/>
  <w15:chartTrackingRefBased/>
  <w15:docId w15:val="{6A8223BE-3478-412F-831B-6BEC5A05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E91722"/>
    <w:pPr>
      <w:spacing w:before="120" w:after="120"/>
    </w:pPr>
    <w:rPr>
      <w:rFonts w:eastAsia="Malgun Gothic"/>
      <w:lang w:eastAsia="en-GB"/>
    </w:rPr>
  </w:style>
  <w:style w:type="character" w:customStyle="1" w:styleId="ASNormalChar">
    <w:name w:val="AS Normal Char"/>
    <w:link w:val="ASNormal"/>
    <w:locked/>
    <w:rsid w:val="00E91722"/>
    <w:rPr>
      <w:rFonts w:eastAsia="Malgun Gothic"/>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1014</Words>
  <Characters>5751</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5</cp:revision>
  <cp:lastPrinted>2008-01-22T18:20:00Z</cp:lastPrinted>
  <dcterms:created xsi:type="dcterms:W3CDTF">2020-11-26T16:54:00Z</dcterms:created>
  <dcterms:modified xsi:type="dcterms:W3CDTF">2022-05-24T15:15:00Z</dcterms:modified>
</cp:coreProperties>
</file>