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D9D1" w14:textId="77777777" w:rsidR="00C26F2D" w:rsidRPr="00BF077B" w:rsidRDefault="00423DE8" w:rsidP="00BF077B">
      <w:pPr>
        <w:pStyle w:val="ATSNormal"/>
        <w:rPr>
          <w:rStyle w:val="Ttulodellibro"/>
        </w:rPr>
      </w:pPr>
    </w:p>
    <w:p w14:paraId="6E471DE9" w14:textId="77777777" w:rsidR="002F0A13" w:rsidRDefault="00423DE8" w:rsidP="004B4A60">
      <w:pPr>
        <w:rPr>
          <w:b/>
          <w:u w:val="single"/>
          <w:lang w:val="es-ES_tradnl"/>
        </w:rPr>
      </w:pPr>
    </w:p>
    <w:p w14:paraId="39535E91" w14:textId="77777777" w:rsidR="002F0A13" w:rsidRDefault="00423DE8" w:rsidP="004B4A60">
      <w:pPr>
        <w:rPr>
          <w:b/>
          <w:u w:val="single"/>
          <w:lang w:val="es-ES_tradnl"/>
        </w:rPr>
      </w:pPr>
    </w:p>
    <w:p w14:paraId="4E5FC24F" w14:textId="77777777" w:rsidR="002F0A13" w:rsidRDefault="00423DE8" w:rsidP="004B4A60">
      <w:pPr>
        <w:rPr>
          <w:b/>
          <w:u w:val="single"/>
          <w:lang w:val="es-ES_tradnl"/>
        </w:rPr>
      </w:pPr>
    </w:p>
    <w:p w14:paraId="4AAE1E2D" w14:textId="77777777" w:rsidR="002F0A13" w:rsidRDefault="00423DE8" w:rsidP="004B4A60">
      <w:pPr>
        <w:rPr>
          <w:b/>
          <w:u w:val="single"/>
          <w:lang w:val="es-ES_tradnl"/>
        </w:rPr>
      </w:pPr>
    </w:p>
    <w:p w14:paraId="14C87725" w14:textId="77777777" w:rsidR="00C26F2D" w:rsidRDefault="00423DE8" w:rsidP="004B4A60">
      <w:pPr>
        <w:rPr>
          <w:b/>
          <w:u w:val="single"/>
          <w:lang w:val="es-ES_tradnl"/>
        </w:rPr>
      </w:pPr>
    </w:p>
    <w:p w14:paraId="698F9544" w14:textId="77777777" w:rsidR="004B4A60" w:rsidRPr="0057246E" w:rsidRDefault="00423DE8" w:rsidP="001B789F">
      <w:pPr>
        <w:pStyle w:val="ATSTitle"/>
      </w:pPr>
      <w:bookmarkStart w:id="0" w:name="name"/>
      <w:r>
        <w:t>Korea-Chile Collaboration in Antarctic Research</w:t>
      </w:r>
      <w:bookmarkEnd w:id="0"/>
    </w:p>
    <w:p w14:paraId="445E2ED7" w14:textId="77777777" w:rsidR="004B4A60" w:rsidRPr="0057246E" w:rsidRDefault="00423DE8" w:rsidP="00F75424">
      <w:pPr>
        <w:jc w:val="center"/>
      </w:pPr>
    </w:p>
    <w:p w14:paraId="6C37BF7A" w14:textId="77777777" w:rsidR="004B4A60" w:rsidRPr="002F0A13" w:rsidRDefault="00423DE8" w:rsidP="002F0A13"/>
    <w:p w14:paraId="31B98F33" w14:textId="77777777" w:rsidR="004B4A60" w:rsidRDefault="00423DE8" w:rsidP="00F75424">
      <w:pPr>
        <w:jc w:val="center"/>
      </w:pPr>
      <w:bookmarkStart w:id="1" w:name="memo"/>
      <w:bookmarkEnd w:id="1"/>
    </w:p>
    <w:p w14:paraId="36B77650" w14:textId="77777777" w:rsidR="0097629D" w:rsidRDefault="00423DE8" w:rsidP="00F75424">
      <w:pPr>
        <w:jc w:val="center"/>
      </w:pPr>
    </w:p>
    <w:p w14:paraId="3742AC49" w14:textId="77777777" w:rsidR="0097629D" w:rsidRDefault="00423DE8" w:rsidP="00F75424">
      <w:pPr>
        <w:jc w:val="center"/>
      </w:pPr>
    </w:p>
    <w:p w14:paraId="13D84277" w14:textId="77777777" w:rsidR="0097629D" w:rsidRDefault="00423DE8" w:rsidP="00F75424">
      <w:pPr>
        <w:jc w:val="center"/>
      </w:pPr>
    </w:p>
    <w:p w14:paraId="6A7A8FD1" w14:textId="77777777" w:rsidR="0097629D" w:rsidRPr="00C26F2D" w:rsidRDefault="00423DE8" w:rsidP="00F75424">
      <w:pPr>
        <w:jc w:val="center"/>
      </w:pPr>
    </w:p>
    <w:p w14:paraId="7AEC34CA" w14:textId="77777777" w:rsidR="004B4A60" w:rsidRPr="0057246E" w:rsidRDefault="00423DE8" w:rsidP="004B4A60"/>
    <w:p w14:paraId="52B230DA" w14:textId="77777777" w:rsidR="00C26F2D" w:rsidRDefault="00423DE8"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909049F" w14:textId="7F95F6D7" w:rsidR="004B4A60" w:rsidRDefault="00423DE8" w:rsidP="00952E9F"/>
    <w:p w14:paraId="7107F8C4" w14:textId="77777777" w:rsidR="00423DE8" w:rsidRPr="00423DE8" w:rsidRDefault="00423DE8" w:rsidP="00423DE8">
      <w:pPr>
        <w:spacing w:before="360" w:after="360"/>
        <w:jc w:val="center"/>
        <w:outlineLvl w:val="0"/>
        <w:rPr>
          <w:rFonts w:ascii="Arial" w:eastAsiaTheme="minorEastAsia" w:hAnsi="Arial"/>
          <w:b/>
          <w:sz w:val="32"/>
          <w:lang w:eastAsia="zh-CN"/>
        </w:rPr>
      </w:pPr>
      <w:r w:rsidRPr="00423DE8">
        <w:rPr>
          <w:rFonts w:ascii="Arial" w:eastAsiaTheme="minorEastAsia" w:hAnsi="Arial"/>
          <w:b/>
          <w:sz w:val="32"/>
          <w:lang w:eastAsia="zh-CN"/>
        </w:rPr>
        <w:t>Korea-Chile Collaboration in Antarctic Research</w:t>
      </w:r>
    </w:p>
    <w:p w14:paraId="59DF63D9" w14:textId="77777777" w:rsidR="00423DE8" w:rsidRPr="00423DE8" w:rsidRDefault="00423DE8" w:rsidP="00423DE8">
      <w:pPr>
        <w:spacing w:before="240" w:after="60"/>
        <w:jc w:val="center"/>
        <w:rPr>
          <w:rFonts w:eastAsiaTheme="minorEastAsia"/>
        </w:rPr>
      </w:pPr>
      <w:r w:rsidRPr="00423DE8">
        <w:rPr>
          <w:rFonts w:eastAsiaTheme="minorEastAsia"/>
          <w:b/>
        </w:rPr>
        <w:t>Information Paper submitted by the Republic of Korea and Chile</w:t>
      </w:r>
    </w:p>
    <w:p w14:paraId="6A06645B" w14:textId="77777777" w:rsidR="00423DE8" w:rsidRPr="00423DE8" w:rsidRDefault="00423DE8" w:rsidP="00423DE8">
      <w:pPr>
        <w:rPr>
          <w:rFonts w:eastAsiaTheme="minorEastAsia"/>
        </w:rPr>
      </w:pPr>
    </w:p>
    <w:p w14:paraId="1244DFD0" w14:textId="77777777" w:rsidR="00423DE8" w:rsidRPr="00423DE8" w:rsidRDefault="00423DE8" w:rsidP="00423DE8">
      <w:pPr>
        <w:spacing w:before="120" w:after="120"/>
        <w:rPr>
          <w:rFonts w:eastAsiaTheme="minorEastAsia"/>
          <w:lang w:eastAsia="ko-KR"/>
        </w:rPr>
      </w:pPr>
      <w:r w:rsidRPr="00423DE8">
        <w:rPr>
          <w:rFonts w:eastAsiaTheme="minorEastAsia"/>
          <w:lang w:eastAsia="ko-KR"/>
        </w:rPr>
        <w:t xml:space="preserve">During the past decade, Chile and the Republic of Korea have been closely cooperating in the field of scientific research and infrastructure operation in the Antarctic Peninsula region with the year-round station King Sejong (Korea), Barton Peninsula and the seasonal station Professor Julio Escudero (Chile-INACH), </w:t>
      </w:r>
      <w:proofErr w:type="spellStart"/>
      <w:r w:rsidRPr="00423DE8">
        <w:rPr>
          <w:rFonts w:eastAsiaTheme="minorEastAsia"/>
          <w:lang w:eastAsia="ko-KR"/>
        </w:rPr>
        <w:t>Fildes</w:t>
      </w:r>
      <w:proofErr w:type="spellEnd"/>
      <w:r w:rsidRPr="00423DE8">
        <w:rPr>
          <w:rFonts w:eastAsiaTheme="minorEastAsia"/>
          <w:lang w:eastAsia="ko-KR"/>
        </w:rPr>
        <w:t xml:space="preserve"> Bay, King George Island. The cooperation effort was strengthened based on Memorandum of Understandings (MOUs) between the Chilean Antarctic Institute (INACH) and the Korea Polar Research Institute (KOPRI), which paved way for the establishment of the Korea-Chile Antarctic Cooperation </w:t>
      </w:r>
      <w:proofErr w:type="spellStart"/>
      <w:r w:rsidRPr="00423DE8">
        <w:rPr>
          <w:rFonts w:eastAsiaTheme="minorEastAsia"/>
          <w:lang w:eastAsia="ko-KR"/>
        </w:rPr>
        <w:t>Center</w:t>
      </w:r>
      <w:proofErr w:type="spellEnd"/>
      <w:r w:rsidRPr="00423DE8">
        <w:rPr>
          <w:rFonts w:eastAsiaTheme="minorEastAsia"/>
          <w:lang w:eastAsia="ko-KR"/>
        </w:rPr>
        <w:t xml:space="preserve"> in February 2016.</w:t>
      </w:r>
    </w:p>
    <w:p w14:paraId="774ADF7D" w14:textId="77777777" w:rsidR="00423DE8" w:rsidRPr="00423DE8" w:rsidRDefault="00423DE8" w:rsidP="00423DE8">
      <w:pPr>
        <w:spacing w:before="120" w:after="120"/>
        <w:rPr>
          <w:rFonts w:eastAsiaTheme="minorEastAsia"/>
          <w:lang w:eastAsia="ko-KR"/>
        </w:rPr>
      </w:pPr>
      <w:r w:rsidRPr="00423DE8">
        <w:rPr>
          <w:rFonts w:eastAsiaTheme="minorEastAsia"/>
          <w:lang w:eastAsia="ko-KR"/>
        </w:rPr>
        <w:t>With a shared understanding of the importance of Antarctic region in global climate change, the research groups of both countries have been investigating how the climate change and other drivers (</w:t>
      </w:r>
      <w:proofErr w:type="gramStart"/>
      <w:r w:rsidRPr="00423DE8">
        <w:rPr>
          <w:rFonts w:eastAsiaTheme="minorEastAsia"/>
          <w:lang w:eastAsia="ko-KR"/>
        </w:rPr>
        <w:t>Invasive  species</w:t>
      </w:r>
      <w:proofErr w:type="gramEnd"/>
      <w:r w:rsidRPr="00423DE8">
        <w:rPr>
          <w:rFonts w:eastAsiaTheme="minorEastAsia"/>
          <w:lang w:eastAsia="ko-KR"/>
        </w:rPr>
        <w:t>, marine pollution) would affect coastal marine and terrestrial ecosystems of the Antarctica and the Southern Ocean. To share the status of on-going research cooperation and explore new research topics, a virtual workshop was hosted by KOPRI and INACH in November 2021. This information paper provides a summary of the joint programs and upcoming plans for new areas of research grouped around seven working groups (WG</w:t>
      </w:r>
      <w:proofErr w:type="gramStart"/>
      <w:r w:rsidRPr="00423DE8">
        <w:rPr>
          <w:rFonts w:eastAsiaTheme="minorEastAsia"/>
          <w:lang w:eastAsia="ko-KR"/>
        </w:rPr>
        <w:t>), and</w:t>
      </w:r>
      <w:proofErr w:type="gramEnd"/>
      <w:r w:rsidRPr="00423DE8">
        <w:rPr>
          <w:rFonts w:eastAsiaTheme="minorEastAsia"/>
          <w:lang w:eastAsia="ko-KR"/>
        </w:rPr>
        <w:t xml:space="preserve"> is not a complete description of the joint research efforts from both sides.</w:t>
      </w:r>
    </w:p>
    <w:p w14:paraId="0E6CAFB5" w14:textId="77777777" w:rsidR="00423DE8" w:rsidRPr="00423DE8" w:rsidRDefault="00423DE8" w:rsidP="00423DE8">
      <w:pPr>
        <w:spacing w:before="480" w:after="120"/>
        <w:rPr>
          <w:rFonts w:ascii="Arial" w:eastAsiaTheme="minorEastAsia" w:hAnsi="Arial"/>
          <w:b/>
          <w:i/>
          <w:sz w:val="24"/>
        </w:rPr>
      </w:pPr>
      <w:r w:rsidRPr="00423DE8">
        <w:rPr>
          <w:rFonts w:ascii="Arial" w:eastAsiaTheme="minorEastAsia" w:hAnsi="Arial"/>
          <w:b/>
          <w:i/>
          <w:sz w:val="24"/>
        </w:rPr>
        <w:t xml:space="preserve">WG1, </w:t>
      </w:r>
      <w:proofErr w:type="spellStart"/>
      <w:r w:rsidRPr="00423DE8">
        <w:rPr>
          <w:rFonts w:ascii="Arial" w:eastAsiaTheme="minorEastAsia" w:hAnsi="Arial"/>
          <w:b/>
          <w:i/>
          <w:sz w:val="24"/>
        </w:rPr>
        <w:t>Paleoceanography</w:t>
      </w:r>
      <w:proofErr w:type="spellEnd"/>
    </w:p>
    <w:p w14:paraId="7A9D5871" w14:textId="77777777" w:rsidR="00423DE8" w:rsidRPr="00423DE8" w:rsidRDefault="00423DE8" w:rsidP="00423DE8">
      <w:pPr>
        <w:tabs>
          <w:tab w:val="num" w:pos="360"/>
        </w:tabs>
        <w:spacing w:before="120"/>
        <w:rPr>
          <w:rFonts w:eastAsiaTheme="minorEastAsia"/>
          <w:highlight w:val="yellow"/>
          <w:lang w:eastAsia="ko-KR"/>
        </w:rPr>
      </w:pPr>
      <w:r w:rsidRPr="00423DE8">
        <w:rPr>
          <w:rFonts w:eastAsiaTheme="minorEastAsia"/>
          <w:lang w:eastAsia="zh-CN"/>
        </w:rPr>
        <w:t xml:space="preserve">The Southern Ocean sedimentary records can indicate past atmosphere-ocean-ice interactions in Antarctic marginal seas and its links to the global climate system. </w:t>
      </w:r>
      <w:proofErr w:type="spellStart"/>
      <w:r w:rsidRPr="00423DE8">
        <w:rPr>
          <w:rFonts w:eastAsiaTheme="minorEastAsia"/>
          <w:lang w:eastAsia="zh-CN"/>
        </w:rPr>
        <w:t>Paleoceanography</w:t>
      </w:r>
      <w:proofErr w:type="spellEnd"/>
      <w:r w:rsidRPr="00423DE8">
        <w:rPr>
          <w:rFonts w:eastAsiaTheme="minorEastAsia"/>
          <w:lang w:eastAsia="zh-CN"/>
        </w:rPr>
        <w:t xml:space="preserve"> group has plans to acquire sediment core samples</w:t>
      </w:r>
      <w:r w:rsidRPr="00423DE8">
        <w:rPr>
          <w:rFonts w:eastAsiaTheme="minorEastAsia"/>
          <w:lang w:eastAsia="ko-KR"/>
        </w:rPr>
        <w:t xml:space="preserve"> during the expedition on Chilean research vessel </w:t>
      </w:r>
      <w:proofErr w:type="spellStart"/>
      <w:r w:rsidRPr="00423DE8">
        <w:rPr>
          <w:rFonts w:eastAsiaTheme="minorEastAsia"/>
          <w:lang w:eastAsia="ko-KR"/>
        </w:rPr>
        <w:t>Karpuj</w:t>
      </w:r>
      <w:proofErr w:type="spellEnd"/>
      <w:r w:rsidRPr="00423DE8">
        <w:rPr>
          <w:rFonts w:eastAsiaTheme="minorEastAsia"/>
          <w:lang w:eastAsia="ko-KR"/>
        </w:rPr>
        <w:t xml:space="preserve"> and Korean Icebreaking research vessel </w:t>
      </w:r>
      <w:proofErr w:type="spellStart"/>
      <w:r w:rsidRPr="00423DE8">
        <w:rPr>
          <w:rFonts w:eastAsiaTheme="minorEastAsia"/>
          <w:lang w:eastAsia="ko-KR"/>
        </w:rPr>
        <w:t>Araon</w:t>
      </w:r>
      <w:proofErr w:type="spellEnd"/>
      <w:r w:rsidRPr="00423DE8">
        <w:rPr>
          <w:rFonts w:eastAsiaTheme="minorEastAsia"/>
          <w:lang w:eastAsia="zh-CN"/>
        </w:rPr>
        <w:t xml:space="preserve">. The </w:t>
      </w:r>
      <w:r w:rsidRPr="00423DE8">
        <w:rPr>
          <w:rFonts w:eastAsiaTheme="minorEastAsia"/>
          <w:lang w:eastAsia="ko-KR"/>
        </w:rPr>
        <w:t xml:space="preserve">sediment core samples collected from the Antarctic Peninsula and the </w:t>
      </w:r>
      <w:proofErr w:type="gramStart"/>
      <w:r w:rsidRPr="00423DE8">
        <w:rPr>
          <w:rFonts w:eastAsiaTheme="minorEastAsia"/>
          <w:lang w:eastAsia="ko-KR"/>
        </w:rPr>
        <w:t>Ross sea</w:t>
      </w:r>
      <w:proofErr w:type="gramEnd"/>
      <w:r w:rsidRPr="00423DE8">
        <w:rPr>
          <w:rFonts w:eastAsiaTheme="minorEastAsia"/>
          <w:lang w:eastAsia="ko-KR"/>
        </w:rPr>
        <w:t xml:space="preserve"> region respectively, will be able to shed light on the variability in past climatic events and teleconnections through multi-proxy investigation.</w:t>
      </w:r>
    </w:p>
    <w:p w14:paraId="0156CEE8" w14:textId="77777777" w:rsidR="00423DE8" w:rsidRPr="00423DE8" w:rsidRDefault="00423DE8" w:rsidP="00423DE8">
      <w:pPr>
        <w:spacing w:before="480" w:after="120"/>
        <w:rPr>
          <w:rFonts w:ascii="Arial" w:eastAsiaTheme="minorEastAsia" w:hAnsi="Arial"/>
          <w:b/>
          <w:i/>
          <w:sz w:val="24"/>
        </w:rPr>
      </w:pPr>
      <w:r w:rsidRPr="00423DE8">
        <w:rPr>
          <w:rFonts w:ascii="Arial" w:eastAsiaTheme="minorEastAsia" w:hAnsi="Arial"/>
          <w:b/>
          <w:i/>
          <w:sz w:val="24"/>
        </w:rPr>
        <w:t xml:space="preserve">WG2, Role of the Southern Ocean in </w:t>
      </w:r>
      <w:r w:rsidRPr="00423DE8">
        <w:rPr>
          <w:rFonts w:ascii="Arial" w:eastAsiaTheme="minorEastAsia" w:hAnsi="Arial"/>
          <w:b/>
          <w:i/>
          <w:sz w:val="24"/>
          <w:lang w:eastAsia="ko-KR"/>
        </w:rPr>
        <w:t>S</w:t>
      </w:r>
      <w:r w:rsidRPr="00423DE8">
        <w:rPr>
          <w:rFonts w:ascii="Arial" w:eastAsiaTheme="minorEastAsia" w:hAnsi="Arial"/>
          <w:b/>
          <w:i/>
          <w:sz w:val="24"/>
        </w:rPr>
        <w:t xml:space="preserve">torage of Greenhouse Gases </w:t>
      </w:r>
    </w:p>
    <w:p w14:paraId="7A4C4476" w14:textId="77777777" w:rsidR="00423DE8" w:rsidRPr="00423DE8" w:rsidRDefault="00423DE8" w:rsidP="00423DE8">
      <w:pPr>
        <w:tabs>
          <w:tab w:val="num" w:pos="360"/>
        </w:tabs>
        <w:spacing w:before="120"/>
        <w:rPr>
          <w:rFonts w:eastAsiaTheme="minorEastAsia"/>
          <w:lang w:eastAsia="zh-CN"/>
        </w:rPr>
      </w:pPr>
      <w:r w:rsidRPr="00423DE8">
        <w:rPr>
          <w:rFonts w:eastAsiaTheme="minorEastAsia"/>
          <w:lang w:eastAsia="zh-CN"/>
        </w:rPr>
        <w:t>The role of Southern Ocean as a sink of carbon dioxide is causing ocean acidification and disrupting coastal ecosystems. Furthermore, freshwater discharge from the melting glacier has a sharp impact on the inorganic carbon cycle in the coastal environment. The research reams will jointly perform carbon system monitoring connecting King George Island, Bransfield Strait and Antarctic Peninsula, as well as chemical and biological fluctuations in the coast of the Antarctic Peninsula. It is expected that carbon system monitoring would provide a time series of the Southern Ocean impacted by accelerating glacier melt discharge.</w:t>
      </w:r>
    </w:p>
    <w:p w14:paraId="5AEB6D2F" w14:textId="77777777" w:rsidR="00423DE8" w:rsidRPr="00423DE8" w:rsidRDefault="00423DE8" w:rsidP="00423DE8">
      <w:pPr>
        <w:spacing w:before="480" w:after="120"/>
        <w:rPr>
          <w:rFonts w:ascii="Arial" w:eastAsiaTheme="minorEastAsia" w:hAnsi="Arial"/>
          <w:b/>
          <w:i/>
          <w:sz w:val="24"/>
        </w:rPr>
      </w:pPr>
      <w:r w:rsidRPr="00423DE8">
        <w:rPr>
          <w:rFonts w:ascii="Arial" w:eastAsiaTheme="minorEastAsia" w:hAnsi="Arial"/>
          <w:b/>
          <w:i/>
          <w:sz w:val="24"/>
        </w:rPr>
        <w:t>WG3-4, Monitoring of Biodiversity and Management of Invasive Species</w:t>
      </w:r>
    </w:p>
    <w:p w14:paraId="14C8954B" w14:textId="77777777" w:rsidR="00423DE8" w:rsidRPr="00423DE8" w:rsidRDefault="00423DE8" w:rsidP="00423DE8">
      <w:pPr>
        <w:tabs>
          <w:tab w:val="num" w:pos="360"/>
        </w:tabs>
        <w:spacing w:before="120"/>
        <w:rPr>
          <w:rFonts w:eastAsiaTheme="minorEastAsia"/>
          <w:lang w:eastAsia="zh-CN"/>
        </w:rPr>
      </w:pPr>
      <w:r w:rsidRPr="00423DE8">
        <w:rPr>
          <w:rFonts w:eastAsiaTheme="minorEastAsia"/>
          <w:lang w:eastAsia="zh-CN"/>
        </w:rPr>
        <w:t xml:space="preserve">The impact of climate change on Antarctic ecosystem includes significant disruption of the distribution, </w:t>
      </w:r>
      <w:proofErr w:type="gramStart"/>
      <w:r w:rsidRPr="00423DE8">
        <w:rPr>
          <w:rFonts w:eastAsiaTheme="minorEastAsia"/>
          <w:lang w:eastAsia="zh-CN"/>
        </w:rPr>
        <w:t>abundance</w:t>
      </w:r>
      <w:proofErr w:type="gramEnd"/>
      <w:r w:rsidRPr="00423DE8">
        <w:rPr>
          <w:rFonts w:eastAsiaTheme="minorEastAsia"/>
          <w:lang w:eastAsia="zh-CN"/>
        </w:rPr>
        <w:t xml:space="preserve"> and productivity of its inhabiting species, yet our knowledge of the current status remains limited. Meta-analysis of species turnover and its physiological responses by recording habit-based biogeographic syntheses will give us a better understanding of biogeochemical processes and climate driven responses in each trophic species. </w:t>
      </w:r>
    </w:p>
    <w:p w14:paraId="6E142354" w14:textId="77777777" w:rsidR="00423DE8" w:rsidRPr="00423DE8" w:rsidRDefault="00423DE8" w:rsidP="00423DE8">
      <w:pPr>
        <w:tabs>
          <w:tab w:val="num" w:pos="360"/>
        </w:tabs>
        <w:spacing w:before="120"/>
        <w:rPr>
          <w:rFonts w:eastAsiaTheme="minorEastAsia"/>
          <w:highlight w:val="yellow"/>
          <w:lang w:eastAsia="ko-KR"/>
        </w:rPr>
      </w:pPr>
      <w:r w:rsidRPr="00423DE8">
        <w:rPr>
          <w:rFonts w:eastAsiaTheme="minorEastAsia"/>
          <w:lang w:eastAsia="zh-CN"/>
        </w:rPr>
        <w:t>In addition, there are on-going efforts to identify and eliminate non-native species in human settlements and its vicinities. The research</w:t>
      </w:r>
      <w:r w:rsidRPr="00423DE8">
        <w:rPr>
          <w:rFonts w:eastAsiaTheme="minorEastAsia"/>
          <w:lang w:eastAsia="ko-KR"/>
        </w:rPr>
        <w:t xml:space="preserve"> team, in cooperation with the operators of other Antarctic stations, have analysed water and sediment samples from each research station and </w:t>
      </w:r>
      <w:r w:rsidRPr="00423DE8">
        <w:rPr>
          <w:rFonts w:eastAsiaTheme="minorEastAsia"/>
          <w:lang w:eastAsia="ko-KR"/>
        </w:rPr>
        <w:lastRenderedPageBreak/>
        <w:t xml:space="preserve">reported the results to the CEP. Works are underway to prepare a management plan to prevent the spread and eradicate non-native and invasive species. </w:t>
      </w:r>
    </w:p>
    <w:p w14:paraId="159C397D" w14:textId="77777777" w:rsidR="00423DE8" w:rsidRPr="00423DE8" w:rsidRDefault="00423DE8" w:rsidP="00423DE8">
      <w:pPr>
        <w:tabs>
          <w:tab w:val="num" w:pos="360"/>
        </w:tabs>
        <w:spacing w:before="120"/>
        <w:rPr>
          <w:rFonts w:eastAsiaTheme="minorEastAsia"/>
          <w:b/>
          <w:highlight w:val="yellow"/>
          <w:lang w:eastAsia="ko-KR"/>
        </w:rPr>
      </w:pPr>
    </w:p>
    <w:p w14:paraId="25564083" w14:textId="77777777" w:rsidR="00423DE8" w:rsidRPr="00423DE8" w:rsidRDefault="00423DE8" w:rsidP="00423DE8">
      <w:pPr>
        <w:spacing w:before="480" w:after="120"/>
        <w:rPr>
          <w:rFonts w:ascii="Arial" w:eastAsiaTheme="minorEastAsia" w:hAnsi="Arial"/>
          <w:b/>
          <w:i/>
          <w:sz w:val="24"/>
        </w:rPr>
      </w:pPr>
      <w:r w:rsidRPr="00423DE8">
        <w:rPr>
          <w:rFonts w:ascii="Arial" w:eastAsiaTheme="minorEastAsia" w:hAnsi="Arial"/>
          <w:b/>
          <w:i/>
          <w:sz w:val="24"/>
        </w:rPr>
        <w:t>WG5, Earthquake Monitoring</w:t>
      </w:r>
    </w:p>
    <w:p w14:paraId="78F59BBB" w14:textId="77777777" w:rsidR="00423DE8" w:rsidRPr="00423DE8" w:rsidRDefault="00423DE8" w:rsidP="00423DE8">
      <w:pPr>
        <w:tabs>
          <w:tab w:val="num" w:pos="360"/>
        </w:tabs>
        <w:spacing w:before="120"/>
        <w:rPr>
          <w:rFonts w:eastAsiaTheme="minorEastAsia"/>
          <w:highlight w:val="yellow"/>
          <w:lang w:eastAsia="zh-CN"/>
        </w:rPr>
      </w:pPr>
      <w:r w:rsidRPr="00423DE8">
        <w:rPr>
          <w:rFonts w:eastAsia="DengXian"/>
          <w:lang w:eastAsia="zh-CN"/>
        </w:rPr>
        <w:t xml:space="preserve">Recent reports of frequent earthquakes in the South Atlantic sector of the Southern Ocean represent both safety concerns and scientific challenges. </w:t>
      </w:r>
      <w:r w:rsidRPr="00423DE8">
        <w:rPr>
          <w:rFonts w:eastAsiaTheme="minorEastAsia"/>
          <w:lang w:eastAsia="ko-KR"/>
        </w:rPr>
        <w:t xml:space="preserve">Chile and the Republic of Korea are operating research stations in the Antarctic </w:t>
      </w:r>
      <w:proofErr w:type="gramStart"/>
      <w:r w:rsidRPr="00423DE8">
        <w:rPr>
          <w:rFonts w:eastAsiaTheme="minorEastAsia"/>
          <w:lang w:eastAsia="ko-KR"/>
        </w:rPr>
        <w:t>Peninsula, and</w:t>
      </w:r>
      <w:proofErr w:type="gramEnd"/>
      <w:r w:rsidRPr="00423DE8">
        <w:rPr>
          <w:rFonts w:eastAsiaTheme="minorEastAsia"/>
          <w:lang w:eastAsia="ko-KR"/>
        </w:rPr>
        <w:t xml:space="preserve"> has been working closely with other operators to ensure early detection of earthquakes using real-time seismic server and bathymetry data. The research team will install and deploy additional observation equipment, so that more real-time and stable earthquake data can be added to those obtained from the Chilean seismic station. The aim is to assist with more timely </w:t>
      </w:r>
      <w:proofErr w:type="gramStart"/>
      <w:r w:rsidRPr="00423DE8">
        <w:rPr>
          <w:rFonts w:eastAsiaTheme="minorEastAsia"/>
          <w:lang w:eastAsia="ko-KR"/>
        </w:rPr>
        <w:t>and  accurate</w:t>
      </w:r>
      <w:proofErr w:type="gramEnd"/>
      <w:r w:rsidRPr="00423DE8">
        <w:rPr>
          <w:rFonts w:eastAsiaTheme="minorEastAsia"/>
          <w:lang w:eastAsia="ko-KR"/>
        </w:rPr>
        <w:t xml:space="preserve"> earthquake prediction and contribute towards developing emergency response plan.</w:t>
      </w:r>
    </w:p>
    <w:p w14:paraId="01645357" w14:textId="77777777" w:rsidR="00423DE8" w:rsidRPr="00423DE8" w:rsidRDefault="00423DE8" w:rsidP="00423DE8">
      <w:pPr>
        <w:spacing w:before="480" w:after="120"/>
        <w:rPr>
          <w:rFonts w:ascii="Arial" w:eastAsiaTheme="minorEastAsia" w:hAnsi="Arial"/>
          <w:b/>
          <w:i/>
          <w:sz w:val="24"/>
        </w:rPr>
      </w:pPr>
      <w:r w:rsidRPr="00423DE8">
        <w:rPr>
          <w:rFonts w:ascii="Arial" w:eastAsiaTheme="minorEastAsia" w:hAnsi="Arial"/>
          <w:b/>
          <w:i/>
          <w:sz w:val="24"/>
        </w:rPr>
        <w:t>WG6, Recovery of Antarctic Marine Fishery Resources</w:t>
      </w:r>
    </w:p>
    <w:p w14:paraId="00DDF492" w14:textId="77777777" w:rsidR="00423DE8" w:rsidRPr="00423DE8" w:rsidRDefault="00423DE8" w:rsidP="00423DE8">
      <w:pPr>
        <w:tabs>
          <w:tab w:val="num" w:pos="360"/>
        </w:tabs>
        <w:spacing w:before="120"/>
        <w:rPr>
          <w:rFonts w:eastAsiaTheme="minorEastAsia"/>
          <w:highlight w:val="yellow"/>
          <w:lang w:eastAsia="zh-CN"/>
        </w:rPr>
      </w:pPr>
      <w:proofErr w:type="gramStart"/>
      <w:r w:rsidRPr="00423DE8">
        <w:rPr>
          <w:rFonts w:eastAsiaTheme="minorEastAsia"/>
          <w:szCs w:val="22"/>
          <w:lang w:eastAsia="zh-CN"/>
        </w:rPr>
        <w:t>In order to</w:t>
      </w:r>
      <w:proofErr w:type="gramEnd"/>
      <w:r w:rsidRPr="00423DE8">
        <w:rPr>
          <w:rFonts w:eastAsiaTheme="minorEastAsia"/>
          <w:szCs w:val="22"/>
          <w:lang w:eastAsia="zh-CN"/>
        </w:rPr>
        <w:t xml:space="preserve"> understand the life cycle of fishes and aquatic invertebrates, thermal, salinity ranges, as well as optimal breeding conditions including reproduction and hatching, the research group will focus on the survival conditions under captivity, and the microbiome comparison between the captive and wild fish found in Antarctica to identify differences due to habitat. The knowledge about the growth of Antarctic species in captivity is one of the key aspects that can contribute greatly towards preparing the new aquariums for the Antarctic International </w:t>
      </w:r>
      <w:proofErr w:type="spellStart"/>
      <w:r w:rsidRPr="00423DE8">
        <w:rPr>
          <w:rFonts w:eastAsiaTheme="minorEastAsia"/>
          <w:szCs w:val="22"/>
          <w:lang w:eastAsia="zh-CN"/>
        </w:rPr>
        <w:t>Center</w:t>
      </w:r>
      <w:proofErr w:type="spellEnd"/>
      <w:r w:rsidRPr="00423DE8">
        <w:rPr>
          <w:rFonts w:eastAsiaTheme="minorEastAsia"/>
          <w:szCs w:val="22"/>
          <w:lang w:eastAsia="zh-CN"/>
        </w:rPr>
        <w:t xml:space="preserve"> (CAI), located in the sector of Sandy Point, Punta Arenas. This building will be more than 22,000 m</w:t>
      </w:r>
      <w:r w:rsidRPr="00423DE8">
        <w:rPr>
          <w:rFonts w:eastAsiaTheme="minorEastAsia"/>
          <w:szCs w:val="22"/>
          <w:vertAlign w:val="superscript"/>
          <w:lang w:eastAsia="zh-CN"/>
        </w:rPr>
        <w:t>2</w:t>
      </w:r>
      <w:r w:rsidRPr="00423DE8">
        <w:rPr>
          <w:rFonts w:eastAsiaTheme="minorEastAsia"/>
          <w:szCs w:val="22"/>
          <w:lang w:eastAsia="zh-CN"/>
        </w:rPr>
        <w:t xml:space="preserve"> in size, and have spaces for a museum, laboratories, logistics, aquarium, and </w:t>
      </w:r>
      <w:proofErr w:type="gramStart"/>
      <w:r w:rsidRPr="00423DE8">
        <w:rPr>
          <w:rFonts w:eastAsiaTheme="minorEastAsia"/>
          <w:szCs w:val="22"/>
          <w:lang w:eastAsia="zh-CN"/>
        </w:rPr>
        <w:t>Antarctic-subantarctic forest</w:t>
      </w:r>
      <w:proofErr w:type="gramEnd"/>
      <w:r w:rsidRPr="00423DE8">
        <w:rPr>
          <w:rFonts w:eastAsiaTheme="minorEastAsia"/>
          <w:szCs w:val="22"/>
          <w:lang w:eastAsia="zh-CN"/>
        </w:rPr>
        <w:t>. The building will be able to provide support for Antarctic researchers who conducts Antarctic investigation.</w:t>
      </w:r>
    </w:p>
    <w:p w14:paraId="5DFC2ED9" w14:textId="77777777" w:rsidR="00423DE8" w:rsidRPr="00423DE8" w:rsidRDefault="00423DE8" w:rsidP="00423DE8">
      <w:pPr>
        <w:spacing w:before="480" w:after="120"/>
        <w:rPr>
          <w:rFonts w:ascii="Arial" w:eastAsiaTheme="minorEastAsia" w:hAnsi="Arial"/>
          <w:b/>
          <w:i/>
          <w:sz w:val="24"/>
        </w:rPr>
      </w:pPr>
      <w:r w:rsidRPr="00423DE8">
        <w:rPr>
          <w:rFonts w:ascii="Arial" w:eastAsiaTheme="minorEastAsia" w:hAnsi="Arial"/>
          <w:b/>
          <w:i/>
          <w:sz w:val="24"/>
        </w:rPr>
        <w:t xml:space="preserve">WG7, Monitoring of Marine Pollution </w:t>
      </w:r>
    </w:p>
    <w:p w14:paraId="2E9E2DCF" w14:textId="77777777" w:rsidR="00423DE8" w:rsidRPr="00423DE8" w:rsidRDefault="00423DE8" w:rsidP="00423DE8">
      <w:pPr>
        <w:tabs>
          <w:tab w:val="num" w:pos="360"/>
        </w:tabs>
        <w:spacing w:before="120"/>
        <w:rPr>
          <w:rFonts w:eastAsia="DengXian"/>
          <w:highlight w:val="yellow"/>
          <w:lang w:eastAsia="zh-CN"/>
        </w:rPr>
      </w:pPr>
      <w:r w:rsidRPr="00423DE8">
        <w:rPr>
          <w:rFonts w:eastAsiaTheme="minorEastAsia"/>
          <w:lang w:eastAsia="ko-KR"/>
        </w:rPr>
        <w:t xml:space="preserve">As King George Island hosts many year-round and summer-only research stations, it is inevitably impacted by movement of human population during field activities. Korean research team has conducted a pilot study of marine litter in the vicinity of Antarctic King Sejong </w:t>
      </w:r>
      <w:proofErr w:type="gramStart"/>
      <w:r w:rsidRPr="00423DE8">
        <w:rPr>
          <w:rFonts w:eastAsiaTheme="minorEastAsia"/>
          <w:lang w:eastAsia="ko-KR"/>
        </w:rPr>
        <w:t>Station, and</w:t>
      </w:r>
      <w:proofErr w:type="gramEnd"/>
      <w:r w:rsidRPr="00423DE8">
        <w:rPr>
          <w:rFonts w:eastAsiaTheme="minorEastAsia"/>
          <w:lang w:eastAsia="ko-KR"/>
        </w:rPr>
        <w:t xml:space="preserve"> will be conducting additional field studies on marine litter with their Chilean counterparts in Ardley Island to identify further criteria for data analysis and protocols. The collected marine litter will also be compared with the Sub-Antarctic (Punta Arenas) coastal litter for composition analysis.</w:t>
      </w:r>
    </w:p>
    <w:p w14:paraId="055029CE" w14:textId="77777777" w:rsidR="00423DE8" w:rsidRPr="00423DE8" w:rsidRDefault="00423DE8" w:rsidP="00423DE8">
      <w:pPr>
        <w:spacing w:before="480" w:after="120"/>
        <w:rPr>
          <w:rFonts w:ascii="Arial" w:eastAsiaTheme="minorEastAsia" w:hAnsi="Arial"/>
          <w:b/>
          <w:i/>
          <w:sz w:val="24"/>
        </w:rPr>
      </w:pPr>
      <w:r w:rsidRPr="00423DE8">
        <w:rPr>
          <w:rFonts w:ascii="Arial" w:eastAsiaTheme="minorEastAsia" w:hAnsi="Arial"/>
          <w:b/>
          <w:i/>
          <w:sz w:val="24"/>
        </w:rPr>
        <w:t>Future Directions</w:t>
      </w:r>
    </w:p>
    <w:p w14:paraId="372B8B25" w14:textId="6F6081E0" w:rsidR="00423DE8" w:rsidRDefault="00423DE8" w:rsidP="00423DE8">
      <w:r w:rsidRPr="00423DE8">
        <w:rPr>
          <w:rFonts w:eastAsia="Malgun Gothic"/>
          <w:lang w:eastAsia="ko-KR"/>
        </w:rPr>
        <w:t xml:space="preserve">The workshop identified further activities for improving and reinforcing the cooperation between both institutions, such as: a) to share research platforms and infrastructures for conducting studies discussed by researchers from both countries, b) to promote publication productivity and quality of research, c) to conduct field survey during the 2021-22 Austral summer season based on the discussions from the workshop. Findings from the field and future activities will be dealt in detail through a follow-up workshop later in the </w:t>
      </w:r>
      <w:proofErr w:type="gramStart"/>
      <w:r w:rsidRPr="00423DE8">
        <w:rPr>
          <w:rFonts w:eastAsia="Malgun Gothic"/>
          <w:lang w:eastAsia="ko-KR"/>
        </w:rPr>
        <w:t>year, and</w:t>
      </w:r>
      <w:proofErr w:type="gramEnd"/>
      <w:r w:rsidRPr="00423DE8">
        <w:rPr>
          <w:rFonts w:eastAsia="Malgun Gothic"/>
          <w:lang w:eastAsia="ko-KR"/>
        </w:rPr>
        <w:t xml:space="preserve"> will be shared with the greater scientific community through presentations in international conferences, such as the Open Science Conference organized by the Scientific Committee on Antarctic Research (SCAR).</w:t>
      </w:r>
    </w:p>
    <w:sectPr w:rsidR="00423DE8"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DC6E0" w14:textId="77777777" w:rsidR="00000000" w:rsidRDefault="00423DE8">
      <w:r>
        <w:separator/>
      </w:r>
    </w:p>
  </w:endnote>
  <w:endnote w:type="continuationSeparator" w:id="0">
    <w:p w14:paraId="1D868E27" w14:textId="77777777" w:rsidR="00000000" w:rsidRDefault="0042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w:altName w:val="µÈÏß"/>
    <w:panose1 w:val="02010600030101010101"/>
    <w:charset w:val="86"/>
    <w:family w:val="auto"/>
    <w:pitch w:val="variable"/>
    <w:sig w:usb0="A00002BF" w:usb1="38CF7CFA" w:usb2="00000016" w:usb3="00000000" w:csb0="0004000F" w:csb1="00000000"/>
  </w:font>
  <w:font w:name="Malgun Gothic">
    <w:altName w:val="¸¼Àº °íµñ"/>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4BC6" w14:textId="77777777" w:rsidR="00FA0B9F" w:rsidRDefault="00423DE8" w:rsidP="00CF5C82">
    <w:pPr>
      <w:framePr w:wrap="around" w:vAnchor="text" w:hAnchor="margin" w:xAlign="right" w:y="1"/>
    </w:pPr>
    <w:r>
      <w:fldChar w:fldCharType="begin"/>
    </w:r>
    <w:r>
      <w:instrText xml:space="preserve">PAGE  </w:instrText>
    </w:r>
    <w:r>
      <w:fldChar w:fldCharType="separate"/>
    </w:r>
    <w:r>
      <w:fldChar w:fldCharType="end"/>
    </w:r>
  </w:p>
  <w:p w14:paraId="5051AEBD" w14:textId="77777777" w:rsidR="00FA0B9F" w:rsidRDefault="00423DE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E0B2" w14:textId="77777777" w:rsidR="00FA0B9F" w:rsidRDefault="00423DE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A3ADFD5" w14:textId="7DCA58F6" w:rsidR="00FA0B9F" w:rsidRDefault="00423DE8"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C6D6" w14:textId="77777777" w:rsidR="00E311C9" w:rsidRDefault="00423DE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91FAF8C" w14:textId="77777777" w:rsidR="00E311C9" w:rsidRDefault="00423DE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3110C" w14:textId="77777777" w:rsidR="00000000" w:rsidRDefault="00423DE8">
      <w:r>
        <w:separator/>
      </w:r>
    </w:p>
  </w:footnote>
  <w:footnote w:type="continuationSeparator" w:id="0">
    <w:p w14:paraId="633536F3" w14:textId="77777777" w:rsidR="00000000" w:rsidRDefault="00423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3F68CB" w14:paraId="0921097F" w14:textId="77777777" w:rsidTr="00490760">
      <w:trPr>
        <w:trHeight w:val="344"/>
        <w:jc w:val="center"/>
      </w:trPr>
      <w:tc>
        <w:tcPr>
          <w:tcW w:w="5495" w:type="dxa"/>
        </w:tcPr>
        <w:p w14:paraId="2AB474F5" w14:textId="77777777" w:rsidR="00DB7C09" w:rsidRDefault="00423DE8" w:rsidP="00F968D4"/>
      </w:tc>
      <w:tc>
        <w:tcPr>
          <w:tcW w:w="4253" w:type="dxa"/>
          <w:gridSpan w:val="2"/>
        </w:tcPr>
        <w:p w14:paraId="67F7A7CE" w14:textId="77777777" w:rsidR="00DB7C09" w:rsidRPr="00BD47E4" w:rsidRDefault="00423DE8" w:rsidP="002A07BC">
          <w:pPr>
            <w:jc w:val="right"/>
            <w:rPr>
              <w:b/>
              <w:sz w:val="32"/>
              <w:szCs w:val="32"/>
            </w:rPr>
          </w:pPr>
          <w:bookmarkStart w:id="2" w:name="type"/>
          <w:r w:rsidRPr="00BD47E4">
            <w:rPr>
              <w:b/>
              <w:sz w:val="32"/>
              <w:szCs w:val="32"/>
            </w:rPr>
            <w:t>IP</w:t>
          </w:r>
          <w:bookmarkEnd w:id="2"/>
        </w:p>
      </w:tc>
      <w:tc>
        <w:tcPr>
          <w:tcW w:w="1524" w:type="dxa"/>
          <w:gridSpan w:val="2"/>
        </w:tcPr>
        <w:p w14:paraId="22ED6AA5" w14:textId="77777777" w:rsidR="00DB7C09" w:rsidRPr="00BD47E4" w:rsidRDefault="00423DE8" w:rsidP="00DB7C09">
          <w:pPr>
            <w:rPr>
              <w:b/>
              <w:sz w:val="32"/>
              <w:szCs w:val="32"/>
            </w:rPr>
          </w:pPr>
          <w:bookmarkStart w:id="3" w:name="number"/>
          <w:r w:rsidRPr="00BD47E4">
            <w:rPr>
              <w:b/>
              <w:sz w:val="32"/>
              <w:szCs w:val="32"/>
            </w:rPr>
            <w:t>13</w:t>
          </w:r>
          <w:bookmarkEnd w:id="3"/>
        </w:p>
      </w:tc>
    </w:tr>
    <w:tr w:rsidR="003F68CB" w14:paraId="13CB8741" w14:textId="77777777" w:rsidTr="00490760">
      <w:trPr>
        <w:trHeight w:val="2165"/>
        <w:jc w:val="center"/>
      </w:trPr>
      <w:tc>
        <w:tcPr>
          <w:tcW w:w="5495" w:type="dxa"/>
        </w:tcPr>
        <w:p w14:paraId="53760089" w14:textId="77777777" w:rsidR="00490760" w:rsidRPr="00EE4D48" w:rsidRDefault="00423DE8" w:rsidP="002A07BC">
          <w:pPr>
            <w:rPr>
              <w:b/>
              <w:sz w:val="28"/>
              <w:szCs w:val="28"/>
            </w:rPr>
          </w:pPr>
          <w:r>
            <w:rPr>
              <w:noProof/>
            </w:rPr>
            <w:drawing>
              <wp:inline distT="0" distB="0" distL="0" distR="0" wp14:anchorId="6D5C21C2" wp14:editId="0287EE57">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890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70FF78D5" w14:textId="77777777" w:rsidR="00490760" w:rsidRPr="00FE5146" w:rsidRDefault="00423DE8" w:rsidP="00490760">
          <w:pPr>
            <w:jc w:val="right"/>
            <w:rPr>
              <w:sz w:val="144"/>
              <w:szCs w:val="144"/>
            </w:rPr>
          </w:pPr>
          <w:r w:rsidRPr="00FE5146">
            <w:rPr>
              <w:sz w:val="144"/>
              <w:szCs w:val="144"/>
            </w:rPr>
            <w:t>ENG</w:t>
          </w:r>
        </w:p>
      </w:tc>
    </w:tr>
    <w:tr w:rsidR="003F68CB" w14:paraId="2554FE6E" w14:textId="77777777" w:rsidTr="00BD47E4">
      <w:trPr>
        <w:trHeight w:val="409"/>
        <w:jc w:val="center"/>
      </w:trPr>
      <w:tc>
        <w:tcPr>
          <w:tcW w:w="9039" w:type="dxa"/>
          <w:gridSpan w:val="2"/>
        </w:tcPr>
        <w:p w14:paraId="02109678" w14:textId="77777777" w:rsidR="00BD47E4" w:rsidRDefault="00423DE8" w:rsidP="002C30DA">
          <w:pPr>
            <w:jc w:val="right"/>
          </w:pPr>
          <w:r>
            <w:t>Agenda Item:</w:t>
          </w:r>
        </w:p>
      </w:tc>
      <w:tc>
        <w:tcPr>
          <w:tcW w:w="1843" w:type="dxa"/>
          <w:gridSpan w:val="2"/>
        </w:tcPr>
        <w:p w14:paraId="51692281" w14:textId="77777777" w:rsidR="00BD47E4" w:rsidRDefault="00423DE8" w:rsidP="002C30DA">
          <w:pPr>
            <w:jc w:val="right"/>
          </w:pPr>
          <w:bookmarkStart w:id="4" w:name="agenda"/>
          <w:r>
            <w:t>ATCM 15</w:t>
          </w:r>
          <w:bookmarkEnd w:id="4"/>
        </w:p>
      </w:tc>
      <w:tc>
        <w:tcPr>
          <w:tcW w:w="390" w:type="dxa"/>
        </w:tcPr>
        <w:p w14:paraId="495D8F73" w14:textId="77777777" w:rsidR="00BD47E4" w:rsidRDefault="00423DE8" w:rsidP="00387A65">
          <w:pPr>
            <w:jc w:val="right"/>
          </w:pPr>
        </w:p>
      </w:tc>
    </w:tr>
    <w:tr w:rsidR="003F68CB" w14:paraId="7E857F81" w14:textId="77777777" w:rsidTr="00BD47E4">
      <w:trPr>
        <w:trHeight w:val="397"/>
        <w:jc w:val="center"/>
      </w:trPr>
      <w:tc>
        <w:tcPr>
          <w:tcW w:w="9039" w:type="dxa"/>
          <w:gridSpan w:val="2"/>
        </w:tcPr>
        <w:p w14:paraId="48B178A9" w14:textId="77777777" w:rsidR="00BD47E4" w:rsidRDefault="00423DE8" w:rsidP="002C30DA">
          <w:pPr>
            <w:jc w:val="right"/>
          </w:pPr>
          <w:r>
            <w:t>Presented by:</w:t>
          </w:r>
        </w:p>
      </w:tc>
      <w:tc>
        <w:tcPr>
          <w:tcW w:w="1843" w:type="dxa"/>
          <w:gridSpan w:val="2"/>
        </w:tcPr>
        <w:p w14:paraId="5B6EB5CC" w14:textId="2664E9F1" w:rsidR="00BD47E4" w:rsidRDefault="00423DE8" w:rsidP="002C30DA">
          <w:pPr>
            <w:jc w:val="right"/>
          </w:pPr>
          <w:bookmarkStart w:id="5" w:name="party"/>
          <w:r>
            <w:t>Korea (ROK)</w:t>
          </w:r>
          <w:bookmarkEnd w:id="5"/>
          <w:r>
            <w:t>, Chile</w:t>
          </w:r>
        </w:p>
      </w:tc>
      <w:tc>
        <w:tcPr>
          <w:tcW w:w="390" w:type="dxa"/>
        </w:tcPr>
        <w:p w14:paraId="41413B1C" w14:textId="77777777" w:rsidR="00BD47E4" w:rsidRDefault="00423DE8" w:rsidP="00387A65">
          <w:pPr>
            <w:jc w:val="right"/>
          </w:pPr>
        </w:p>
      </w:tc>
    </w:tr>
    <w:tr w:rsidR="003F68CB" w14:paraId="33EB3F12" w14:textId="77777777" w:rsidTr="00BD47E4">
      <w:trPr>
        <w:trHeight w:val="409"/>
        <w:jc w:val="center"/>
      </w:trPr>
      <w:tc>
        <w:tcPr>
          <w:tcW w:w="9039" w:type="dxa"/>
          <w:gridSpan w:val="2"/>
        </w:tcPr>
        <w:p w14:paraId="62796C00" w14:textId="77777777" w:rsidR="00BD47E4" w:rsidRDefault="00423DE8" w:rsidP="002C30DA">
          <w:pPr>
            <w:jc w:val="right"/>
          </w:pPr>
          <w:r>
            <w:t>Original:</w:t>
          </w:r>
        </w:p>
      </w:tc>
      <w:tc>
        <w:tcPr>
          <w:tcW w:w="1843" w:type="dxa"/>
          <w:gridSpan w:val="2"/>
        </w:tcPr>
        <w:p w14:paraId="67312AD1" w14:textId="77777777" w:rsidR="00BD47E4" w:rsidRDefault="00423DE8" w:rsidP="002C30DA">
          <w:pPr>
            <w:jc w:val="right"/>
          </w:pPr>
          <w:bookmarkStart w:id="6" w:name="language"/>
          <w:r>
            <w:t>English</w:t>
          </w:r>
          <w:bookmarkEnd w:id="6"/>
        </w:p>
      </w:tc>
      <w:tc>
        <w:tcPr>
          <w:tcW w:w="390" w:type="dxa"/>
        </w:tcPr>
        <w:p w14:paraId="64448690" w14:textId="77777777" w:rsidR="00BD47E4" w:rsidRDefault="00423DE8" w:rsidP="00387A65">
          <w:pPr>
            <w:jc w:val="right"/>
          </w:pPr>
        </w:p>
      </w:tc>
    </w:tr>
    <w:tr w:rsidR="003F68CB" w14:paraId="6CC2057D" w14:textId="77777777" w:rsidTr="00BD47E4">
      <w:trPr>
        <w:trHeight w:val="409"/>
        <w:jc w:val="center"/>
      </w:trPr>
      <w:tc>
        <w:tcPr>
          <w:tcW w:w="9039" w:type="dxa"/>
          <w:gridSpan w:val="2"/>
        </w:tcPr>
        <w:p w14:paraId="62DF5992" w14:textId="77777777" w:rsidR="0097629D" w:rsidRDefault="00423DE8" w:rsidP="002C30DA">
          <w:pPr>
            <w:jc w:val="right"/>
          </w:pPr>
          <w:r>
            <w:t>Submitted:</w:t>
          </w:r>
        </w:p>
      </w:tc>
      <w:tc>
        <w:tcPr>
          <w:tcW w:w="1843" w:type="dxa"/>
          <w:gridSpan w:val="2"/>
        </w:tcPr>
        <w:p w14:paraId="2D7C338C" w14:textId="77777777" w:rsidR="0097629D" w:rsidRDefault="00423DE8" w:rsidP="0097629D">
          <w:pPr>
            <w:jc w:val="right"/>
          </w:pPr>
          <w:bookmarkStart w:id="7" w:name="date_submission"/>
          <w:r>
            <w:t>7/4/2022</w:t>
          </w:r>
          <w:bookmarkEnd w:id="7"/>
        </w:p>
      </w:tc>
      <w:tc>
        <w:tcPr>
          <w:tcW w:w="390" w:type="dxa"/>
        </w:tcPr>
        <w:p w14:paraId="10D23EDB" w14:textId="77777777" w:rsidR="0097629D" w:rsidRDefault="00423DE8" w:rsidP="00387A65">
          <w:pPr>
            <w:jc w:val="right"/>
          </w:pPr>
        </w:p>
      </w:tc>
    </w:tr>
  </w:tbl>
  <w:p w14:paraId="6A597382" w14:textId="77777777" w:rsidR="00AE5DD0" w:rsidRDefault="00423D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F68CB" w14:paraId="67DD852C" w14:textId="77777777">
      <w:trPr>
        <w:trHeight w:val="354"/>
        <w:jc w:val="center"/>
      </w:trPr>
      <w:tc>
        <w:tcPr>
          <w:tcW w:w="9694" w:type="dxa"/>
        </w:tcPr>
        <w:p w14:paraId="6304F4E3" w14:textId="61461FCA" w:rsidR="00AE5DD0" w:rsidRPr="00BD47E4" w:rsidRDefault="00423DE8" w:rsidP="00C26F2D">
          <w:pPr>
            <w:jc w:val="right"/>
            <w:rPr>
              <w:b/>
              <w:sz w:val="32"/>
              <w:szCs w:val="32"/>
            </w:rPr>
          </w:pPr>
          <w:r>
            <w:rPr>
              <w:b/>
              <w:sz w:val="32"/>
              <w:szCs w:val="32"/>
            </w:rPr>
            <w:t>IP</w:t>
          </w:r>
        </w:p>
      </w:tc>
      <w:tc>
        <w:tcPr>
          <w:tcW w:w="1332" w:type="dxa"/>
        </w:tcPr>
        <w:p w14:paraId="5033A213" w14:textId="6795F99D" w:rsidR="00AE5DD0" w:rsidRPr="00BD47E4" w:rsidRDefault="00423DE8" w:rsidP="00080F4C">
          <w:pPr>
            <w:rPr>
              <w:b/>
              <w:sz w:val="32"/>
              <w:szCs w:val="32"/>
            </w:rPr>
          </w:pPr>
          <w:r>
            <w:rPr>
              <w:b/>
              <w:sz w:val="32"/>
              <w:szCs w:val="32"/>
            </w:rPr>
            <w:t>13</w:t>
          </w:r>
        </w:p>
      </w:tc>
    </w:tr>
  </w:tbl>
  <w:p w14:paraId="384AD3C2" w14:textId="77777777" w:rsidR="00AE5DD0" w:rsidRDefault="00423D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9E4B4B6">
      <w:start w:val="1"/>
      <w:numFmt w:val="bullet"/>
      <w:pStyle w:val="ATSBullet1"/>
      <w:lvlText w:val=""/>
      <w:lvlJc w:val="left"/>
      <w:pPr>
        <w:tabs>
          <w:tab w:val="num" w:pos="360"/>
        </w:tabs>
        <w:ind w:left="360" w:hanging="360"/>
      </w:pPr>
      <w:rPr>
        <w:rFonts w:ascii="Symbol" w:hAnsi="Symbol" w:hint="default"/>
        <w:color w:val="auto"/>
      </w:rPr>
    </w:lvl>
    <w:lvl w:ilvl="1" w:tplc="5846E9F4" w:tentative="1">
      <w:start w:val="1"/>
      <w:numFmt w:val="bullet"/>
      <w:lvlText w:val="o"/>
      <w:lvlJc w:val="left"/>
      <w:pPr>
        <w:tabs>
          <w:tab w:val="num" w:pos="1440"/>
        </w:tabs>
        <w:ind w:left="1440" w:hanging="360"/>
      </w:pPr>
      <w:rPr>
        <w:rFonts w:ascii="Courier New" w:hAnsi="Courier New" w:cs="Courier New" w:hint="default"/>
      </w:rPr>
    </w:lvl>
    <w:lvl w:ilvl="2" w:tplc="DC041298" w:tentative="1">
      <w:start w:val="1"/>
      <w:numFmt w:val="bullet"/>
      <w:lvlText w:val=""/>
      <w:lvlJc w:val="left"/>
      <w:pPr>
        <w:tabs>
          <w:tab w:val="num" w:pos="2160"/>
        </w:tabs>
        <w:ind w:left="2160" w:hanging="360"/>
      </w:pPr>
      <w:rPr>
        <w:rFonts w:ascii="Wingdings" w:hAnsi="Wingdings" w:hint="default"/>
      </w:rPr>
    </w:lvl>
    <w:lvl w:ilvl="3" w:tplc="C0F0609A" w:tentative="1">
      <w:start w:val="1"/>
      <w:numFmt w:val="bullet"/>
      <w:lvlText w:val=""/>
      <w:lvlJc w:val="left"/>
      <w:pPr>
        <w:tabs>
          <w:tab w:val="num" w:pos="2880"/>
        </w:tabs>
        <w:ind w:left="2880" w:hanging="360"/>
      </w:pPr>
      <w:rPr>
        <w:rFonts w:ascii="Symbol" w:hAnsi="Symbol" w:hint="default"/>
      </w:rPr>
    </w:lvl>
    <w:lvl w:ilvl="4" w:tplc="67ACC09E" w:tentative="1">
      <w:start w:val="1"/>
      <w:numFmt w:val="bullet"/>
      <w:lvlText w:val="o"/>
      <w:lvlJc w:val="left"/>
      <w:pPr>
        <w:tabs>
          <w:tab w:val="num" w:pos="3600"/>
        </w:tabs>
        <w:ind w:left="3600" w:hanging="360"/>
      </w:pPr>
      <w:rPr>
        <w:rFonts w:ascii="Courier New" w:hAnsi="Courier New" w:cs="Courier New" w:hint="default"/>
      </w:rPr>
    </w:lvl>
    <w:lvl w:ilvl="5" w:tplc="269A45C4" w:tentative="1">
      <w:start w:val="1"/>
      <w:numFmt w:val="bullet"/>
      <w:lvlText w:val=""/>
      <w:lvlJc w:val="left"/>
      <w:pPr>
        <w:tabs>
          <w:tab w:val="num" w:pos="4320"/>
        </w:tabs>
        <w:ind w:left="4320" w:hanging="360"/>
      </w:pPr>
      <w:rPr>
        <w:rFonts w:ascii="Wingdings" w:hAnsi="Wingdings" w:hint="default"/>
      </w:rPr>
    </w:lvl>
    <w:lvl w:ilvl="6" w:tplc="FF0E4F88" w:tentative="1">
      <w:start w:val="1"/>
      <w:numFmt w:val="bullet"/>
      <w:lvlText w:val=""/>
      <w:lvlJc w:val="left"/>
      <w:pPr>
        <w:tabs>
          <w:tab w:val="num" w:pos="5040"/>
        </w:tabs>
        <w:ind w:left="5040" w:hanging="360"/>
      </w:pPr>
      <w:rPr>
        <w:rFonts w:ascii="Symbol" w:hAnsi="Symbol" w:hint="default"/>
      </w:rPr>
    </w:lvl>
    <w:lvl w:ilvl="7" w:tplc="6D827154" w:tentative="1">
      <w:start w:val="1"/>
      <w:numFmt w:val="bullet"/>
      <w:lvlText w:val="o"/>
      <w:lvlJc w:val="left"/>
      <w:pPr>
        <w:tabs>
          <w:tab w:val="num" w:pos="5760"/>
        </w:tabs>
        <w:ind w:left="5760" w:hanging="360"/>
      </w:pPr>
      <w:rPr>
        <w:rFonts w:ascii="Courier New" w:hAnsi="Courier New" w:cs="Courier New" w:hint="default"/>
      </w:rPr>
    </w:lvl>
    <w:lvl w:ilvl="8" w:tplc="3B8A95B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9E0A59E">
      <w:start w:val="1"/>
      <w:numFmt w:val="decimal"/>
      <w:lvlText w:val="%1)"/>
      <w:lvlJc w:val="left"/>
      <w:pPr>
        <w:tabs>
          <w:tab w:val="num" w:pos="340"/>
        </w:tabs>
        <w:ind w:left="340" w:hanging="340"/>
      </w:pPr>
      <w:rPr>
        <w:rFonts w:hint="default"/>
      </w:rPr>
    </w:lvl>
    <w:lvl w:ilvl="1" w:tplc="1C14AFB2" w:tentative="1">
      <w:start w:val="1"/>
      <w:numFmt w:val="lowerLetter"/>
      <w:lvlText w:val="%2."/>
      <w:lvlJc w:val="left"/>
      <w:pPr>
        <w:tabs>
          <w:tab w:val="num" w:pos="1440"/>
        </w:tabs>
        <w:ind w:left="1440" w:hanging="360"/>
      </w:pPr>
    </w:lvl>
    <w:lvl w:ilvl="2" w:tplc="C4E89820" w:tentative="1">
      <w:start w:val="1"/>
      <w:numFmt w:val="lowerRoman"/>
      <w:lvlText w:val="%3."/>
      <w:lvlJc w:val="right"/>
      <w:pPr>
        <w:tabs>
          <w:tab w:val="num" w:pos="2160"/>
        </w:tabs>
        <w:ind w:left="2160" w:hanging="180"/>
      </w:pPr>
    </w:lvl>
    <w:lvl w:ilvl="3" w:tplc="A53EBC3C" w:tentative="1">
      <w:start w:val="1"/>
      <w:numFmt w:val="decimal"/>
      <w:lvlText w:val="%4."/>
      <w:lvlJc w:val="left"/>
      <w:pPr>
        <w:tabs>
          <w:tab w:val="num" w:pos="2880"/>
        </w:tabs>
        <w:ind w:left="2880" w:hanging="360"/>
      </w:pPr>
    </w:lvl>
    <w:lvl w:ilvl="4" w:tplc="CF70A082" w:tentative="1">
      <w:start w:val="1"/>
      <w:numFmt w:val="lowerLetter"/>
      <w:lvlText w:val="%5."/>
      <w:lvlJc w:val="left"/>
      <w:pPr>
        <w:tabs>
          <w:tab w:val="num" w:pos="3600"/>
        </w:tabs>
        <w:ind w:left="3600" w:hanging="360"/>
      </w:pPr>
    </w:lvl>
    <w:lvl w:ilvl="5" w:tplc="0BEEE84C" w:tentative="1">
      <w:start w:val="1"/>
      <w:numFmt w:val="lowerRoman"/>
      <w:lvlText w:val="%6."/>
      <w:lvlJc w:val="right"/>
      <w:pPr>
        <w:tabs>
          <w:tab w:val="num" w:pos="4320"/>
        </w:tabs>
        <w:ind w:left="4320" w:hanging="180"/>
      </w:pPr>
    </w:lvl>
    <w:lvl w:ilvl="6" w:tplc="52E6B366" w:tentative="1">
      <w:start w:val="1"/>
      <w:numFmt w:val="decimal"/>
      <w:lvlText w:val="%7."/>
      <w:lvlJc w:val="left"/>
      <w:pPr>
        <w:tabs>
          <w:tab w:val="num" w:pos="5040"/>
        </w:tabs>
        <w:ind w:left="5040" w:hanging="360"/>
      </w:pPr>
    </w:lvl>
    <w:lvl w:ilvl="7" w:tplc="FCFCE5CE" w:tentative="1">
      <w:start w:val="1"/>
      <w:numFmt w:val="lowerLetter"/>
      <w:lvlText w:val="%8."/>
      <w:lvlJc w:val="left"/>
      <w:pPr>
        <w:tabs>
          <w:tab w:val="num" w:pos="5760"/>
        </w:tabs>
        <w:ind w:left="5760" w:hanging="360"/>
      </w:pPr>
    </w:lvl>
    <w:lvl w:ilvl="8" w:tplc="C74643D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6C6FA46">
      <w:start w:val="1"/>
      <w:numFmt w:val="decimal"/>
      <w:lvlText w:val="%1."/>
      <w:lvlJc w:val="left"/>
      <w:pPr>
        <w:tabs>
          <w:tab w:val="num" w:pos="1057"/>
        </w:tabs>
        <w:ind w:left="1057" w:hanging="360"/>
      </w:pPr>
      <w:rPr>
        <w:rFonts w:hint="default"/>
      </w:rPr>
    </w:lvl>
    <w:lvl w:ilvl="1" w:tplc="EC6EE030" w:tentative="1">
      <w:start w:val="1"/>
      <w:numFmt w:val="lowerLetter"/>
      <w:lvlText w:val="%2."/>
      <w:lvlJc w:val="left"/>
      <w:pPr>
        <w:tabs>
          <w:tab w:val="num" w:pos="2137"/>
        </w:tabs>
        <w:ind w:left="2137" w:hanging="360"/>
      </w:pPr>
    </w:lvl>
    <w:lvl w:ilvl="2" w:tplc="41445338" w:tentative="1">
      <w:start w:val="1"/>
      <w:numFmt w:val="lowerRoman"/>
      <w:lvlText w:val="%3."/>
      <w:lvlJc w:val="right"/>
      <w:pPr>
        <w:tabs>
          <w:tab w:val="num" w:pos="2857"/>
        </w:tabs>
        <w:ind w:left="2857" w:hanging="180"/>
      </w:pPr>
    </w:lvl>
    <w:lvl w:ilvl="3" w:tplc="15582C22" w:tentative="1">
      <w:start w:val="1"/>
      <w:numFmt w:val="decimal"/>
      <w:lvlText w:val="%4."/>
      <w:lvlJc w:val="left"/>
      <w:pPr>
        <w:tabs>
          <w:tab w:val="num" w:pos="3577"/>
        </w:tabs>
        <w:ind w:left="3577" w:hanging="360"/>
      </w:pPr>
    </w:lvl>
    <w:lvl w:ilvl="4" w:tplc="6C3CBB28" w:tentative="1">
      <w:start w:val="1"/>
      <w:numFmt w:val="lowerLetter"/>
      <w:lvlText w:val="%5."/>
      <w:lvlJc w:val="left"/>
      <w:pPr>
        <w:tabs>
          <w:tab w:val="num" w:pos="4297"/>
        </w:tabs>
        <w:ind w:left="4297" w:hanging="360"/>
      </w:pPr>
    </w:lvl>
    <w:lvl w:ilvl="5" w:tplc="9DB006EE" w:tentative="1">
      <w:start w:val="1"/>
      <w:numFmt w:val="lowerRoman"/>
      <w:lvlText w:val="%6."/>
      <w:lvlJc w:val="right"/>
      <w:pPr>
        <w:tabs>
          <w:tab w:val="num" w:pos="5017"/>
        </w:tabs>
        <w:ind w:left="5017" w:hanging="180"/>
      </w:pPr>
    </w:lvl>
    <w:lvl w:ilvl="6" w:tplc="426A5878" w:tentative="1">
      <w:start w:val="1"/>
      <w:numFmt w:val="decimal"/>
      <w:lvlText w:val="%7."/>
      <w:lvlJc w:val="left"/>
      <w:pPr>
        <w:tabs>
          <w:tab w:val="num" w:pos="5737"/>
        </w:tabs>
        <w:ind w:left="5737" w:hanging="360"/>
      </w:pPr>
    </w:lvl>
    <w:lvl w:ilvl="7" w:tplc="754AF91C" w:tentative="1">
      <w:start w:val="1"/>
      <w:numFmt w:val="lowerLetter"/>
      <w:lvlText w:val="%8."/>
      <w:lvlJc w:val="left"/>
      <w:pPr>
        <w:tabs>
          <w:tab w:val="num" w:pos="6457"/>
        </w:tabs>
        <w:ind w:left="6457" w:hanging="360"/>
      </w:pPr>
    </w:lvl>
    <w:lvl w:ilvl="8" w:tplc="2CD4238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680336C">
      <w:start w:val="1"/>
      <w:numFmt w:val="decimal"/>
      <w:pStyle w:val="ATSNumber1"/>
      <w:lvlText w:val="%1)"/>
      <w:lvlJc w:val="left"/>
      <w:pPr>
        <w:tabs>
          <w:tab w:val="num" w:pos="720"/>
        </w:tabs>
        <w:ind w:left="720" w:hanging="360"/>
      </w:pPr>
    </w:lvl>
    <w:lvl w:ilvl="1" w:tplc="2ABE0CD0" w:tentative="1">
      <w:start w:val="1"/>
      <w:numFmt w:val="lowerLetter"/>
      <w:lvlText w:val="%2."/>
      <w:lvlJc w:val="left"/>
      <w:pPr>
        <w:tabs>
          <w:tab w:val="num" w:pos="1440"/>
        </w:tabs>
        <w:ind w:left="1440" w:hanging="360"/>
      </w:pPr>
    </w:lvl>
    <w:lvl w:ilvl="2" w:tplc="E334D544" w:tentative="1">
      <w:start w:val="1"/>
      <w:numFmt w:val="lowerRoman"/>
      <w:lvlText w:val="%3."/>
      <w:lvlJc w:val="right"/>
      <w:pPr>
        <w:tabs>
          <w:tab w:val="num" w:pos="2160"/>
        </w:tabs>
        <w:ind w:left="2160" w:hanging="180"/>
      </w:pPr>
    </w:lvl>
    <w:lvl w:ilvl="3" w:tplc="43183D5C" w:tentative="1">
      <w:start w:val="1"/>
      <w:numFmt w:val="decimal"/>
      <w:lvlText w:val="%4."/>
      <w:lvlJc w:val="left"/>
      <w:pPr>
        <w:tabs>
          <w:tab w:val="num" w:pos="2880"/>
        </w:tabs>
        <w:ind w:left="2880" w:hanging="360"/>
      </w:pPr>
    </w:lvl>
    <w:lvl w:ilvl="4" w:tplc="80D60750" w:tentative="1">
      <w:start w:val="1"/>
      <w:numFmt w:val="lowerLetter"/>
      <w:lvlText w:val="%5."/>
      <w:lvlJc w:val="left"/>
      <w:pPr>
        <w:tabs>
          <w:tab w:val="num" w:pos="3600"/>
        </w:tabs>
        <w:ind w:left="3600" w:hanging="360"/>
      </w:pPr>
    </w:lvl>
    <w:lvl w:ilvl="5" w:tplc="D3F294FE" w:tentative="1">
      <w:start w:val="1"/>
      <w:numFmt w:val="lowerRoman"/>
      <w:lvlText w:val="%6."/>
      <w:lvlJc w:val="right"/>
      <w:pPr>
        <w:tabs>
          <w:tab w:val="num" w:pos="4320"/>
        </w:tabs>
        <w:ind w:left="4320" w:hanging="180"/>
      </w:pPr>
    </w:lvl>
    <w:lvl w:ilvl="6" w:tplc="77FEC43A" w:tentative="1">
      <w:start w:val="1"/>
      <w:numFmt w:val="decimal"/>
      <w:lvlText w:val="%7."/>
      <w:lvlJc w:val="left"/>
      <w:pPr>
        <w:tabs>
          <w:tab w:val="num" w:pos="5040"/>
        </w:tabs>
        <w:ind w:left="5040" w:hanging="360"/>
      </w:pPr>
    </w:lvl>
    <w:lvl w:ilvl="7" w:tplc="61A67E66" w:tentative="1">
      <w:start w:val="1"/>
      <w:numFmt w:val="lowerLetter"/>
      <w:lvlText w:val="%8."/>
      <w:lvlJc w:val="left"/>
      <w:pPr>
        <w:tabs>
          <w:tab w:val="num" w:pos="5760"/>
        </w:tabs>
        <w:ind w:left="5760" w:hanging="360"/>
      </w:pPr>
    </w:lvl>
    <w:lvl w:ilvl="8" w:tplc="B3C416D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3D67B8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FD625DC" w:tentative="1">
      <w:start w:val="1"/>
      <w:numFmt w:val="bullet"/>
      <w:lvlText w:val="o"/>
      <w:lvlJc w:val="left"/>
      <w:pPr>
        <w:tabs>
          <w:tab w:val="num" w:pos="2517"/>
        </w:tabs>
        <w:ind w:left="2517" w:hanging="360"/>
      </w:pPr>
      <w:rPr>
        <w:rFonts w:ascii="Courier New" w:hAnsi="Courier New" w:cs="Courier New" w:hint="default"/>
      </w:rPr>
    </w:lvl>
    <w:lvl w:ilvl="2" w:tplc="D04A2D7C" w:tentative="1">
      <w:start w:val="1"/>
      <w:numFmt w:val="bullet"/>
      <w:lvlText w:val=""/>
      <w:lvlJc w:val="left"/>
      <w:pPr>
        <w:tabs>
          <w:tab w:val="num" w:pos="3237"/>
        </w:tabs>
        <w:ind w:left="3237" w:hanging="360"/>
      </w:pPr>
      <w:rPr>
        <w:rFonts w:ascii="Wingdings" w:hAnsi="Wingdings" w:hint="default"/>
      </w:rPr>
    </w:lvl>
    <w:lvl w:ilvl="3" w:tplc="57F81B24" w:tentative="1">
      <w:start w:val="1"/>
      <w:numFmt w:val="bullet"/>
      <w:lvlText w:val=""/>
      <w:lvlJc w:val="left"/>
      <w:pPr>
        <w:tabs>
          <w:tab w:val="num" w:pos="3957"/>
        </w:tabs>
        <w:ind w:left="3957" w:hanging="360"/>
      </w:pPr>
      <w:rPr>
        <w:rFonts w:ascii="Symbol" w:hAnsi="Symbol" w:hint="default"/>
      </w:rPr>
    </w:lvl>
    <w:lvl w:ilvl="4" w:tplc="732CF06C" w:tentative="1">
      <w:start w:val="1"/>
      <w:numFmt w:val="bullet"/>
      <w:lvlText w:val="o"/>
      <w:lvlJc w:val="left"/>
      <w:pPr>
        <w:tabs>
          <w:tab w:val="num" w:pos="4677"/>
        </w:tabs>
        <w:ind w:left="4677" w:hanging="360"/>
      </w:pPr>
      <w:rPr>
        <w:rFonts w:ascii="Courier New" w:hAnsi="Courier New" w:cs="Courier New" w:hint="default"/>
      </w:rPr>
    </w:lvl>
    <w:lvl w:ilvl="5" w:tplc="039E2C0A" w:tentative="1">
      <w:start w:val="1"/>
      <w:numFmt w:val="bullet"/>
      <w:lvlText w:val=""/>
      <w:lvlJc w:val="left"/>
      <w:pPr>
        <w:tabs>
          <w:tab w:val="num" w:pos="5397"/>
        </w:tabs>
        <w:ind w:left="5397" w:hanging="360"/>
      </w:pPr>
      <w:rPr>
        <w:rFonts w:ascii="Wingdings" w:hAnsi="Wingdings" w:hint="default"/>
      </w:rPr>
    </w:lvl>
    <w:lvl w:ilvl="6" w:tplc="DFAA3C6E" w:tentative="1">
      <w:start w:val="1"/>
      <w:numFmt w:val="bullet"/>
      <w:lvlText w:val=""/>
      <w:lvlJc w:val="left"/>
      <w:pPr>
        <w:tabs>
          <w:tab w:val="num" w:pos="6117"/>
        </w:tabs>
        <w:ind w:left="6117" w:hanging="360"/>
      </w:pPr>
      <w:rPr>
        <w:rFonts w:ascii="Symbol" w:hAnsi="Symbol" w:hint="default"/>
      </w:rPr>
    </w:lvl>
    <w:lvl w:ilvl="7" w:tplc="BFC4550A" w:tentative="1">
      <w:start w:val="1"/>
      <w:numFmt w:val="bullet"/>
      <w:lvlText w:val="o"/>
      <w:lvlJc w:val="left"/>
      <w:pPr>
        <w:tabs>
          <w:tab w:val="num" w:pos="6837"/>
        </w:tabs>
        <w:ind w:left="6837" w:hanging="360"/>
      </w:pPr>
      <w:rPr>
        <w:rFonts w:ascii="Courier New" w:hAnsi="Courier New" w:cs="Courier New" w:hint="default"/>
      </w:rPr>
    </w:lvl>
    <w:lvl w:ilvl="8" w:tplc="DC3EC1C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E7C6920">
      <w:start w:val="1"/>
      <w:numFmt w:val="decimal"/>
      <w:pStyle w:val="ATSNumber2"/>
      <w:lvlText w:val="%1."/>
      <w:lvlJc w:val="left"/>
      <w:pPr>
        <w:tabs>
          <w:tab w:val="num" w:pos="720"/>
        </w:tabs>
        <w:ind w:left="720" w:hanging="360"/>
      </w:pPr>
      <w:rPr>
        <w:rFonts w:hint="default"/>
      </w:rPr>
    </w:lvl>
    <w:lvl w:ilvl="1" w:tplc="5E960D08" w:tentative="1">
      <w:start w:val="1"/>
      <w:numFmt w:val="lowerLetter"/>
      <w:lvlText w:val="%2."/>
      <w:lvlJc w:val="left"/>
      <w:pPr>
        <w:tabs>
          <w:tab w:val="num" w:pos="1440"/>
        </w:tabs>
        <w:ind w:left="1440" w:hanging="360"/>
      </w:pPr>
    </w:lvl>
    <w:lvl w:ilvl="2" w:tplc="36DABB68" w:tentative="1">
      <w:start w:val="1"/>
      <w:numFmt w:val="lowerRoman"/>
      <w:lvlText w:val="%3."/>
      <w:lvlJc w:val="right"/>
      <w:pPr>
        <w:tabs>
          <w:tab w:val="num" w:pos="2160"/>
        </w:tabs>
        <w:ind w:left="2160" w:hanging="180"/>
      </w:pPr>
    </w:lvl>
    <w:lvl w:ilvl="3" w:tplc="F8A457DC" w:tentative="1">
      <w:start w:val="1"/>
      <w:numFmt w:val="decimal"/>
      <w:lvlText w:val="%4."/>
      <w:lvlJc w:val="left"/>
      <w:pPr>
        <w:tabs>
          <w:tab w:val="num" w:pos="2880"/>
        </w:tabs>
        <w:ind w:left="2880" w:hanging="360"/>
      </w:pPr>
    </w:lvl>
    <w:lvl w:ilvl="4" w:tplc="25F44C2A" w:tentative="1">
      <w:start w:val="1"/>
      <w:numFmt w:val="lowerLetter"/>
      <w:lvlText w:val="%5."/>
      <w:lvlJc w:val="left"/>
      <w:pPr>
        <w:tabs>
          <w:tab w:val="num" w:pos="3600"/>
        </w:tabs>
        <w:ind w:left="3600" w:hanging="360"/>
      </w:pPr>
    </w:lvl>
    <w:lvl w:ilvl="5" w:tplc="3F0C1D54" w:tentative="1">
      <w:start w:val="1"/>
      <w:numFmt w:val="lowerRoman"/>
      <w:lvlText w:val="%6."/>
      <w:lvlJc w:val="right"/>
      <w:pPr>
        <w:tabs>
          <w:tab w:val="num" w:pos="4320"/>
        </w:tabs>
        <w:ind w:left="4320" w:hanging="180"/>
      </w:pPr>
    </w:lvl>
    <w:lvl w:ilvl="6" w:tplc="84BCBCD6" w:tentative="1">
      <w:start w:val="1"/>
      <w:numFmt w:val="decimal"/>
      <w:lvlText w:val="%7."/>
      <w:lvlJc w:val="left"/>
      <w:pPr>
        <w:tabs>
          <w:tab w:val="num" w:pos="5040"/>
        </w:tabs>
        <w:ind w:left="5040" w:hanging="360"/>
      </w:pPr>
    </w:lvl>
    <w:lvl w:ilvl="7" w:tplc="F9EC6432" w:tentative="1">
      <w:start w:val="1"/>
      <w:numFmt w:val="lowerLetter"/>
      <w:lvlText w:val="%8."/>
      <w:lvlJc w:val="left"/>
      <w:pPr>
        <w:tabs>
          <w:tab w:val="num" w:pos="5760"/>
        </w:tabs>
        <w:ind w:left="5760" w:hanging="360"/>
      </w:pPr>
    </w:lvl>
    <w:lvl w:ilvl="8" w:tplc="515CBD66" w:tentative="1">
      <w:start w:val="1"/>
      <w:numFmt w:val="lowerRoman"/>
      <w:lvlText w:val="%9."/>
      <w:lvlJc w:val="right"/>
      <w:pPr>
        <w:tabs>
          <w:tab w:val="num" w:pos="6480"/>
        </w:tabs>
        <w:ind w:left="6480" w:hanging="180"/>
      </w:pPr>
    </w:lvl>
  </w:abstractNum>
  <w:num w:numId="1" w16cid:durableId="1718971112">
    <w:abstractNumId w:val="9"/>
  </w:num>
  <w:num w:numId="2" w16cid:durableId="1133255548">
    <w:abstractNumId w:val="7"/>
  </w:num>
  <w:num w:numId="3" w16cid:durableId="1164737678">
    <w:abstractNumId w:val="6"/>
  </w:num>
  <w:num w:numId="4" w16cid:durableId="986474335">
    <w:abstractNumId w:val="5"/>
  </w:num>
  <w:num w:numId="5" w16cid:durableId="1772124353">
    <w:abstractNumId w:val="4"/>
  </w:num>
  <w:num w:numId="6" w16cid:durableId="594677763">
    <w:abstractNumId w:val="8"/>
  </w:num>
  <w:num w:numId="7" w16cid:durableId="953681654">
    <w:abstractNumId w:val="3"/>
  </w:num>
  <w:num w:numId="8" w16cid:durableId="953754146">
    <w:abstractNumId w:val="2"/>
  </w:num>
  <w:num w:numId="9" w16cid:durableId="256863105">
    <w:abstractNumId w:val="1"/>
  </w:num>
  <w:num w:numId="10" w16cid:durableId="1513758476">
    <w:abstractNumId w:val="0"/>
  </w:num>
  <w:num w:numId="11" w16cid:durableId="745686168">
    <w:abstractNumId w:val="11"/>
  </w:num>
  <w:num w:numId="12" w16cid:durableId="916355965">
    <w:abstractNumId w:val="15"/>
  </w:num>
  <w:num w:numId="13" w16cid:durableId="1077554080">
    <w:abstractNumId w:val="14"/>
  </w:num>
  <w:num w:numId="14" w16cid:durableId="1819686468">
    <w:abstractNumId w:val="12"/>
  </w:num>
  <w:num w:numId="15" w16cid:durableId="1508791572">
    <w:abstractNumId w:val="13"/>
  </w:num>
  <w:num w:numId="16" w16cid:durableId="1378552815">
    <w:abstractNumId w:val="10"/>
  </w:num>
  <w:num w:numId="17" w16cid:durableId="885332642">
    <w:abstractNumId w:val="11"/>
  </w:num>
  <w:num w:numId="18" w16cid:durableId="207568253">
    <w:abstractNumId w:val="15"/>
  </w:num>
  <w:num w:numId="19" w16cid:durableId="1357541504">
    <w:abstractNumId w:val="14"/>
  </w:num>
  <w:num w:numId="20" w16cid:durableId="10901519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CB"/>
    <w:rsid w:val="003F68CB"/>
    <w:rsid w:val="00423D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E00E4"/>
  <w15:chartTrackingRefBased/>
  <w15:docId w15:val="{EAEF7165-FECC-469A-88BF-49E68D1F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985</Words>
  <Characters>5827</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2022-04-07T11:12:00Z</dcterms:modified>
</cp:coreProperties>
</file>