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E7AECA" w14:textId="77777777" w:rsidR="00C26F2D" w:rsidRPr="00BF077B" w:rsidRDefault="000D2B2D" w:rsidP="00BF077B">
      <w:pPr>
        <w:pStyle w:val="ATSNormal"/>
        <w:rPr>
          <w:rStyle w:val="Ttulodellibro"/>
        </w:rPr>
      </w:pPr>
    </w:p>
    <w:p w14:paraId="19298900" w14:textId="77777777" w:rsidR="002F0A13" w:rsidRDefault="000D2B2D" w:rsidP="004B4A60">
      <w:pPr>
        <w:rPr>
          <w:b/>
          <w:u w:val="single"/>
          <w:lang w:val="es-ES_tradnl"/>
        </w:rPr>
      </w:pPr>
    </w:p>
    <w:p w14:paraId="6979842A" w14:textId="77777777" w:rsidR="002F0A13" w:rsidRDefault="000D2B2D" w:rsidP="004B4A60">
      <w:pPr>
        <w:rPr>
          <w:b/>
          <w:u w:val="single"/>
          <w:lang w:val="es-ES_tradnl"/>
        </w:rPr>
      </w:pPr>
    </w:p>
    <w:p w14:paraId="75D01DD0" w14:textId="77777777" w:rsidR="002F0A13" w:rsidRDefault="000D2B2D" w:rsidP="004B4A60">
      <w:pPr>
        <w:rPr>
          <w:b/>
          <w:u w:val="single"/>
          <w:lang w:val="es-ES_tradnl"/>
        </w:rPr>
      </w:pPr>
    </w:p>
    <w:p w14:paraId="4C14BD9B" w14:textId="77777777" w:rsidR="002F0A13" w:rsidRDefault="000D2B2D" w:rsidP="004B4A60">
      <w:pPr>
        <w:rPr>
          <w:b/>
          <w:u w:val="single"/>
          <w:lang w:val="es-ES_tradnl"/>
        </w:rPr>
      </w:pPr>
    </w:p>
    <w:p w14:paraId="52BAC5B0" w14:textId="77777777" w:rsidR="00C26F2D" w:rsidRDefault="000D2B2D" w:rsidP="004B4A60">
      <w:pPr>
        <w:rPr>
          <w:b/>
          <w:u w:val="single"/>
          <w:lang w:val="es-ES_tradnl"/>
        </w:rPr>
      </w:pPr>
    </w:p>
    <w:p w14:paraId="623EDDBB" w14:textId="77777777" w:rsidR="004B4A60" w:rsidRPr="0057246E" w:rsidRDefault="000D2B2D" w:rsidP="001B789F">
      <w:pPr>
        <w:pStyle w:val="ATSTitle"/>
      </w:pPr>
      <w:bookmarkStart w:id="0" w:name="name"/>
      <w:r>
        <w:t>WMO Annual Report</w:t>
      </w:r>
      <w:bookmarkEnd w:id="0"/>
    </w:p>
    <w:p w14:paraId="20CD453F" w14:textId="77777777" w:rsidR="004B4A60" w:rsidRPr="0057246E" w:rsidRDefault="000D2B2D" w:rsidP="00F75424">
      <w:pPr>
        <w:jc w:val="center"/>
      </w:pPr>
    </w:p>
    <w:p w14:paraId="7DE65474" w14:textId="77777777" w:rsidR="004B4A60" w:rsidRPr="002F0A13" w:rsidRDefault="000D2B2D" w:rsidP="002F0A13"/>
    <w:p w14:paraId="0842ECCA" w14:textId="77777777" w:rsidR="004B4A60" w:rsidRDefault="000D2B2D" w:rsidP="00F75424">
      <w:pPr>
        <w:jc w:val="center"/>
      </w:pPr>
      <w:bookmarkStart w:id="1" w:name="memo"/>
      <w:bookmarkEnd w:id="1"/>
    </w:p>
    <w:p w14:paraId="0A82C499" w14:textId="77777777" w:rsidR="0097629D" w:rsidRDefault="000D2B2D" w:rsidP="00F75424">
      <w:pPr>
        <w:jc w:val="center"/>
      </w:pPr>
    </w:p>
    <w:p w14:paraId="55BCD26F" w14:textId="77777777" w:rsidR="0097629D" w:rsidRDefault="000D2B2D" w:rsidP="00F75424">
      <w:pPr>
        <w:jc w:val="center"/>
      </w:pPr>
    </w:p>
    <w:p w14:paraId="47E1D6A6" w14:textId="77777777" w:rsidR="0097629D" w:rsidRDefault="000D2B2D" w:rsidP="00F75424">
      <w:pPr>
        <w:jc w:val="center"/>
      </w:pPr>
    </w:p>
    <w:p w14:paraId="3DF46E7A" w14:textId="77777777" w:rsidR="0097629D" w:rsidRPr="00C26F2D" w:rsidRDefault="000D2B2D" w:rsidP="00F75424">
      <w:pPr>
        <w:jc w:val="center"/>
      </w:pPr>
    </w:p>
    <w:p w14:paraId="653F25CB" w14:textId="77777777" w:rsidR="004B4A60" w:rsidRPr="0057246E" w:rsidRDefault="000D2B2D" w:rsidP="004B4A60"/>
    <w:p w14:paraId="4299D707" w14:textId="77777777" w:rsidR="00C26F2D" w:rsidRDefault="000D2B2D" w:rsidP="00952E9F">
      <w:pPr>
        <w:sectPr w:rsidR="00C26F2D" w:rsidSect="000E1D5C">
          <w:headerReference w:type="default" r:id="rId8"/>
          <w:footerReference w:type="even" r:id="rId9"/>
          <w:footerReference w:type="default" r:id="rId10"/>
          <w:pgSz w:w="11907" w:h="16840" w:code="9"/>
          <w:pgMar w:top="1134" w:right="1134" w:bottom="1134" w:left="1134" w:header="709" w:footer="709" w:gutter="0"/>
          <w:cols w:space="708"/>
          <w:docGrid w:linePitch="360"/>
        </w:sectPr>
      </w:pPr>
    </w:p>
    <w:p w14:paraId="22DB122B" w14:textId="354CB6DF" w:rsidR="004B4A60" w:rsidRDefault="000D2B2D" w:rsidP="00952E9F"/>
    <w:p w14:paraId="54302D8B" w14:textId="77777777" w:rsidR="000D2B2D" w:rsidRPr="00E84A6B" w:rsidRDefault="000D2B2D" w:rsidP="000D2B2D">
      <w:pPr>
        <w:pStyle w:val="ATSHeading1"/>
      </w:pPr>
      <w:r w:rsidRPr="00E84A6B">
        <w:t xml:space="preserve">WMO Annual Report </w:t>
      </w:r>
    </w:p>
    <w:p w14:paraId="57501E43" w14:textId="77777777" w:rsidR="000D2B2D" w:rsidRPr="00E84A6B" w:rsidRDefault="000D2B2D" w:rsidP="000D2B2D">
      <w:pPr>
        <w:jc w:val="center"/>
      </w:pPr>
      <w:r w:rsidRPr="00E84A6B">
        <w:t>An Information Paper submitted by WMO</w:t>
      </w:r>
    </w:p>
    <w:p w14:paraId="37A5D857" w14:textId="77777777" w:rsidR="000D2B2D" w:rsidRPr="00E84A6B" w:rsidRDefault="000D2B2D" w:rsidP="000D2B2D">
      <w:pPr>
        <w:pStyle w:val="ATSNormal"/>
      </w:pPr>
    </w:p>
    <w:p w14:paraId="70695FF0" w14:textId="77777777" w:rsidR="000D2B2D" w:rsidRPr="00E84A6B" w:rsidRDefault="000D2B2D" w:rsidP="000D2B2D">
      <w:pPr>
        <w:pStyle w:val="ATSNormal"/>
      </w:pPr>
      <w:r w:rsidRPr="00E84A6B">
        <w:t>The World Meteorological Organization</w:t>
      </w:r>
      <w:r w:rsidRPr="00E84A6B">
        <w:rPr>
          <w:rStyle w:val="Refdenotaalpie"/>
        </w:rPr>
        <w:footnoteReference w:id="1"/>
      </w:r>
      <w:r w:rsidRPr="00E84A6B">
        <w:t xml:space="preserve"> (WMO) is a specialized agency of the United Nations and includes 193 Member States and Territories. It is the UN system's authoritative voice on the state and behaviour of the Earth's atmosphere, its interaction with the oceans, the climate it produces and the resulting distribution of water resources. </w:t>
      </w:r>
    </w:p>
    <w:p w14:paraId="15926E54" w14:textId="77777777" w:rsidR="000D2B2D" w:rsidRPr="00E84A6B" w:rsidRDefault="000D2B2D" w:rsidP="000D2B2D">
      <w:pPr>
        <w:widowControl w:val="0"/>
        <w:autoSpaceDE w:val="0"/>
        <w:autoSpaceDN w:val="0"/>
        <w:adjustRightInd w:val="0"/>
        <w:rPr>
          <w:lang w:eastAsia="en-GB"/>
        </w:rPr>
      </w:pPr>
      <w:r w:rsidRPr="2CA8CAEC">
        <w:rPr>
          <w:lang w:eastAsia="en-GB"/>
        </w:rPr>
        <w:t xml:space="preserve">WMO covers a range of activities of relevance to the Antarctic Treaty System, including </w:t>
      </w:r>
      <w:r w:rsidRPr="2CA8CAEC">
        <w:rPr>
          <w:i/>
          <w:iCs/>
          <w:lang w:eastAsia="en-GB"/>
        </w:rPr>
        <w:t>Antarctic Science</w:t>
      </w:r>
      <w:r w:rsidRPr="2CA8CAEC">
        <w:rPr>
          <w:lang w:eastAsia="en-GB"/>
        </w:rPr>
        <w:t xml:space="preserve"> via the World Climate Research Programme</w:t>
      </w:r>
      <w:r w:rsidRPr="2CA8CAEC">
        <w:rPr>
          <w:rStyle w:val="Refdenotaalpie"/>
          <w:lang w:eastAsia="en-GB"/>
        </w:rPr>
        <w:footnoteReference w:id="2"/>
      </w:r>
      <w:r w:rsidRPr="2CA8CAEC">
        <w:rPr>
          <w:lang w:eastAsia="en-GB"/>
        </w:rPr>
        <w:t xml:space="preserve"> and World Weather Research Programme, </w:t>
      </w:r>
      <w:r w:rsidRPr="2CA8CAEC">
        <w:rPr>
          <w:i/>
          <w:iCs/>
          <w:lang w:eastAsia="en-GB"/>
        </w:rPr>
        <w:t>Antarctic Observations and Infrastructure</w:t>
      </w:r>
      <w:r w:rsidRPr="2CA8CAEC">
        <w:rPr>
          <w:lang w:eastAsia="en-GB"/>
        </w:rPr>
        <w:t xml:space="preserve">, for example via the Global Cryosphere </w:t>
      </w:r>
      <w:proofErr w:type="gramStart"/>
      <w:r w:rsidRPr="2CA8CAEC">
        <w:rPr>
          <w:lang w:eastAsia="en-GB"/>
        </w:rPr>
        <w:t>Watch;</w:t>
      </w:r>
      <w:proofErr w:type="gramEnd"/>
      <w:r w:rsidRPr="2CA8CAEC">
        <w:rPr>
          <w:lang w:eastAsia="en-GB"/>
        </w:rPr>
        <w:t xml:space="preserve"> and </w:t>
      </w:r>
      <w:r w:rsidRPr="2CA8CAEC">
        <w:rPr>
          <w:i/>
          <w:iCs/>
          <w:lang w:eastAsia="en-GB"/>
        </w:rPr>
        <w:t>Antarctic Services</w:t>
      </w:r>
      <w:r w:rsidRPr="2CA8CAEC">
        <w:rPr>
          <w:lang w:eastAsia="en-GB"/>
        </w:rPr>
        <w:t xml:space="preserve"> via, for example, the Antarctic Regional Climate Centre network. </w:t>
      </w:r>
    </w:p>
    <w:p w14:paraId="2D9F54F9" w14:textId="77777777" w:rsidR="000D2B2D" w:rsidRPr="00E84A6B" w:rsidRDefault="000D2B2D" w:rsidP="000D2B2D">
      <w:pPr>
        <w:widowControl w:val="0"/>
        <w:autoSpaceDE w:val="0"/>
        <w:autoSpaceDN w:val="0"/>
        <w:adjustRightInd w:val="0"/>
        <w:rPr>
          <w:lang w:eastAsia="en-GB"/>
        </w:rPr>
      </w:pPr>
    </w:p>
    <w:p w14:paraId="548BA0BC" w14:textId="77777777" w:rsidR="000D2B2D" w:rsidRPr="00E84A6B" w:rsidRDefault="000D2B2D" w:rsidP="000D2B2D">
      <w:pPr>
        <w:rPr>
          <w:u w:val="single"/>
          <w:lang w:eastAsia="en-GB"/>
        </w:rPr>
      </w:pPr>
      <w:r w:rsidRPr="00E84A6B">
        <w:rPr>
          <w:szCs w:val="22"/>
          <w:u w:val="single"/>
          <w:lang w:eastAsia="en-GB"/>
        </w:rPr>
        <w:t>Antarctic Science activities of the World Climate and World Weather Research Programmes</w:t>
      </w:r>
    </w:p>
    <w:p w14:paraId="0BA222B1" w14:textId="77777777" w:rsidR="000D2B2D" w:rsidRPr="00E84A6B" w:rsidRDefault="000D2B2D" w:rsidP="000D2B2D">
      <w:pPr>
        <w:rPr>
          <w:u w:val="single"/>
          <w:lang w:eastAsia="en-GB"/>
        </w:rPr>
      </w:pPr>
    </w:p>
    <w:p w14:paraId="6619A455" w14:textId="77777777" w:rsidR="000D2B2D" w:rsidRPr="00E84A6B" w:rsidRDefault="000D2B2D" w:rsidP="000D2B2D">
      <w:pPr>
        <w:widowControl w:val="0"/>
        <w:autoSpaceDE w:val="0"/>
        <w:autoSpaceDN w:val="0"/>
        <w:adjustRightInd w:val="0"/>
        <w:rPr>
          <w:lang w:eastAsia="en-GB"/>
        </w:rPr>
      </w:pPr>
      <w:r w:rsidRPr="2CA8CAEC">
        <w:rPr>
          <w:lang w:eastAsia="en-GB"/>
        </w:rPr>
        <w:t>Through the World Climate Research Programme</w:t>
      </w:r>
      <w:r w:rsidRPr="2CA8CAEC">
        <w:rPr>
          <w:vertAlign w:val="superscript"/>
          <w:lang w:eastAsia="en-GB"/>
        </w:rPr>
        <w:t xml:space="preserve">2 </w:t>
      </w:r>
      <w:r w:rsidRPr="2CA8CAEC">
        <w:rPr>
          <w:lang w:eastAsia="en-GB"/>
        </w:rPr>
        <w:t>(WCRP), WMO carries out several research and modelling activities in which the climate of the Antarctic region is a key aspect. Its activities are often conducted in partnership with other organisations, such as SCAR.</w:t>
      </w:r>
    </w:p>
    <w:p w14:paraId="00C24E63" w14:textId="77777777" w:rsidR="000D2B2D" w:rsidRPr="00E84A6B" w:rsidRDefault="000D2B2D" w:rsidP="000D2B2D">
      <w:pPr>
        <w:widowControl w:val="0"/>
        <w:autoSpaceDE w:val="0"/>
        <w:autoSpaceDN w:val="0"/>
        <w:adjustRightInd w:val="0"/>
        <w:rPr>
          <w:lang w:eastAsia="en-GB"/>
        </w:rPr>
      </w:pPr>
    </w:p>
    <w:p w14:paraId="3945E8F5" w14:textId="77777777" w:rsidR="000D2B2D" w:rsidRPr="00E84A6B" w:rsidRDefault="000D2B2D" w:rsidP="000D2B2D">
      <w:pPr>
        <w:rPr>
          <w:i/>
          <w:iCs/>
          <w:lang w:eastAsia="en-GB"/>
        </w:rPr>
      </w:pPr>
    </w:p>
    <w:p w14:paraId="4A06D34D" w14:textId="77777777" w:rsidR="000D2B2D" w:rsidRPr="00E84A6B" w:rsidRDefault="000D2B2D" w:rsidP="000D2B2D">
      <w:pPr>
        <w:rPr>
          <w:i/>
          <w:iCs/>
          <w:lang w:eastAsia="en-GB"/>
        </w:rPr>
      </w:pPr>
      <w:r w:rsidRPr="00E84A6B">
        <w:rPr>
          <w:i/>
          <w:iCs/>
          <w:lang w:eastAsia="en-GB"/>
        </w:rPr>
        <w:t>WCRP’s Climate and Cryosphere Core Project</w:t>
      </w:r>
      <w:r>
        <w:rPr>
          <w:i/>
          <w:iCs/>
          <w:lang w:eastAsia="en-GB"/>
        </w:rPr>
        <w:t xml:space="preserve"> (</w:t>
      </w:r>
      <w:proofErr w:type="spellStart"/>
      <w:r>
        <w:rPr>
          <w:i/>
          <w:iCs/>
          <w:lang w:eastAsia="en-GB"/>
        </w:rPr>
        <w:t>CliC</w:t>
      </w:r>
      <w:proofErr w:type="spellEnd"/>
      <w:r>
        <w:rPr>
          <w:i/>
          <w:iCs/>
          <w:lang w:eastAsia="en-GB"/>
        </w:rPr>
        <w:t>)</w:t>
      </w:r>
    </w:p>
    <w:p w14:paraId="02E4FD2E" w14:textId="77777777" w:rsidR="000D2B2D" w:rsidRPr="00E84A6B" w:rsidRDefault="000D2B2D" w:rsidP="000D2B2D">
      <w:pPr>
        <w:widowControl w:val="0"/>
        <w:autoSpaceDE w:val="0"/>
        <w:autoSpaceDN w:val="0"/>
        <w:adjustRightInd w:val="0"/>
        <w:rPr>
          <w:lang w:eastAsia="en-GB"/>
        </w:rPr>
      </w:pPr>
    </w:p>
    <w:p w14:paraId="25D176C6" w14:textId="77777777" w:rsidR="000D2B2D" w:rsidRPr="00E84A6B" w:rsidRDefault="000D2B2D" w:rsidP="000D2B2D">
      <w:pPr>
        <w:widowControl w:val="0"/>
        <w:autoSpaceDE w:val="0"/>
        <w:autoSpaceDN w:val="0"/>
        <w:adjustRightInd w:val="0"/>
        <w:rPr>
          <w:lang w:eastAsia="en-GB"/>
        </w:rPr>
      </w:pPr>
      <w:r w:rsidRPr="00E84A6B">
        <w:rPr>
          <w:lang w:eastAsia="en-GB"/>
        </w:rPr>
        <w:t xml:space="preserve">WCRP’s </w:t>
      </w:r>
      <w:proofErr w:type="spellStart"/>
      <w:r>
        <w:rPr>
          <w:lang w:eastAsia="en-GB"/>
        </w:rPr>
        <w:t>CliC</w:t>
      </w:r>
      <w:proofErr w:type="spellEnd"/>
      <w:r>
        <w:rPr>
          <w:lang w:eastAsia="en-GB"/>
        </w:rPr>
        <w:t xml:space="preserve"> project,</w:t>
      </w:r>
      <w:r w:rsidRPr="00E84A6B">
        <w:rPr>
          <w:lang w:eastAsia="en-GB"/>
        </w:rPr>
        <w:t xml:space="preserve"> with an international office hosted by the </w:t>
      </w:r>
      <w:proofErr w:type="spellStart"/>
      <w:r w:rsidRPr="00E84A6B">
        <w:rPr>
          <w:lang w:eastAsia="en-GB"/>
        </w:rPr>
        <w:t>Bjerknes</w:t>
      </w:r>
      <w:proofErr w:type="spellEnd"/>
      <w:r w:rsidRPr="00E84A6B">
        <w:rPr>
          <w:lang w:eastAsia="en-GB"/>
        </w:rPr>
        <w:t xml:space="preserve"> Centre in Norway, focusses on the cryosphere component of the climate system. </w:t>
      </w:r>
      <w:proofErr w:type="spellStart"/>
      <w:r w:rsidRPr="00E84A6B">
        <w:rPr>
          <w:lang w:eastAsia="en-GB"/>
        </w:rPr>
        <w:t>CliC</w:t>
      </w:r>
      <w:proofErr w:type="spellEnd"/>
      <w:r w:rsidRPr="00E84A6B">
        <w:rPr>
          <w:lang w:eastAsia="en-GB"/>
        </w:rPr>
        <w:t xml:space="preserve"> is a connector and integrator of cryosphere research worldwide, coordinating research and modelling activities (often in partnership with SCAR) on ice sheet mass balance and sea level, ice shelves and alpine glaciers, sea ice, and permafrost</w:t>
      </w:r>
      <w:r w:rsidRPr="2CA8CAEC">
        <w:rPr>
          <w:lang w:eastAsia="en-GB"/>
        </w:rPr>
        <w:t xml:space="preserve">. With a vision of cultivating future leaders in </w:t>
      </w:r>
      <w:proofErr w:type="spellStart"/>
      <w:r w:rsidRPr="2CA8CAEC">
        <w:rPr>
          <w:lang w:eastAsia="en-GB"/>
        </w:rPr>
        <w:t>cryospheric</w:t>
      </w:r>
      <w:proofErr w:type="spellEnd"/>
      <w:r w:rsidRPr="2CA8CAEC">
        <w:rPr>
          <w:lang w:eastAsia="en-GB"/>
        </w:rPr>
        <w:t xml:space="preserve"> research, </w:t>
      </w:r>
      <w:proofErr w:type="spellStart"/>
      <w:r w:rsidRPr="2CA8CAEC">
        <w:rPr>
          <w:lang w:eastAsia="en-GB"/>
        </w:rPr>
        <w:t>CliC</w:t>
      </w:r>
      <w:proofErr w:type="spellEnd"/>
      <w:r w:rsidRPr="2CA8CAEC">
        <w:rPr>
          <w:lang w:eastAsia="en-GB"/>
        </w:rPr>
        <w:t xml:space="preserve"> has also established a new fellowship and grant program, particularly aimed at early career scientists</w:t>
      </w:r>
      <w:r w:rsidRPr="00E80C81">
        <w:rPr>
          <w:rStyle w:val="Refdenotaalpie"/>
          <w:lang w:eastAsia="en-GB"/>
        </w:rPr>
        <w:footnoteReference w:id="3"/>
      </w:r>
      <w:r w:rsidRPr="00E80C81">
        <w:rPr>
          <w:lang w:eastAsia="en-GB"/>
        </w:rPr>
        <w:t>. See accompanying IP for</w:t>
      </w:r>
      <w:r w:rsidRPr="2CA8CAEC">
        <w:rPr>
          <w:lang w:eastAsia="en-GB"/>
        </w:rPr>
        <w:t xml:space="preserve"> further details.</w:t>
      </w:r>
    </w:p>
    <w:p w14:paraId="6FC65216" w14:textId="77777777" w:rsidR="000D2B2D" w:rsidRPr="00E84A6B" w:rsidRDefault="000D2B2D" w:rsidP="000D2B2D">
      <w:pPr>
        <w:widowControl w:val="0"/>
        <w:autoSpaceDE w:val="0"/>
        <w:autoSpaceDN w:val="0"/>
        <w:adjustRightInd w:val="0"/>
        <w:rPr>
          <w:lang w:eastAsia="en-GB"/>
        </w:rPr>
      </w:pPr>
    </w:p>
    <w:p w14:paraId="264803C4" w14:textId="77777777" w:rsidR="000D2B2D" w:rsidRPr="00E84A6B" w:rsidRDefault="000D2B2D" w:rsidP="000D2B2D">
      <w:pPr>
        <w:widowControl w:val="0"/>
        <w:autoSpaceDE w:val="0"/>
        <w:autoSpaceDN w:val="0"/>
        <w:adjustRightInd w:val="0"/>
        <w:rPr>
          <w:lang w:eastAsia="en-GB"/>
        </w:rPr>
      </w:pPr>
      <w:r w:rsidRPr="00E84A6B">
        <w:rPr>
          <w:lang w:eastAsia="en-GB"/>
        </w:rPr>
        <w:t>WCRP also coordinates several modelling activities of relevance to Treaty Parties, including Antarctic CORDEX</w:t>
      </w:r>
      <w:r w:rsidRPr="00E84A6B">
        <w:rPr>
          <w:rStyle w:val="Refdenotaalpie"/>
          <w:lang w:eastAsia="en-GB"/>
        </w:rPr>
        <w:footnoteReference w:id="4"/>
      </w:r>
      <w:r w:rsidRPr="00E84A6B">
        <w:rPr>
          <w:lang w:eastAsia="en-GB"/>
        </w:rPr>
        <w:t xml:space="preserve"> (the Coordinated Regional Downscaling Experiment, with an office at the Swedish Meteorological and Hydrological Institute), and CMIP (the Coupled Model Intercomparison Project, </w:t>
      </w:r>
      <w:r w:rsidRPr="2CA8CAEC">
        <w:rPr>
          <w:lang w:eastAsia="en-GB"/>
        </w:rPr>
        <w:t xml:space="preserve">with a new project office hosted by the European Space Agency in the UK) </w:t>
      </w:r>
      <w:r w:rsidRPr="00E84A6B">
        <w:rPr>
          <w:lang w:eastAsia="en-GB"/>
        </w:rPr>
        <w:t>that generates the scenario runs that are integral to the Intergovernmental Panel on Climate Change (IPCC)</w:t>
      </w:r>
      <w:r w:rsidRPr="00E84A6B">
        <w:rPr>
          <w:rStyle w:val="Refdenotaalpie"/>
          <w:lang w:eastAsia="en-GB"/>
        </w:rPr>
        <w:footnoteReference w:id="5"/>
      </w:r>
      <w:r w:rsidRPr="00E84A6B">
        <w:rPr>
          <w:lang w:eastAsia="en-GB"/>
        </w:rPr>
        <w:t xml:space="preserve"> assessment reports.</w:t>
      </w:r>
    </w:p>
    <w:p w14:paraId="33C52DBA" w14:textId="77777777" w:rsidR="000D2B2D" w:rsidRPr="00E84A6B" w:rsidRDefault="000D2B2D" w:rsidP="000D2B2D">
      <w:pPr>
        <w:rPr>
          <w:i/>
          <w:iCs/>
          <w:highlight w:val="yellow"/>
          <w:lang w:eastAsia="en-GB"/>
        </w:rPr>
      </w:pPr>
    </w:p>
    <w:p w14:paraId="2E7802E7" w14:textId="77777777" w:rsidR="000D2B2D" w:rsidRPr="00E84A6B" w:rsidRDefault="000D2B2D" w:rsidP="000D2B2D">
      <w:pPr>
        <w:rPr>
          <w:i/>
          <w:iCs/>
          <w:lang w:eastAsia="en-GB"/>
        </w:rPr>
      </w:pPr>
      <w:r w:rsidRPr="00E84A6B">
        <w:rPr>
          <w:i/>
          <w:iCs/>
          <w:lang w:eastAsia="en-GB"/>
        </w:rPr>
        <w:t>Antarctic CORDEX</w:t>
      </w:r>
    </w:p>
    <w:p w14:paraId="4D141296" w14:textId="77777777" w:rsidR="000D2B2D" w:rsidRPr="00E84A6B" w:rsidRDefault="000D2B2D" w:rsidP="000D2B2D">
      <w:pPr>
        <w:widowControl w:val="0"/>
        <w:autoSpaceDE w:val="0"/>
        <w:autoSpaceDN w:val="0"/>
        <w:adjustRightInd w:val="0"/>
        <w:rPr>
          <w:lang w:eastAsia="en-GB"/>
        </w:rPr>
      </w:pPr>
    </w:p>
    <w:p w14:paraId="1619E6F3" w14:textId="77777777" w:rsidR="000D2B2D" w:rsidRPr="00E84A6B" w:rsidRDefault="000D2B2D" w:rsidP="000D2B2D">
      <w:pPr>
        <w:spacing w:line="242" w:lineRule="exact"/>
        <w:jc w:val="both"/>
        <w:rPr>
          <w:lang w:eastAsia="en-GB"/>
        </w:rPr>
      </w:pPr>
      <w:r w:rsidRPr="2CA8CAEC">
        <w:rPr>
          <w:lang w:eastAsia="en-GB"/>
        </w:rPr>
        <w:t xml:space="preserve">The CORDEX vision is to advance and coordinate the science and application of regional climate downscaling through global partnerships. Detailed projections of how the Antarctic climate may evolve over the twenty-first century in response to anthropogenic forcing are urgently required by many users, </w:t>
      </w:r>
      <w:proofErr w:type="gramStart"/>
      <w:r w:rsidRPr="2CA8CAEC">
        <w:rPr>
          <w:lang w:eastAsia="en-GB"/>
        </w:rPr>
        <w:t>in particular by</w:t>
      </w:r>
      <w:proofErr w:type="gramEnd"/>
      <w:r w:rsidRPr="2CA8CAEC">
        <w:rPr>
          <w:lang w:eastAsia="en-GB"/>
        </w:rPr>
        <w:t xml:space="preserve"> the glaciological and biological communities in order to produce improved projections of mass balance and biological processes. A detailed paper (IP119) on </w:t>
      </w:r>
      <w:r w:rsidRPr="2CA8CAEC">
        <w:rPr>
          <w:lang w:eastAsia="en-GB"/>
        </w:rPr>
        <w:lastRenderedPageBreak/>
        <w:t>Antarctic CORDEX was submitted to CEP XX (Beijing, 2017). Recently, Mottram et al. (2021)</w:t>
      </w:r>
      <w:r w:rsidRPr="2CA8CAEC">
        <w:rPr>
          <w:rStyle w:val="Refdenotaalpie"/>
          <w:lang w:eastAsia="en-GB"/>
        </w:rPr>
        <w:footnoteReference w:id="6"/>
      </w:r>
      <w:r w:rsidRPr="2CA8CAEC">
        <w:rPr>
          <w:lang w:eastAsia="en-GB"/>
        </w:rPr>
        <w:t xml:space="preserve"> compared the performance of five different regional climate models, available through the Antarctic CORDEX project, in simulating the present-day near-surface climate and surface mass balance (SMB) of Antarctica. This study showed that all models simulate Antarctic climate well when compared with daily observed temperature and pressure. The largest spatial differences between model SMB estimates are in West Antarctica, the Antarctic Peninsula, and around the Transantarctic Mountains.</w:t>
      </w:r>
      <w:r>
        <w:rPr>
          <w:lang w:eastAsia="en-GB"/>
        </w:rPr>
        <w:t xml:space="preserve"> A new paper on this paper will be submitted to the next ATCM.</w:t>
      </w:r>
    </w:p>
    <w:p w14:paraId="7ABDC5AD" w14:textId="77777777" w:rsidR="000D2B2D" w:rsidRPr="00E84A6B" w:rsidRDefault="000D2B2D" w:rsidP="000D2B2D">
      <w:pPr>
        <w:widowControl w:val="0"/>
        <w:rPr>
          <w:lang w:eastAsia="en-GB"/>
        </w:rPr>
      </w:pPr>
    </w:p>
    <w:p w14:paraId="5D557009" w14:textId="77777777" w:rsidR="000D2B2D" w:rsidRPr="00E84A6B" w:rsidRDefault="000D2B2D" w:rsidP="000D2B2D">
      <w:pPr>
        <w:rPr>
          <w:lang w:eastAsia="en-GB"/>
        </w:rPr>
      </w:pPr>
    </w:p>
    <w:p w14:paraId="31B80294" w14:textId="77777777" w:rsidR="000D2B2D" w:rsidRPr="00E84A6B" w:rsidRDefault="000D2B2D" w:rsidP="000D2B2D">
      <w:pPr>
        <w:rPr>
          <w:i/>
          <w:iCs/>
          <w:lang w:eastAsia="en-GB"/>
        </w:rPr>
      </w:pPr>
      <w:r w:rsidRPr="00E84A6B">
        <w:rPr>
          <w:i/>
          <w:iCs/>
          <w:lang w:eastAsia="en-GB"/>
        </w:rPr>
        <w:t>Antarctica 2300 Projections</w:t>
      </w:r>
    </w:p>
    <w:p w14:paraId="7B47C486" w14:textId="77777777" w:rsidR="000D2B2D" w:rsidRPr="00E84A6B" w:rsidRDefault="000D2B2D" w:rsidP="000D2B2D">
      <w:pPr>
        <w:rPr>
          <w:lang w:eastAsia="en-GB"/>
        </w:rPr>
      </w:pPr>
    </w:p>
    <w:p w14:paraId="0B4B43F1" w14:textId="77777777" w:rsidR="000D2B2D" w:rsidRPr="00E84A6B" w:rsidRDefault="000D2B2D" w:rsidP="000D2B2D">
      <w:pPr>
        <w:widowControl w:val="0"/>
        <w:autoSpaceDE w:val="0"/>
        <w:autoSpaceDN w:val="0"/>
        <w:adjustRightInd w:val="0"/>
        <w:rPr>
          <w:lang w:eastAsia="en-GB"/>
        </w:rPr>
      </w:pPr>
      <w:r w:rsidRPr="00E84A6B">
        <w:rPr>
          <w:lang w:eastAsia="en-GB"/>
        </w:rPr>
        <w:t>The Ice Sheet Model Intercomparison for CMIP6 (ISMIP6) is the primary effort of CMIP</w:t>
      </w:r>
      <w:proofErr w:type="gramStart"/>
      <w:r w:rsidRPr="00E84A6B">
        <w:rPr>
          <w:lang w:eastAsia="en-GB"/>
        </w:rPr>
        <w:t>6  focusing</w:t>
      </w:r>
      <w:proofErr w:type="gramEnd"/>
      <w:r w:rsidRPr="00E84A6B">
        <w:rPr>
          <w:lang w:eastAsia="en-GB"/>
        </w:rPr>
        <w:t xml:space="preserve"> on ice sheets. It was designed to provide processed-based projections of ice sheets contribution to sea level rise over the 21st century, and assess uncertainties associated with these projections as well as their origins. However, improved ice sheet projections beyond the 21st century are also necessary, as instability mechanisms have the potential to rapidly destabilize ice sheets and several regions may reach tipping points, potentially leading to much larger sea level contributions. Building on the success of ISMIP6, a new effort targeting projections of the Antarctic ice sheet until 2300 has being launched. This effort is open to the international </w:t>
      </w:r>
      <w:proofErr w:type="gramStart"/>
      <w:r w:rsidRPr="00E84A6B">
        <w:rPr>
          <w:lang w:eastAsia="en-GB"/>
        </w:rPr>
        <w:t>community</w:t>
      </w:r>
      <w:proofErr w:type="gramEnd"/>
      <w:r w:rsidRPr="00E84A6B">
        <w:rPr>
          <w:lang w:eastAsia="en-GB"/>
        </w:rPr>
        <w:t xml:space="preserve"> and we invite all modelers interested to participate, regardless of their previous involvement in ISMIP6</w:t>
      </w:r>
      <w:r>
        <w:rPr>
          <w:rStyle w:val="Refdenotaalpie"/>
          <w:lang w:eastAsia="en-GB"/>
        </w:rPr>
        <w:footnoteReference w:id="7"/>
      </w:r>
      <w:r w:rsidRPr="00E84A6B">
        <w:rPr>
          <w:lang w:eastAsia="en-GB"/>
        </w:rPr>
        <w:t xml:space="preserve">. </w:t>
      </w:r>
      <w:r>
        <w:rPr>
          <w:lang w:eastAsia="en-GB"/>
        </w:rPr>
        <w:t>A full paper on this topic will be submitted to the next ATCM.</w:t>
      </w:r>
    </w:p>
    <w:p w14:paraId="617A2062" w14:textId="77777777" w:rsidR="000D2B2D" w:rsidRPr="00E84A6B" w:rsidRDefault="000D2B2D" w:rsidP="000D2B2D">
      <w:pPr>
        <w:rPr>
          <w:lang w:eastAsia="en-GB"/>
        </w:rPr>
      </w:pPr>
    </w:p>
    <w:p w14:paraId="25393368" w14:textId="77777777" w:rsidR="000D2B2D" w:rsidRPr="00E84A6B" w:rsidRDefault="000D2B2D" w:rsidP="000D2B2D">
      <w:pPr>
        <w:rPr>
          <w:lang w:eastAsia="en-GB"/>
        </w:rPr>
      </w:pPr>
    </w:p>
    <w:p w14:paraId="1E75F486" w14:textId="77777777" w:rsidR="000D2B2D" w:rsidRPr="00E84A6B" w:rsidRDefault="000D2B2D" w:rsidP="000D2B2D">
      <w:pPr>
        <w:rPr>
          <w:i/>
          <w:iCs/>
          <w:lang w:eastAsia="en-GB"/>
        </w:rPr>
      </w:pPr>
      <w:r w:rsidRPr="00E84A6B">
        <w:rPr>
          <w:i/>
          <w:iCs/>
          <w:lang w:eastAsia="en-GB"/>
        </w:rPr>
        <w:t>The WCRP Academy</w:t>
      </w:r>
    </w:p>
    <w:p w14:paraId="2E32870E" w14:textId="77777777" w:rsidR="000D2B2D" w:rsidRPr="00E84A6B" w:rsidRDefault="000D2B2D" w:rsidP="000D2B2D">
      <w:pPr>
        <w:rPr>
          <w:lang w:eastAsia="en-GB"/>
        </w:rPr>
      </w:pPr>
    </w:p>
    <w:p w14:paraId="6373FDC6" w14:textId="77777777" w:rsidR="000D2B2D" w:rsidRPr="00E84A6B" w:rsidRDefault="000D2B2D" w:rsidP="000D2B2D">
      <w:pPr>
        <w:rPr>
          <w:lang w:eastAsia="en-GB"/>
        </w:rPr>
      </w:pPr>
      <w:r w:rsidRPr="00E84A6B">
        <w:rPr>
          <w:lang w:eastAsia="en-GB"/>
        </w:rPr>
        <w:t>WCRP has developed five new Lighthouse activities</w:t>
      </w:r>
      <w:r w:rsidRPr="00E84A6B">
        <w:rPr>
          <w:rStyle w:val="Refdenotaalpie"/>
          <w:lang w:eastAsia="en-GB"/>
        </w:rPr>
        <w:footnoteReference w:id="8"/>
      </w:r>
      <w:r w:rsidRPr="00E84A6B">
        <w:rPr>
          <w:lang w:eastAsia="en-GB"/>
        </w:rPr>
        <w:t xml:space="preserve"> that are designed to be ambitious and transdisciplinary so that they can rapidly advance some of the new science and technologies, and institutional frameworks, that are needed to manage climate risk and meet society’s urgent need for robust and actionable climate information more effectively.</w:t>
      </w:r>
    </w:p>
    <w:p w14:paraId="73DB7F06" w14:textId="77777777" w:rsidR="000D2B2D" w:rsidRPr="00E84A6B" w:rsidRDefault="000D2B2D" w:rsidP="000D2B2D">
      <w:pPr>
        <w:rPr>
          <w:lang w:eastAsia="en-GB"/>
        </w:rPr>
      </w:pPr>
    </w:p>
    <w:p w14:paraId="46A5112D" w14:textId="77777777" w:rsidR="000D2B2D" w:rsidRPr="004817EB" w:rsidRDefault="000D2B2D" w:rsidP="000D2B2D">
      <w:pPr>
        <w:widowControl w:val="0"/>
        <w:autoSpaceDE w:val="0"/>
        <w:autoSpaceDN w:val="0"/>
        <w:adjustRightInd w:val="0"/>
        <w:rPr>
          <w:lang w:eastAsia="en-GB"/>
        </w:rPr>
      </w:pPr>
      <w:r>
        <w:rPr>
          <w:lang w:eastAsia="en-GB"/>
        </w:rPr>
        <w:t>The</w:t>
      </w:r>
      <w:r w:rsidRPr="00E84A6B">
        <w:rPr>
          <w:lang w:eastAsia="en-GB"/>
        </w:rPr>
        <w:t xml:space="preserve"> WCRP Academy</w:t>
      </w:r>
      <w:r w:rsidRPr="00E84A6B">
        <w:rPr>
          <w:rStyle w:val="Refdenotaalpie"/>
          <w:lang w:eastAsia="en-GB"/>
        </w:rPr>
        <w:footnoteReference w:id="9"/>
      </w:r>
      <w:r w:rsidRPr="00E84A6B">
        <w:rPr>
          <w:lang w:eastAsia="en-GB"/>
        </w:rPr>
        <w:t xml:space="preserve">aims to determine the requirements for climate research training and education and build enabling mechanisms. One mechanism being planned is an online marketplace for climate science training, which will connect training providers and those who seek training.  The Academy will also identify training gaps and advocate for those needs to be met and will work with partner organizations around the world to ensure that climate science training and education are meeting the needs of society. </w:t>
      </w:r>
      <w:r w:rsidRPr="00E80C81">
        <w:rPr>
          <w:lang w:eastAsia="en-GB"/>
        </w:rPr>
        <w:t>See accompanying IP for</w:t>
      </w:r>
      <w:r w:rsidRPr="2CA8CAEC">
        <w:rPr>
          <w:lang w:eastAsia="en-GB"/>
        </w:rPr>
        <w:t xml:space="preserve"> further details.</w:t>
      </w:r>
    </w:p>
    <w:p w14:paraId="4590B8E6" w14:textId="77777777" w:rsidR="000D2B2D" w:rsidRPr="00E84A6B" w:rsidRDefault="000D2B2D" w:rsidP="000D2B2D">
      <w:pPr>
        <w:rPr>
          <w:i/>
          <w:iCs/>
        </w:rPr>
      </w:pPr>
    </w:p>
    <w:p w14:paraId="5C122951" w14:textId="77777777" w:rsidR="000D2B2D" w:rsidRDefault="000D2B2D" w:rsidP="000D2B2D">
      <w:pPr>
        <w:rPr>
          <w:i/>
          <w:iCs/>
          <w:szCs w:val="22"/>
        </w:rPr>
      </w:pPr>
    </w:p>
    <w:p w14:paraId="3FC7F97E" w14:textId="77777777" w:rsidR="000D2B2D" w:rsidRPr="00E84A6B" w:rsidRDefault="000D2B2D" w:rsidP="000D2B2D">
      <w:pPr>
        <w:rPr>
          <w:i/>
          <w:iCs/>
        </w:rPr>
      </w:pPr>
      <w:r w:rsidRPr="00E84A6B">
        <w:rPr>
          <w:i/>
          <w:iCs/>
          <w:szCs w:val="22"/>
        </w:rPr>
        <w:t>The Southern Ocean Action Plan</w:t>
      </w:r>
    </w:p>
    <w:p w14:paraId="75BB3448" w14:textId="77777777" w:rsidR="000D2B2D" w:rsidRPr="00E84A6B" w:rsidRDefault="000D2B2D" w:rsidP="000D2B2D">
      <w:pPr>
        <w:jc w:val="both"/>
        <w:rPr>
          <w:lang w:eastAsia="en-GB"/>
        </w:rPr>
      </w:pPr>
    </w:p>
    <w:p w14:paraId="29D1A25F" w14:textId="77777777" w:rsidR="000D2B2D" w:rsidRPr="00E84A6B" w:rsidRDefault="000D2B2D" w:rsidP="000D2B2D">
      <w:pPr>
        <w:widowControl w:val="0"/>
        <w:autoSpaceDE w:val="0"/>
        <w:autoSpaceDN w:val="0"/>
        <w:adjustRightInd w:val="0"/>
        <w:rPr>
          <w:lang w:eastAsia="en-GB"/>
        </w:rPr>
      </w:pPr>
      <w:r w:rsidRPr="00E84A6B">
        <w:rPr>
          <w:szCs w:val="22"/>
          <w:lang w:eastAsia="en-GB"/>
        </w:rPr>
        <w:t xml:space="preserve">Coordinated by SCAR, a Southern Ocean Task Force was set up to develop a Southern Ocean Action Plan as part of the UN Ocean Decade. The plan itself was developed by several partners, including WCRP and IAATO. Through the publication of this Action Plan, the Southern Ocean Task Force aims to mobilise the Southern Ocean community and inspire all stakeholders to seek engagement and leverage opportunities to deliver innovative solutions that maintain and foster the unique conditions of the Southern Ocean. This framework provides an initial roadmap to strengthen links between science, </w:t>
      </w:r>
      <w:proofErr w:type="gramStart"/>
      <w:r w:rsidRPr="00E84A6B">
        <w:rPr>
          <w:szCs w:val="22"/>
          <w:lang w:eastAsia="en-GB"/>
        </w:rPr>
        <w:t>industry</w:t>
      </w:r>
      <w:proofErr w:type="gramEnd"/>
      <w:r w:rsidRPr="00E84A6B">
        <w:rPr>
          <w:szCs w:val="22"/>
          <w:lang w:eastAsia="en-GB"/>
        </w:rPr>
        <w:t xml:space="preserve"> and policy, as well as to encourage internationally collaborative activities in order to address existing gaps in our knowledge and data coverage. The </w:t>
      </w:r>
      <w:hyperlink r:id="rId11">
        <w:r w:rsidRPr="00E84A6B">
          <w:rPr>
            <w:szCs w:val="22"/>
            <w:lang w:eastAsia="en-GB"/>
          </w:rPr>
          <w:t>Southern Ocean Action Plan</w:t>
        </w:r>
      </w:hyperlink>
      <w:r w:rsidRPr="00E84A6B">
        <w:rPr>
          <w:szCs w:val="22"/>
          <w:lang w:eastAsia="en-GB"/>
        </w:rPr>
        <w:t xml:space="preserve"> will, as part of the UN Ocean Decade, deliver in achieving the </w:t>
      </w:r>
      <w:r w:rsidRPr="00E84A6B">
        <w:rPr>
          <w:szCs w:val="22"/>
          <w:lang w:eastAsia="en-GB"/>
        </w:rPr>
        <w:lastRenderedPageBreak/>
        <w:t>UN Agenda 2030 and its Sustainable Development Goals in a polar context.</w:t>
      </w:r>
      <w:r>
        <w:rPr>
          <w:szCs w:val="22"/>
          <w:lang w:eastAsia="en-GB"/>
        </w:rPr>
        <w:t xml:space="preserve"> </w:t>
      </w:r>
      <w:r w:rsidRPr="00E80C81">
        <w:rPr>
          <w:lang w:eastAsia="en-GB"/>
        </w:rPr>
        <w:t>See accompanying IP for</w:t>
      </w:r>
      <w:r w:rsidRPr="2CA8CAEC">
        <w:rPr>
          <w:lang w:eastAsia="en-GB"/>
        </w:rPr>
        <w:t xml:space="preserve"> further details.</w:t>
      </w:r>
    </w:p>
    <w:p w14:paraId="6A4EE5DC" w14:textId="77777777" w:rsidR="000D2B2D" w:rsidRPr="00E84A6B" w:rsidRDefault="000D2B2D" w:rsidP="000D2B2D">
      <w:pPr>
        <w:jc w:val="both"/>
        <w:rPr>
          <w:lang w:eastAsia="en-GB"/>
        </w:rPr>
      </w:pPr>
    </w:p>
    <w:p w14:paraId="6FD51078" w14:textId="77777777" w:rsidR="000D2B2D" w:rsidRPr="00E84A6B" w:rsidRDefault="000D2B2D" w:rsidP="000D2B2D">
      <w:pPr>
        <w:pStyle w:val="ATSHeading1"/>
        <w:jc w:val="left"/>
        <w:rPr>
          <w:rFonts w:ascii="Times New Roman" w:hAnsi="Times New Roman"/>
          <w:b w:val="0"/>
          <w:i/>
          <w:iCs/>
          <w:sz w:val="22"/>
          <w:szCs w:val="22"/>
        </w:rPr>
      </w:pPr>
      <w:r w:rsidRPr="00E84A6B">
        <w:rPr>
          <w:rFonts w:ascii="Times New Roman" w:hAnsi="Times New Roman"/>
          <w:b w:val="0"/>
          <w:i/>
          <w:iCs/>
          <w:sz w:val="22"/>
          <w:szCs w:val="22"/>
        </w:rPr>
        <w:t>The Year of Polar Prediction final Summit</w:t>
      </w:r>
    </w:p>
    <w:p w14:paraId="5BE5CCD8" w14:textId="77777777" w:rsidR="000D2B2D" w:rsidRPr="00E84A6B" w:rsidRDefault="000D2B2D" w:rsidP="000D2B2D">
      <w:pPr>
        <w:textAlignment w:val="baseline"/>
        <w:rPr>
          <w:lang w:eastAsia="en-GB"/>
        </w:rPr>
      </w:pPr>
      <w:r w:rsidRPr="00E84A6B">
        <w:rPr>
          <w:lang w:eastAsia="en-GB"/>
        </w:rPr>
        <w:t>The Year of Polar Prediction (YOPP) 2017-2019 of WMO</w:t>
      </w:r>
      <w:r>
        <w:rPr>
          <w:lang w:eastAsia="en-GB"/>
        </w:rPr>
        <w:t>’</w:t>
      </w:r>
      <w:r w:rsidRPr="00E84A6B">
        <w:rPr>
          <w:lang w:eastAsia="en-GB"/>
        </w:rPr>
        <w:t>s World Weather Research Programme’s Polar Prediction Project, galvanised extra observation</w:t>
      </w:r>
      <w:r>
        <w:rPr>
          <w:lang w:eastAsia="en-GB"/>
        </w:rPr>
        <w:t>al</w:t>
      </w:r>
      <w:r w:rsidRPr="00E84A6B">
        <w:rPr>
          <w:lang w:eastAsia="en-GB"/>
        </w:rPr>
        <w:t xml:space="preserve"> and modelling efforts in both the Arctic and Antarctic. The final Special Observing Period in the Antarctic has been extended to the end of August 2022, to take advantage of the South African RV Agulhas II presence in the Weddell Sea.  </w:t>
      </w:r>
    </w:p>
    <w:p w14:paraId="19F0610C" w14:textId="77777777" w:rsidR="000D2B2D" w:rsidRPr="00E84A6B" w:rsidRDefault="000D2B2D" w:rsidP="000D2B2D">
      <w:pPr>
        <w:textAlignment w:val="baseline"/>
        <w:rPr>
          <w:lang w:eastAsia="en-GB"/>
        </w:rPr>
      </w:pPr>
    </w:p>
    <w:p w14:paraId="35C7D663" w14:textId="77777777" w:rsidR="000D2B2D" w:rsidRPr="00E84A6B" w:rsidRDefault="000D2B2D" w:rsidP="000D2B2D">
      <w:pPr>
        <w:widowControl w:val="0"/>
        <w:autoSpaceDE w:val="0"/>
        <w:autoSpaceDN w:val="0"/>
        <w:adjustRightInd w:val="0"/>
        <w:rPr>
          <w:lang w:eastAsia="en-GB"/>
        </w:rPr>
      </w:pPr>
      <w:r w:rsidRPr="00E84A6B">
        <w:rPr>
          <w:lang w:eastAsia="en-GB"/>
        </w:rPr>
        <w:t>A Year of Polar Prediction (YOPP) Final Summit will take place in Montreal (QC), Canada, Monday, August 29 - September 1</w:t>
      </w:r>
      <w:proofErr w:type="gramStart"/>
      <w:r w:rsidRPr="00E84A6B">
        <w:rPr>
          <w:lang w:eastAsia="en-GB"/>
        </w:rPr>
        <w:t xml:space="preserve"> 2022</w:t>
      </w:r>
      <w:proofErr w:type="gramEnd"/>
      <w:r w:rsidRPr="00E84A6B">
        <w:rPr>
          <w:lang w:eastAsia="en-GB"/>
        </w:rPr>
        <w:t xml:space="preserve">. The conference will bring together the polar prediction community, </w:t>
      </w:r>
      <w:proofErr w:type="gramStart"/>
      <w:r w:rsidRPr="00E84A6B">
        <w:rPr>
          <w:lang w:eastAsia="en-GB"/>
        </w:rPr>
        <w:t>from operational centres and academia,</w:t>
      </w:r>
      <w:proofErr w:type="gramEnd"/>
      <w:r w:rsidRPr="00E84A6B">
        <w:rPr>
          <w:lang w:eastAsia="en-GB"/>
        </w:rPr>
        <w:t xml:space="preserve"> to environment services and polar prediction users and northern communities, to showcase the successes of YOPP and contribute to the legacy of the Polar Prediction Project. For further details see: </w:t>
      </w:r>
      <w:hyperlink r:id="rId12">
        <w:r w:rsidRPr="00E84A6B">
          <w:rPr>
            <w:lang w:eastAsia="en-GB"/>
          </w:rPr>
          <w:t>https://www.polarprediction.net/</w:t>
        </w:r>
      </w:hyperlink>
      <w:r>
        <w:rPr>
          <w:lang w:eastAsia="en-GB"/>
        </w:rPr>
        <w:t xml:space="preserve"> or</w:t>
      </w:r>
      <w:r w:rsidRPr="00E80C81">
        <w:rPr>
          <w:lang w:eastAsia="en-GB"/>
        </w:rPr>
        <w:t xml:space="preserve"> accompanying IP for</w:t>
      </w:r>
      <w:r w:rsidRPr="2CA8CAEC">
        <w:rPr>
          <w:lang w:eastAsia="en-GB"/>
        </w:rPr>
        <w:t xml:space="preserve"> further details.</w:t>
      </w:r>
    </w:p>
    <w:p w14:paraId="4E786350" w14:textId="77777777" w:rsidR="000D2B2D" w:rsidRPr="00E84A6B" w:rsidRDefault="000D2B2D" w:rsidP="000D2B2D">
      <w:pPr>
        <w:textAlignment w:val="baseline"/>
        <w:rPr>
          <w:lang w:eastAsia="en-GB"/>
        </w:rPr>
      </w:pPr>
    </w:p>
    <w:p w14:paraId="7B86DB9C" w14:textId="77777777" w:rsidR="000D2B2D" w:rsidRPr="00A61900" w:rsidRDefault="000D2B2D" w:rsidP="000D2B2D">
      <w:pPr>
        <w:widowControl w:val="0"/>
        <w:autoSpaceDE w:val="0"/>
        <w:autoSpaceDN w:val="0"/>
        <w:adjustRightInd w:val="0"/>
        <w:rPr>
          <w:lang w:eastAsia="en-GB"/>
        </w:rPr>
      </w:pPr>
      <w:r w:rsidRPr="00E84A6B">
        <w:rPr>
          <w:lang w:eastAsia="en-GB"/>
        </w:rPr>
        <w:t> </w:t>
      </w:r>
    </w:p>
    <w:p w14:paraId="7FA3F0EB" w14:textId="77777777" w:rsidR="000D2B2D" w:rsidRPr="00E84A6B" w:rsidRDefault="000D2B2D" w:rsidP="000D2B2D">
      <w:pPr>
        <w:widowControl w:val="0"/>
        <w:autoSpaceDE w:val="0"/>
        <w:autoSpaceDN w:val="0"/>
        <w:adjustRightInd w:val="0"/>
        <w:rPr>
          <w:highlight w:val="yellow"/>
          <w:u w:val="single"/>
          <w:lang w:eastAsia="en-GB"/>
        </w:rPr>
      </w:pPr>
    </w:p>
    <w:p w14:paraId="4F5E7450" w14:textId="77777777" w:rsidR="000D2B2D" w:rsidRPr="00A61900" w:rsidRDefault="000D2B2D" w:rsidP="000D2B2D">
      <w:pPr>
        <w:widowControl w:val="0"/>
        <w:autoSpaceDE w:val="0"/>
        <w:autoSpaceDN w:val="0"/>
        <w:adjustRightInd w:val="0"/>
        <w:rPr>
          <w:u w:val="single"/>
          <w:lang w:eastAsia="en-GB"/>
        </w:rPr>
      </w:pPr>
      <w:r w:rsidRPr="00A61900">
        <w:rPr>
          <w:u w:val="single"/>
          <w:lang w:eastAsia="en-GB"/>
        </w:rPr>
        <w:t>Antarctic Observations and Infrastructure</w:t>
      </w:r>
    </w:p>
    <w:p w14:paraId="75A0EE29" w14:textId="77777777" w:rsidR="000D2B2D" w:rsidRPr="00A61900" w:rsidRDefault="000D2B2D" w:rsidP="000D2B2D">
      <w:pPr>
        <w:widowControl w:val="0"/>
        <w:autoSpaceDE w:val="0"/>
        <w:autoSpaceDN w:val="0"/>
        <w:adjustRightInd w:val="0"/>
        <w:rPr>
          <w:i/>
          <w:iCs/>
          <w:u w:val="single"/>
          <w:lang w:eastAsia="en-GB"/>
        </w:rPr>
      </w:pPr>
    </w:p>
    <w:p w14:paraId="39DD9793" w14:textId="77777777" w:rsidR="000D2B2D" w:rsidRPr="00E84A6B" w:rsidRDefault="000D2B2D" w:rsidP="000D2B2D">
      <w:pPr>
        <w:widowControl w:val="0"/>
        <w:autoSpaceDE w:val="0"/>
        <w:autoSpaceDN w:val="0"/>
        <w:adjustRightInd w:val="0"/>
        <w:rPr>
          <w:lang w:eastAsia="en-GB"/>
        </w:rPr>
      </w:pPr>
      <w:r w:rsidRPr="00A61900">
        <w:rPr>
          <w:szCs w:val="22"/>
          <w:lang w:eastAsia="en-GB"/>
        </w:rPr>
        <w:t xml:space="preserve">WMO has adopted new Unified Data Policy that is necessary for the global efforts to monitor, understand and then predict weather and climate, as well as the Global Basic Observing Network (GBON).  GBON paves the way for a radical overhaul of the international exchange of observational data, which underpin all weather, climate and water services and products. </w:t>
      </w:r>
      <w:r w:rsidRPr="00E80C81">
        <w:rPr>
          <w:lang w:eastAsia="en-GB"/>
        </w:rPr>
        <w:t>See accompanying IP for</w:t>
      </w:r>
      <w:r w:rsidRPr="2CA8CAEC">
        <w:rPr>
          <w:lang w:eastAsia="en-GB"/>
        </w:rPr>
        <w:t xml:space="preserve"> further details.</w:t>
      </w:r>
    </w:p>
    <w:p w14:paraId="050CC5D6" w14:textId="77777777" w:rsidR="000D2B2D" w:rsidRPr="00A61900" w:rsidRDefault="000D2B2D" w:rsidP="000D2B2D">
      <w:pPr>
        <w:widowControl w:val="0"/>
        <w:autoSpaceDE w:val="0"/>
        <w:autoSpaceDN w:val="0"/>
        <w:adjustRightInd w:val="0"/>
        <w:rPr>
          <w:szCs w:val="22"/>
          <w:lang w:eastAsia="en-GB"/>
        </w:rPr>
      </w:pPr>
    </w:p>
    <w:p w14:paraId="560E57A4" w14:textId="77777777" w:rsidR="000D2B2D" w:rsidRPr="00A61900" w:rsidRDefault="000D2B2D" w:rsidP="000D2B2D">
      <w:pPr>
        <w:rPr>
          <w:lang w:eastAsia="en-GB"/>
        </w:rPr>
      </w:pPr>
      <w:r w:rsidRPr="2CA8CAEC">
        <w:rPr>
          <w:lang w:eastAsia="en-GB"/>
        </w:rPr>
        <w:t>The increased frequency of extreme temperatures seen in Antarctica recently emphasises the need for systematic observations of demonstrated quality. There are significant challenges to obtaining continuous quality measurements over the ice sheet surface of the Antarctic, e.g.</w:t>
      </w:r>
      <w:r>
        <w:rPr>
          <w:lang w:eastAsia="en-GB"/>
        </w:rPr>
        <w:t>,</w:t>
      </w:r>
      <w:r w:rsidRPr="2CA8CAEC">
        <w:rPr>
          <w:lang w:eastAsia="en-GB"/>
        </w:rPr>
        <w:t xml:space="preserve"> due to the impact of the snow albedo and of the extreme operating conditions. For that reason, WMO is committed to continue bringing together the international community of experts engaged in maintaining observing stations in Antarctica as part of its Global Cryosphere Watch</w:t>
      </w:r>
      <w:r w:rsidRPr="2CA8CAEC">
        <w:rPr>
          <w:rStyle w:val="Refdenotaalpie"/>
          <w:lang w:eastAsia="en-GB"/>
        </w:rPr>
        <w:footnoteReference w:id="10"/>
      </w:r>
      <w:r w:rsidRPr="2CA8CAEC">
        <w:rPr>
          <w:lang w:eastAsia="en-GB"/>
        </w:rPr>
        <w:t>, to address specific observations, instrumentation, challenges, e.g.</w:t>
      </w:r>
      <w:r>
        <w:rPr>
          <w:lang w:eastAsia="en-GB"/>
        </w:rPr>
        <w:t>,</w:t>
      </w:r>
      <w:r w:rsidRPr="2CA8CAEC">
        <w:rPr>
          <w:lang w:eastAsia="en-GB"/>
        </w:rPr>
        <w:t xml:space="preserve"> measurements of snow depth, air temperature, fast ice, etc.</w:t>
      </w:r>
    </w:p>
    <w:p w14:paraId="7F45118E" w14:textId="77777777" w:rsidR="000D2B2D" w:rsidRPr="00A61900" w:rsidRDefault="000D2B2D" w:rsidP="000D2B2D">
      <w:pPr>
        <w:spacing w:line="259" w:lineRule="auto"/>
        <w:rPr>
          <w:lang w:eastAsia="en-GB"/>
        </w:rPr>
      </w:pPr>
    </w:p>
    <w:p w14:paraId="17BF72C5" w14:textId="77777777" w:rsidR="000D2B2D" w:rsidRPr="00A61900" w:rsidRDefault="000D2B2D" w:rsidP="000D2B2D">
      <w:pPr>
        <w:widowControl w:val="0"/>
        <w:autoSpaceDE w:val="0"/>
        <w:autoSpaceDN w:val="0"/>
        <w:adjustRightInd w:val="0"/>
        <w:rPr>
          <w:u w:val="single"/>
          <w:lang w:eastAsia="en-GB"/>
        </w:rPr>
      </w:pPr>
    </w:p>
    <w:p w14:paraId="26A29E8C" w14:textId="77777777" w:rsidR="000D2B2D" w:rsidRPr="00A61900" w:rsidRDefault="000D2B2D" w:rsidP="000D2B2D">
      <w:pPr>
        <w:widowControl w:val="0"/>
        <w:autoSpaceDE w:val="0"/>
        <w:autoSpaceDN w:val="0"/>
        <w:adjustRightInd w:val="0"/>
        <w:rPr>
          <w:u w:val="single"/>
          <w:lang w:eastAsia="en-GB"/>
        </w:rPr>
      </w:pPr>
      <w:r w:rsidRPr="00A61900">
        <w:rPr>
          <w:u w:val="single"/>
          <w:lang w:eastAsia="en-GB"/>
        </w:rPr>
        <w:t>Antarctic Services</w:t>
      </w:r>
    </w:p>
    <w:p w14:paraId="47A9366D" w14:textId="77777777" w:rsidR="000D2B2D" w:rsidRPr="00A61900" w:rsidRDefault="000D2B2D" w:rsidP="000D2B2D">
      <w:pPr>
        <w:suppressAutoHyphens/>
        <w:rPr>
          <w:lang w:eastAsia="en-GB"/>
        </w:rPr>
      </w:pPr>
    </w:p>
    <w:p w14:paraId="4199DE12" w14:textId="77777777" w:rsidR="000D2B2D" w:rsidRPr="00E84A6B" w:rsidRDefault="000D2B2D" w:rsidP="000D2B2D">
      <w:pPr>
        <w:suppressAutoHyphens/>
        <w:rPr>
          <w:color w:val="D13438"/>
          <w:u w:val="single"/>
        </w:rPr>
      </w:pPr>
      <w:r w:rsidRPr="00A61900">
        <w:rPr>
          <w:lang w:eastAsia="en-GB"/>
        </w:rPr>
        <w:t>WMO, with partners, continued with the development of an Antarctic Polar Regional Climate Centre (</w:t>
      </w:r>
      <w:proofErr w:type="spellStart"/>
      <w:r w:rsidRPr="00A61900">
        <w:rPr>
          <w:lang w:eastAsia="en-GB"/>
        </w:rPr>
        <w:t>AntRCC</w:t>
      </w:r>
      <w:proofErr w:type="spellEnd"/>
      <w:r w:rsidRPr="00A61900">
        <w:rPr>
          <w:lang w:eastAsia="en-GB"/>
        </w:rPr>
        <w:t xml:space="preserve">) Network. </w:t>
      </w:r>
      <w:r>
        <w:rPr>
          <w:lang w:eastAsia="en-GB"/>
        </w:rPr>
        <w:t xml:space="preserve">Progress has been slower than envisioned due to COVID, though the </w:t>
      </w:r>
      <w:r w:rsidRPr="00AC1625">
        <w:rPr>
          <w:lang w:eastAsia="en-GB"/>
        </w:rPr>
        <w:t>Antarctic RCC Network will build on the lessons learned in the process of establishment of the Arctic RCC Network t</w:t>
      </w:r>
      <w:r>
        <w:rPr>
          <w:lang w:eastAsia="en-GB"/>
        </w:rPr>
        <w:t>o</w:t>
      </w:r>
      <w:r w:rsidRPr="00AC1625">
        <w:rPr>
          <w:lang w:eastAsia="en-GB"/>
        </w:rPr>
        <w:t xml:space="preserve"> produce coherent, and harmonized climate products across the Antarctic domain through a single portal, and establishment of a platform for a dialogue with stakeholders and users. WMO will provide updates in the future and continue to engage Treaty Parties as relevant. </w:t>
      </w:r>
    </w:p>
    <w:p w14:paraId="46E936A6" w14:textId="77777777" w:rsidR="000D2B2D" w:rsidRPr="00E84A6B" w:rsidRDefault="000D2B2D" w:rsidP="000D2B2D">
      <w:pPr>
        <w:widowControl w:val="0"/>
        <w:autoSpaceDE w:val="0"/>
        <w:autoSpaceDN w:val="0"/>
        <w:adjustRightInd w:val="0"/>
        <w:rPr>
          <w:u w:val="single"/>
          <w:lang w:eastAsia="en-GB"/>
        </w:rPr>
      </w:pPr>
    </w:p>
    <w:p w14:paraId="7BE25D89" w14:textId="77777777" w:rsidR="000D2B2D" w:rsidRPr="00E84A6B" w:rsidRDefault="000D2B2D" w:rsidP="000D2B2D">
      <w:pPr>
        <w:widowControl w:val="0"/>
        <w:autoSpaceDE w:val="0"/>
        <w:autoSpaceDN w:val="0"/>
        <w:adjustRightInd w:val="0"/>
        <w:rPr>
          <w:u w:val="single"/>
          <w:lang w:eastAsia="en-GB"/>
        </w:rPr>
      </w:pPr>
    </w:p>
    <w:p w14:paraId="362B4BCD" w14:textId="77777777" w:rsidR="000D2B2D" w:rsidRPr="00E84A6B" w:rsidRDefault="000D2B2D" w:rsidP="000D2B2D">
      <w:pPr>
        <w:widowControl w:val="0"/>
        <w:autoSpaceDE w:val="0"/>
        <w:autoSpaceDN w:val="0"/>
        <w:adjustRightInd w:val="0"/>
        <w:rPr>
          <w:u w:val="single"/>
          <w:lang w:eastAsia="en-GB"/>
        </w:rPr>
      </w:pPr>
      <w:r w:rsidRPr="2CA8CAEC">
        <w:rPr>
          <w:u w:val="single"/>
          <w:lang w:eastAsia="en-GB"/>
        </w:rPr>
        <w:t>High-level Publications of Interest</w:t>
      </w:r>
    </w:p>
    <w:p w14:paraId="3607DB34" w14:textId="77777777" w:rsidR="000D2B2D" w:rsidRPr="00E84A6B" w:rsidRDefault="000D2B2D" w:rsidP="000D2B2D">
      <w:pPr>
        <w:widowControl w:val="0"/>
        <w:autoSpaceDE w:val="0"/>
        <w:autoSpaceDN w:val="0"/>
        <w:adjustRightInd w:val="0"/>
        <w:rPr>
          <w:u w:val="single"/>
          <w:lang w:eastAsia="en-GB"/>
        </w:rPr>
      </w:pPr>
    </w:p>
    <w:p w14:paraId="66712AA9" w14:textId="77777777" w:rsidR="000D2B2D" w:rsidRPr="00E84A6B" w:rsidRDefault="000D2B2D" w:rsidP="000D2B2D">
      <w:pPr>
        <w:widowControl w:val="0"/>
        <w:rPr>
          <w:u w:val="single"/>
          <w:lang w:eastAsia="en-GB"/>
        </w:rPr>
      </w:pPr>
      <w:r w:rsidRPr="00E84A6B">
        <w:rPr>
          <w:szCs w:val="22"/>
          <w:lang w:eastAsia="en-GB"/>
        </w:rPr>
        <w:t xml:space="preserve">WMO produces several Antarctic and climate related science publications. Just to highlight </w:t>
      </w:r>
      <w:r w:rsidRPr="00E84A6B">
        <w:rPr>
          <w:szCs w:val="22"/>
          <w:lang w:eastAsia="en-GB"/>
        </w:rPr>
        <w:lastRenderedPageBreak/>
        <w:t>t</w:t>
      </w:r>
      <w:r>
        <w:rPr>
          <w:szCs w:val="22"/>
          <w:lang w:eastAsia="en-GB"/>
        </w:rPr>
        <w:t>hree</w:t>
      </w:r>
      <w:r w:rsidRPr="00E84A6B">
        <w:rPr>
          <w:szCs w:val="22"/>
          <w:lang w:eastAsia="en-GB"/>
        </w:rPr>
        <w:t xml:space="preserve"> high-profile publications:</w:t>
      </w:r>
    </w:p>
    <w:p w14:paraId="1E7E8E42" w14:textId="77777777" w:rsidR="000D2B2D" w:rsidRPr="00E84A6B" w:rsidRDefault="000D2B2D" w:rsidP="000D2B2D">
      <w:pPr>
        <w:widowControl w:val="0"/>
        <w:rPr>
          <w:u w:val="single"/>
          <w:lang w:eastAsia="en-GB"/>
        </w:rPr>
      </w:pPr>
    </w:p>
    <w:p w14:paraId="78242CED" w14:textId="77777777" w:rsidR="000D2B2D" w:rsidRPr="00E84A6B" w:rsidRDefault="000D2B2D" w:rsidP="000D2B2D">
      <w:pPr>
        <w:widowControl w:val="0"/>
        <w:autoSpaceDE w:val="0"/>
        <w:autoSpaceDN w:val="0"/>
        <w:adjustRightInd w:val="0"/>
        <w:rPr>
          <w:i/>
          <w:iCs/>
          <w:color w:val="000000" w:themeColor="text1"/>
        </w:rPr>
      </w:pPr>
      <w:r w:rsidRPr="00E84A6B">
        <w:rPr>
          <w:i/>
          <w:iCs/>
          <w:lang w:eastAsia="en-GB"/>
        </w:rPr>
        <w:t xml:space="preserve">WMO </w:t>
      </w:r>
      <w:r w:rsidRPr="00E84A6B">
        <w:rPr>
          <w:i/>
          <w:iCs/>
          <w:color w:val="000000" w:themeColor="text1"/>
          <w:szCs w:val="22"/>
        </w:rPr>
        <w:t>Statement on the State of the Global Climate</w:t>
      </w:r>
    </w:p>
    <w:p w14:paraId="1EDC6DB8" w14:textId="77777777" w:rsidR="000D2B2D" w:rsidRPr="00E84A6B" w:rsidRDefault="000D2B2D" w:rsidP="000D2B2D">
      <w:pPr>
        <w:widowControl w:val="0"/>
        <w:autoSpaceDE w:val="0"/>
        <w:autoSpaceDN w:val="0"/>
        <w:adjustRightInd w:val="0"/>
        <w:rPr>
          <w:lang w:eastAsia="en-GB"/>
        </w:rPr>
      </w:pPr>
    </w:p>
    <w:p w14:paraId="0969FBCC" w14:textId="77777777" w:rsidR="000D2B2D" w:rsidRPr="00E84A6B" w:rsidRDefault="000D2B2D" w:rsidP="000D2B2D">
      <w:pPr>
        <w:widowControl w:val="0"/>
        <w:autoSpaceDE w:val="0"/>
        <w:autoSpaceDN w:val="0"/>
        <w:adjustRightInd w:val="0"/>
        <w:rPr>
          <w:lang w:eastAsia="en-GB"/>
        </w:rPr>
      </w:pPr>
      <w:r w:rsidRPr="2CA8CAEC">
        <w:rPr>
          <w:lang w:eastAsia="en-GB"/>
        </w:rPr>
        <w:t xml:space="preserve">Each year WMO produces a high-level “Statement on the State of the Global Climate” with key partners, including SCAR. These statements are presented at the Conference of Parties (COP) meetings and other fora and are available in English, Spanish, Russian, French, Chinese and Arabic. Copies of the 2021 provisional report can be downloaded from: </w:t>
      </w:r>
      <w:hyperlink r:id="rId13" w:anchor=".YkLj49lBzAM" w:history="1">
        <w:r w:rsidRPr="2CA8CAEC">
          <w:rPr>
            <w:rStyle w:val="Hipervnculo"/>
            <w:lang w:eastAsia="en-GB"/>
          </w:rPr>
          <w:t>https://library.wmo.int/index.php?lvl=notice_display&amp;id=21982#.YkLj49lBzAM</w:t>
        </w:r>
      </w:hyperlink>
    </w:p>
    <w:p w14:paraId="41ED6D51" w14:textId="77777777" w:rsidR="000D2B2D" w:rsidRDefault="000D2B2D" w:rsidP="000D2B2D">
      <w:pPr>
        <w:widowControl w:val="0"/>
        <w:rPr>
          <w:szCs w:val="22"/>
          <w:lang w:eastAsia="en-GB"/>
        </w:rPr>
      </w:pPr>
    </w:p>
    <w:p w14:paraId="4C879CB5" w14:textId="77777777" w:rsidR="000D2B2D" w:rsidRDefault="000D2B2D" w:rsidP="000D2B2D">
      <w:pPr>
        <w:widowControl w:val="0"/>
        <w:rPr>
          <w:szCs w:val="22"/>
          <w:lang w:eastAsia="en-GB"/>
        </w:rPr>
      </w:pPr>
    </w:p>
    <w:p w14:paraId="0993B542" w14:textId="77777777" w:rsidR="000D2B2D" w:rsidRDefault="000D2B2D" w:rsidP="000D2B2D">
      <w:pPr>
        <w:widowControl w:val="0"/>
        <w:rPr>
          <w:i/>
          <w:iCs/>
          <w:szCs w:val="22"/>
          <w:lang w:eastAsia="en-GB"/>
        </w:rPr>
      </w:pPr>
      <w:r w:rsidRPr="2CA8CAEC">
        <w:rPr>
          <w:i/>
          <w:iCs/>
          <w:szCs w:val="22"/>
          <w:lang w:eastAsia="en-GB"/>
        </w:rPr>
        <w:t>United in Science</w:t>
      </w:r>
    </w:p>
    <w:p w14:paraId="029D4EDE" w14:textId="77777777" w:rsidR="000D2B2D" w:rsidRDefault="000D2B2D" w:rsidP="000D2B2D">
      <w:pPr>
        <w:widowControl w:val="0"/>
        <w:rPr>
          <w:i/>
          <w:iCs/>
          <w:szCs w:val="22"/>
          <w:lang w:eastAsia="en-GB"/>
        </w:rPr>
      </w:pPr>
    </w:p>
    <w:p w14:paraId="67E73C5D" w14:textId="77777777" w:rsidR="000D2B2D" w:rsidRPr="00E5225A" w:rsidRDefault="000D2B2D" w:rsidP="000D2B2D">
      <w:pPr>
        <w:rPr>
          <w:lang w:eastAsia="en-GB"/>
        </w:rPr>
      </w:pPr>
      <w:r w:rsidRPr="2CA8CAEC">
        <w:rPr>
          <w:szCs w:val="22"/>
          <w:lang w:eastAsia="en-GB"/>
        </w:rPr>
        <w:t>The United in Science report is a</w:t>
      </w:r>
      <w:r w:rsidRPr="00E5225A">
        <w:rPr>
          <w:szCs w:val="22"/>
          <w:lang w:eastAsia="en-GB"/>
        </w:rPr>
        <w:t xml:space="preserve"> multi-organization high-level compilation </w:t>
      </w:r>
      <w:r w:rsidRPr="2CA8CAEC">
        <w:rPr>
          <w:szCs w:val="22"/>
          <w:lang w:eastAsia="en-GB"/>
        </w:rPr>
        <w:t xml:space="preserve">that </w:t>
      </w:r>
      <w:r w:rsidRPr="00E5225A">
        <w:rPr>
          <w:szCs w:val="22"/>
          <w:lang w:eastAsia="en-GB"/>
        </w:rPr>
        <w:t>presents the very latest scientific data and findings related to climate change, to inform policy and decision-makers. See:</w:t>
      </w:r>
    </w:p>
    <w:p w14:paraId="2D03B1F3" w14:textId="77777777" w:rsidR="000D2B2D" w:rsidRPr="00E80C81" w:rsidRDefault="000D2B2D" w:rsidP="000D2B2D">
      <w:pPr>
        <w:widowControl w:val="0"/>
        <w:rPr>
          <w:lang w:eastAsia="en-GB"/>
        </w:rPr>
      </w:pPr>
      <w:r w:rsidRPr="2CA8CAEC">
        <w:rPr>
          <w:szCs w:val="22"/>
          <w:lang w:eastAsia="en-GB"/>
        </w:rPr>
        <w:t>https://public.wmo.int/en/resources/united_in_science</w:t>
      </w:r>
    </w:p>
    <w:p w14:paraId="01CE92EB" w14:textId="77777777" w:rsidR="000D2B2D" w:rsidRPr="00E84A6B" w:rsidRDefault="000D2B2D" w:rsidP="000D2B2D">
      <w:pPr>
        <w:widowControl w:val="0"/>
        <w:autoSpaceDE w:val="0"/>
        <w:autoSpaceDN w:val="0"/>
        <w:adjustRightInd w:val="0"/>
        <w:rPr>
          <w:lang w:eastAsia="en-GB"/>
        </w:rPr>
      </w:pPr>
    </w:p>
    <w:p w14:paraId="6CE6FA77" w14:textId="77777777" w:rsidR="000D2B2D" w:rsidRDefault="000D2B2D" w:rsidP="000D2B2D">
      <w:pPr>
        <w:widowControl w:val="0"/>
        <w:jc w:val="center"/>
        <w:rPr>
          <w:szCs w:val="22"/>
          <w:lang w:eastAsia="en-GB"/>
        </w:rPr>
      </w:pPr>
      <w:r>
        <w:rPr>
          <w:noProof/>
        </w:rPr>
        <w:drawing>
          <wp:inline distT="0" distB="0" distL="0" distR="0" wp14:anchorId="35D2DE0F" wp14:editId="759DC1D5">
            <wp:extent cx="3872706" cy="3905250"/>
            <wp:effectExtent l="0" t="0" r="0" b="0"/>
            <wp:docPr id="1581875442" name="Picture 158187544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1875442" name="Picture 1581875442" descr="Diagrama&#10;&#10;Descripción generada automáticament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872706" cy="3905250"/>
                    </a:xfrm>
                    <a:prstGeom prst="rect">
                      <a:avLst/>
                    </a:prstGeom>
                  </pic:spPr>
                </pic:pic>
              </a:graphicData>
            </a:graphic>
          </wp:inline>
        </w:drawing>
      </w:r>
    </w:p>
    <w:p w14:paraId="742390CE" w14:textId="77777777" w:rsidR="000D2B2D" w:rsidRDefault="000D2B2D" w:rsidP="000D2B2D">
      <w:pPr>
        <w:widowControl w:val="0"/>
        <w:rPr>
          <w:szCs w:val="22"/>
          <w:lang w:eastAsia="en-GB"/>
        </w:rPr>
      </w:pPr>
    </w:p>
    <w:p w14:paraId="13771D0F" w14:textId="77777777" w:rsidR="000D2B2D" w:rsidRDefault="000D2B2D" w:rsidP="000D2B2D">
      <w:pPr>
        <w:widowControl w:val="0"/>
        <w:rPr>
          <w:szCs w:val="22"/>
          <w:lang w:eastAsia="en-GB"/>
        </w:rPr>
      </w:pPr>
    </w:p>
    <w:p w14:paraId="5BA2836B" w14:textId="77777777" w:rsidR="000D2B2D" w:rsidRPr="00E84A6B" w:rsidRDefault="000D2B2D" w:rsidP="000D2B2D">
      <w:pPr>
        <w:rPr>
          <w:i/>
          <w:iCs/>
          <w:lang w:eastAsia="en-GB"/>
        </w:rPr>
      </w:pPr>
      <w:r w:rsidRPr="00E84A6B">
        <w:rPr>
          <w:i/>
          <w:iCs/>
          <w:lang w:eastAsia="en-GB"/>
        </w:rPr>
        <w:t>10 New Insights in Climate Science</w:t>
      </w:r>
    </w:p>
    <w:p w14:paraId="049877D7" w14:textId="77777777" w:rsidR="000D2B2D" w:rsidRPr="00E84A6B" w:rsidRDefault="000D2B2D" w:rsidP="000D2B2D">
      <w:pPr>
        <w:rPr>
          <w:i/>
          <w:iCs/>
          <w:lang w:eastAsia="en-GB"/>
        </w:rPr>
      </w:pPr>
    </w:p>
    <w:p w14:paraId="683A3005" w14:textId="77777777" w:rsidR="000D2B2D" w:rsidRPr="00E84A6B" w:rsidRDefault="000D2B2D" w:rsidP="000D2B2D">
      <w:pPr>
        <w:rPr>
          <w:lang w:eastAsia="en-GB"/>
        </w:rPr>
      </w:pPr>
      <w:r w:rsidRPr="00E84A6B">
        <w:rPr>
          <w:lang w:eastAsia="en-GB"/>
        </w:rPr>
        <w:t>WCRP co-produces the “10 New Insights in Climate Science” with Future Earth and the Earth League. The 2021 edition was launched at COP26 by Patricia Espinosa. The online version can be seen at: https://10insightsclimate.science/.</w:t>
      </w:r>
    </w:p>
    <w:p w14:paraId="1B512382" w14:textId="77777777" w:rsidR="000D2B2D" w:rsidRPr="00E84A6B" w:rsidRDefault="000D2B2D" w:rsidP="000D2B2D">
      <w:pPr>
        <w:widowControl w:val="0"/>
        <w:autoSpaceDE w:val="0"/>
        <w:autoSpaceDN w:val="0"/>
        <w:adjustRightInd w:val="0"/>
        <w:rPr>
          <w:lang w:eastAsia="en-GB"/>
        </w:rPr>
      </w:pPr>
    </w:p>
    <w:p w14:paraId="12CBF717" w14:textId="77777777" w:rsidR="000D2B2D" w:rsidRPr="00E84A6B" w:rsidRDefault="000D2B2D" w:rsidP="000D2B2D">
      <w:r w:rsidRPr="00E84A6B">
        <w:rPr>
          <w:lang w:eastAsia="en-GB"/>
        </w:rPr>
        <w:t xml:space="preserve">WMO continues to look forward </w:t>
      </w:r>
      <w:r w:rsidRPr="00E84A6B">
        <w:t xml:space="preserve">to a positive, mutually beneficial engagement with Treaty Parties in Antarctic weather and climate observations, </w:t>
      </w:r>
      <w:proofErr w:type="gramStart"/>
      <w:r w:rsidRPr="00E84A6B">
        <w:t>services</w:t>
      </w:r>
      <w:proofErr w:type="gramEnd"/>
      <w:r w:rsidRPr="00E84A6B">
        <w:t xml:space="preserve"> and research. For further queries please contact Mike Sparrow (</w:t>
      </w:r>
      <w:hyperlink r:id="rId15" w:history="1">
        <w:r w:rsidRPr="00E84A6B">
          <w:rPr>
            <w:rStyle w:val="Hipervnculo"/>
          </w:rPr>
          <w:t>msparrow@wmo.int</w:t>
        </w:r>
      </w:hyperlink>
      <w:r w:rsidRPr="00E84A6B">
        <w:t>) in the first instance.</w:t>
      </w:r>
    </w:p>
    <w:p w14:paraId="5B1052BD" w14:textId="77777777" w:rsidR="000D2B2D" w:rsidRDefault="000D2B2D" w:rsidP="00952E9F"/>
    <w:sectPr w:rsidR="000D2B2D" w:rsidSect="00283F0F">
      <w:headerReference w:type="default" r:id="rId16"/>
      <w:footerReference w:type="default" r:id="rId17"/>
      <w:type w:val="oddPage"/>
      <w:pgSz w:w="11907" w:h="16840" w:code="9"/>
      <w:pgMar w:top="1134" w:right="170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36BFC7" w14:textId="77777777" w:rsidR="00000000" w:rsidRDefault="000D2B2D">
      <w:r>
        <w:separator/>
      </w:r>
    </w:p>
  </w:endnote>
  <w:endnote w:type="continuationSeparator" w:id="0">
    <w:p w14:paraId="5C0BD738" w14:textId="77777777" w:rsidR="00000000" w:rsidRDefault="000D2B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9ADED2" w14:textId="77777777" w:rsidR="00FA0B9F" w:rsidRDefault="000D2B2D" w:rsidP="00CF5C82">
    <w:pPr>
      <w:framePr w:wrap="around" w:vAnchor="text" w:hAnchor="margin" w:xAlign="right" w:y="1"/>
    </w:pPr>
    <w:r>
      <w:fldChar w:fldCharType="begin"/>
    </w:r>
    <w:r>
      <w:instrText xml:space="preserve">PAGE  </w:instrText>
    </w:r>
    <w:r>
      <w:fldChar w:fldCharType="separate"/>
    </w:r>
    <w:r>
      <w:fldChar w:fldCharType="end"/>
    </w:r>
  </w:p>
  <w:p w14:paraId="6B630191" w14:textId="77777777" w:rsidR="00FA0B9F" w:rsidRDefault="000D2B2D" w:rsidP="00FA0B9F">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00DA02" w14:textId="77777777" w:rsidR="00FA0B9F" w:rsidRDefault="000D2B2D" w:rsidP="00CF5C82">
    <w:pPr>
      <w:framePr w:wrap="around" w:vAnchor="text" w:hAnchor="margin" w:xAlign="right" w:y="1"/>
    </w:pPr>
    <w:r>
      <w:fldChar w:fldCharType="begin"/>
    </w:r>
    <w:r>
      <w:instrText xml:space="preserve">PAGE  </w:instrText>
    </w:r>
    <w:r>
      <w:fldChar w:fldCharType="separate"/>
    </w:r>
    <w:r>
      <w:rPr>
        <w:noProof/>
      </w:rPr>
      <w:t>1</w:t>
    </w:r>
    <w:r>
      <w:fldChar w:fldCharType="end"/>
    </w:r>
  </w:p>
  <w:p w14:paraId="6FB855CA" w14:textId="4FA10CED" w:rsidR="00FA0B9F" w:rsidRDefault="000D2B2D" w:rsidP="00FA0B9F">
    <w:pP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C34CB" w14:textId="77777777" w:rsidR="00E311C9" w:rsidRDefault="000D2B2D" w:rsidP="00CF5C82">
    <w:pPr>
      <w:framePr w:wrap="around" w:vAnchor="text" w:hAnchor="margin" w:xAlign="right" w:y="1"/>
    </w:pPr>
    <w:r>
      <w:fldChar w:fldCharType="begin"/>
    </w:r>
    <w:r>
      <w:instrText xml:space="preserve">PAGE  </w:instrText>
    </w:r>
    <w:r>
      <w:fldChar w:fldCharType="separate"/>
    </w:r>
    <w:r>
      <w:rPr>
        <w:noProof/>
      </w:rPr>
      <w:t>3</w:t>
    </w:r>
    <w:r>
      <w:fldChar w:fldCharType="end"/>
    </w:r>
  </w:p>
  <w:p w14:paraId="67522D08" w14:textId="77777777" w:rsidR="00E311C9" w:rsidRDefault="000D2B2D" w:rsidP="00E311C9">
    <w:pP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54C14E" w14:textId="77777777" w:rsidR="00000000" w:rsidRDefault="000D2B2D">
      <w:r>
        <w:separator/>
      </w:r>
    </w:p>
  </w:footnote>
  <w:footnote w:type="continuationSeparator" w:id="0">
    <w:p w14:paraId="3C14FFEF" w14:textId="77777777" w:rsidR="00000000" w:rsidRDefault="000D2B2D">
      <w:r>
        <w:continuationSeparator/>
      </w:r>
    </w:p>
  </w:footnote>
  <w:footnote w:id="1">
    <w:p w14:paraId="40220728" w14:textId="77777777" w:rsidR="000D2B2D" w:rsidRDefault="000D2B2D" w:rsidP="000D2B2D">
      <w:pPr>
        <w:pStyle w:val="Textonotapie"/>
      </w:pPr>
      <w:r>
        <w:rPr>
          <w:rStyle w:val="Refdenotaalpie"/>
        </w:rPr>
        <w:footnoteRef/>
      </w:r>
      <w:r>
        <w:t xml:space="preserve"> </w:t>
      </w:r>
      <w:r w:rsidRPr="2E4AE7D1">
        <w:rPr>
          <w:sz w:val="16"/>
          <w:szCs w:val="16"/>
        </w:rPr>
        <w:t>www.wmo.int</w:t>
      </w:r>
    </w:p>
  </w:footnote>
  <w:footnote w:id="2">
    <w:p w14:paraId="74797041" w14:textId="77777777" w:rsidR="000D2B2D" w:rsidRDefault="000D2B2D" w:rsidP="000D2B2D">
      <w:pPr>
        <w:pStyle w:val="Textonotapie"/>
      </w:pPr>
      <w:r w:rsidRPr="2CA8CAEC">
        <w:rPr>
          <w:rStyle w:val="Refdenotaalpie"/>
        </w:rPr>
        <w:footnoteRef/>
      </w:r>
      <w:r w:rsidRPr="2CA8CAEC">
        <w:t xml:space="preserve"> Co-sponsored by the International Science Council (ISC) and the Intergovernmental Oceanographic Commission (IOC) of UNESCO</w:t>
      </w:r>
    </w:p>
  </w:footnote>
  <w:footnote w:id="3">
    <w:p w14:paraId="71D46EF0" w14:textId="77777777" w:rsidR="000D2B2D" w:rsidRDefault="000D2B2D" w:rsidP="000D2B2D">
      <w:pPr>
        <w:pStyle w:val="Textonotapie"/>
      </w:pPr>
      <w:r>
        <w:rPr>
          <w:rStyle w:val="Refdenotaalpie"/>
        </w:rPr>
        <w:footnoteRef/>
      </w:r>
      <w:r>
        <w:t xml:space="preserve"> </w:t>
      </w:r>
      <w:r w:rsidRPr="00AC1625">
        <w:rPr>
          <w:sz w:val="16"/>
          <w:szCs w:val="16"/>
        </w:rPr>
        <w:t>https://climate-cryosphere.org/2021-clic-fellowships-grants-open-call/</w:t>
      </w:r>
    </w:p>
  </w:footnote>
  <w:footnote w:id="4">
    <w:p w14:paraId="7DB0DACE" w14:textId="77777777" w:rsidR="000D2B2D" w:rsidRDefault="000D2B2D" w:rsidP="000D2B2D">
      <w:pPr>
        <w:pStyle w:val="Textonotapie"/>
      </w:pPr>
      <w:r>
        <w:rPr>
          <w:rStyle w:val="Refdenotaalpie"/>
        </w:rPr>
        <w:footnoteRef/>
      </w:r>
      <w:r>
        <w:t xml:space="preserve"> </w:t>
      </w:r>
      <w:r w:rsidRPr="0020783A">
        <w:rPr>
          <w:sz w:val="16"/>
          <w:szCs w:val="16"/>
        </w:rPr>
        <w:t>https://cordex.org/domains/region-10-antarctica/</w:t>
      </w:r>
    </w:p>
  </w:footnote>
  <w:footnote w:id="5">
    <w:p w14:paraId="04C70727" w14:textId="77777777" w:rsidR="000D2B2D" w:rsidRDefault="000D2B2D" w:rsidP="000D2B2D">
      <w:pPr>
        <w:pStyle w:val="Textonotapie"/>
      </w:pPr>
      <w:r>
        <w:rPr>
          <w:rStyle w:val="Refdenotaalpie"/>
        </w:rPr>
        <w:footnoteRef/>
      </w:r>
      <w:r w:rsidRPr="2CA8CAEC">
        <w:rPr>
          <w:rStyle w:val="Refdenotaalpie"/>
        </w:rPr>
        <w:t>.</w:t>
      </w:r>
      <w:r w:rsidRPr="00B1218B">
        <w:rPr>
          <w:sz w:val="16"/>
          <w:szCs w:val="16"/>
        </w:rPr>
        <w:t xml:space="preserve"> </w:t>
      </w:r>
      <w:r w:rsidRPr="2CA8CAEC">
        <w:rPr>
          <w:sz w:val="16"/>
          <w:szCs w:val="16"/>
        </w:rPr>
        <w:t>https://www.wcrp-climate.org/wgcm-cmip</w:t>
      </w:r>
    </w:p>
  </w:footnote>
  <w:footnote w:id="6">
    <w:p w14:paraId="626A0F73" w14:textId="77777777" w:rsidR="000D2B2D" w:rsidRDefault="000D2B2D" w:rsidP="000D2B2D">
      <w:pPr>
        <w:pStyle w:val="Textonotapie"/>
      </w:pPr>
      <w:r>
        <w:rPr>
          <w:rStyle w:val="Refdenotaalpie"/>
        </w:rPr>
        <w:footnoteRef/>
      </w:r>
      <w:r>
        <w:t xml:space="preserve"> </w:t>
      </w:r>
      <w:r w:rsidRPr="00A61900">
        <w:rPr>
          <w:sz w:val="16"/>
          <w:szCs w:val="16"/>
        </w:rPr>
        <w:t xml:space="preserve">What is the surface mass balance of Antarctica? An intercomparison of regional climate model estimates, The Cryosphere, </w:t>
      </w:r>
      <w:hyperlink r:id="rId1" w:history="1">
        <w:r w:rsidRPr="00A61900">
          <w:rPr>
            <w:sz w:val="16"/>
            <w:szCs w:val="16"/>
          </w:rPr>
          <w:t>https://doi.org/10.5194/tc-15-3751-2021.</w:t>
        </w:r>
      </w:hyperlink>
    </w:p>
  </w:footnote>
  <w:footnote w:id="7">
    <w:p w14:paraId="19DF9608" w14:textId="77777777" w:rsidR="000D2B2D" w:rsidRPr="00A61900" w:rsidRDefault="000D2B2D" w:rsidP="000D2B2D">
      <w:pPr>
        <w:rPr>
          <w:sz w:val="24"/>
          <w:lang w:eastAsia="en-GB"/>
        </w:rPr>
      </w:pPr>
      <w:r>
        <w:rPr>
          <w:rStyle w:val="Refdenotaalpie"/>
        </w:rPr>
        <w:footnoteRef/>
      </w:r>
      <w:r>
        <w:t xml:space="preserve"> </w:t>
      </w:r>
      <w:hyperlink r:id="rId2" w:tgtFrame="_blank" w:history="1">
        <w:r w:rsidRPr="00A61900">
          <w:rPr>
            <w:sz w:val="16"/>
            <w:szCs w:val="16"/>
          </w:rPr>
          <w:t>https://www.climate-cryosphere.org/wiki/index.php?title=ISMIP6_wiki_page</w:t>
        </w:r>
      </w:hyperlink>
      <w:r w:rsidRPr="00A61900">
        <w:rPr>
          <w:sz w:val="16"/>
          <w:szCs w:val="16"/>
        </w:rPr>
        <w:t xml:space="preserve"> or at </w:t>
      </w:r>
      <w:hyperlink r:id="rId3" w:tgtFrame="_blank" w:history="1">
        <w:r w:rsidRPr="00A61900">
          <w:rPr>
            <w:sz w:val="16"/>
            <w:szCs w:val="16"/>
          </w:rPr>
          <w:t>ismip6@gmail.com</w:t>
        </w:r>
      </w:hyperlink>
    </w:p>
  </w:footnote>
  <w:footnote w:id="8">
    <w:p w14:paraId="318B6FEC" w14:textId="77777777" w:rsidR="000D2B2D" w:rsidRPr="00A61900" w:rsidRDefault="000D2B2D" w:rsidP="000D2B2D">
      <w:pPr>
        <w:pStyle w:val="Textonotapie"/>
        <w:rPr>
          <w:lang/>
        </w:rPr>
      </w:pPr>
      <w:r>
        <w:rPr>
          <w:rStyle w:val="Refdenotaalpie"/>
        </w:rPr>
        <w:footnoteRef/>
      </w:r>
      <w:r w:rsidRPr="00A61900">
        <w:rPr>
          <w:lang/>
        </w:rPr>
        <w:t xml:space="preserve"> </w:t>
      </w:r>
      <w:r w:rsidRPr="00A61900">
        <w:rPr>
          <w:sz w:val="16"/>
          <w:szCs w:val="16"/>
          <w:lang/>
        </w:rPr>
        <w:t>https://www.wcrp-climate.org/lha-overview</w:t>
      </w:r>
    </w:p>
  </w:footnote>
  <w:footnote w:id="9">
    <w:p w14:paraId="4D51815B" w14:textId="77777777" w:rsidR="000D2B2D" w:rsidRPr="00E80C81" w:rsidRDefault="000D2B2D" w:rsidP="000D2B2D">
      <w:pPr>
        <w:pStyle w:val="Textonotapie"/>
        <w:rPr>
          <w:lang/>
        </w:rPr>
      </w:pPr>
      <w:r>
        <w:rPr>
          <w:rStyle w:val="Refdenotaalpie"/>
        </w:rPr>
        <w:footnoteRef/>
      </w:r>
      <w:r w:rsidRPr="00E80C81">
        <w:rPr>
          <w:lang/>
        </w:rPr>
        <w:t xml:space="preserve"> </w:t>
      </w:r>
      <w:r w:rsidRPr="00E80C81">
        <w:rPr>
          <w:sz w:val="16"/>
          <w:szCs w:val="16"/>
          <w:lang/>
        </w:rPr>
        <w:t>https://www.wcrp-climate.org/academy</w:t>
      </w:r>
    </w:p>
  </w:footnote>
  <w:footnote w:id="10">
    <w:p w14:paraId="4ADC6AFB" w14:textId="77777777" w:rsidR="000D2B2D" w:rsidRDefault="000D2B2D" w:rsidP="000D2B2D">
      <w:pPr>
        <w:pStyle w:val="Textonotapie"/>
      </w:pPr>
      <w:r>
        <w:rPr>
          <w:rStyle w:val="Refdenotaalpie"/>
        </w:rPr>
        <w:footnoteRef/>
      </w:r>
      <w:r>
        <w:t xml:space="preserve"> </w:t>
      </w:r>
      <w:r w:rsidRPr="00A61900">
        <w:rPr>
          <w:sz w:val="16"/>
          <w:szCs w:val="16"/>
          <w:lang/>
        </w:rPr>
        <w:t>https://globalcryospherewatch.org/</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272" w:type="dxa"/>
      <w:jc w:val="center"/>
      <w:tblLook w:val="01E0" w:firstRow="1" w:lastRow="1" w:firstColumn="1" w:lastColumn="1" w:noHBand="0" w:noVBand="0"/>
    </w:tblPr>
    <w:tblGrid>
      <w:gridCol w:w="5495"/>
      <w:gridCol w:w="3544"/>
      <w:gridCol w:w="709"/>
      <w:gridCol w:w="1134"/>
      <w:gridCol w:w="390"/>
    </w:tblGrid>
    <w:tr w:rsidR="005F0402" w14:paraId="72785D0F" w14:textId="77777777" w:rsidTr="00490760">
      <w:trPr>
        <w:trHeight w:val="344"/>
        <w:jc w:val="center"/>
      </w:trPr>
      <w:tc>
        <w:tcPr>
          <w:tcW w:w="5495" w:type="dxa"/>
        </w:tcPr>
        <w:p w14:paraId="06E91C06" w14:textId="77777777" w:rsidR="00DB7C09" w:rsidRDefault="000D2B2D" w:rsidP="00F968D4"/>
      </w:tc>
      <w:tc>
        <w:tcPr>
          <w:tcW w:w="4253" w:type="dxa"/>
          <w:gridSpan w:val="2"/>
        </w:tcPr>
        <w:p w14:paraId="37E4C369" w14:textId="77777777" w:rsidR="00DB7C09" w:rsidRPr="00BD47E4" w:rsidRDefault="000D2B2D" w:rsidP="002A07BC">
          <w:pPr>
            <w:jc w:val="right"/>
            <w:rPr>
              <w:b/>
              <w:sz w:val="32"/>
              <w:szCs w:val="32"/>
            </w:rPr>
          </w:pPr>
          <w:bookmarkStart w:id="2" w:name="type"/>
          <w:r w:rsidRPr="00BD47E4">
            <w:rPr>
              <w:b/>
              <w:sz w:val="32"/>
              <w:szCs w:val="32"/>
            </w:rPr>
            <w:t>IP</w:t>
          </w:r>
          <w:bookmarkEnd w:id="2"/>
        </w:p>
      </w:tc>
      <w:tc>
        <w:tcPr>
          <w:tcW w:w="1524" w:type="dxa"/>
          <w:gridSpan w:val="2"/>
        </w:tcPr>
        <w:p w14:paraId="5E295395" w14:textId="77777777" w:rsidR="00DB7C09" w:rsidRPr="00BD47E4" w:rsidRDefault="000D2B2D" w:rsidP="00DB7C09">
          <w:pPr>
            <w:rPr>
              <w:b/>
              <w:sz w:val="32"/>
              <w:szCs w:val="32"/>
            </w:rPr>
          </w:pPr>
          <w:bookmarkStart w:id="3" w:name="number"/>
          <w:r w:rsidRPr="00BD47E4">
            <w:rPr>
              <w:b/>
              <w:sz w:val="32"/>
              <w:szCs w:val="32"/>
            </w:rPr>
            <w:t>21 rev. 1</w:t>
          </w:r>
          <w:bookmarkEnd w:id="3"/>
        </w:p>
      </w:tc>
    </w:tr>
    <w:tr w:rsidR="005F0402" w14:paraId="21883A16" w14:textId="77777777" w:rsidTr="00490760">
      <w:trPr>
        <w:trHeight w:val="2165"/>
        <w:jc w:val="center"/>
      </w:trPr>
      <w:tc>
        <w:tcPr>
          <w:tcW w:w="5495" w:type="dxa"/>
        </w:tcPr>
        <w:p w14:paraId="0E96F1CD" w14:textId="77777777" w:rsidR="00490760" w:rsidRPr="00EE4D48" w:rsidRDefault="000D2B2D" w:rsidP="002A07BC">
          <w:pPr>
            <w:rPr>
              <w:b/>
              <w:sz w:val="28"/>
              <w:szCs w:val="28"/>
            </w:rPr>
          </w:pPr>
          <w:r>
            <w:rPr>
              <w:noProof/>
            </w:rPr>
            <w:drawing>
              <wp:inline distT="0" distB="0" distL="0" distR="0" wp14:anchorId="719DA4DB" wp14:editId="47CA4F22">
                <wp:extent cx="2519680" cy="1439545"/>
                <wp:effectExtent l="0" t="0" r="0" b="8255"/>
                <wp:docPr id="1" name="Imagen 1"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5963797" name="Imagen 1" descr="Imagen que contiene Diagrama&#10;&#10;Descripción generada automáticamente"/>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2519680" cy="1439545"/>
                        </a:xfrm>
                        <a:prstGeom prst="rect">
                          <a:avLst/>
                        </a:prstGeom>
                      </pic:spPr>
                    </pic:pic>
                  </a:graphicData>
                </a:graphic>
              </wp:inline>
            </w:drawing>
          </w:r>
        </w:p>
      </w:tc>
      <w:tc>
        <w:tcPr>
          <w:tcW w:w="5777" w:type="dxa"/>
          <w:gridSpan w:val="4"/>
          <w:vAlign w:val="center"/>
        </w:tcPr>
        <w:p w14:paraId="4FC707EF" w14:textId="77777777" w:rsidR="00490760" w:rsidRPr="00FE5146" w:rsidRDefault="000D2B2D" w:rsidP="00490760">
          <w:pPr>
            <w:jc w:val="right"/>
            <w:rPr>
              <w:sz w:val="144"/>
              <w:szCs w:val="144"/>
            </w:rPr>
          </w:pPr>
          <w:r w:rsidRPr="00FE5146">
            <w:rPr>
              <w:sz w:val="144"/>
              <w:szCs w:val="144"/>
            </w:rPr>
            <w:t>ENG</w:t>
          </w:r>
        </w:p>
      </w:tc>
    </w:tr>
    <w:tr w:rsidR="005F0402" w14:paraId="4F713E43" w14:textId="77777777" w:rsidTr="00BD47E4">
      <w:trPr>
        <w:trHeight w:val="409"/>
        <w:jc w:val="center"/>
      </w:trPr>
      <w:tc>
        <w:tcPr>
          <w:tcW w:w="9039" w:type="dxa"/>
          <w:gridSpan w:val="2"/>
        </w:tcPr>
        <w:p w14:paraId="022924CE" w14:textId="77777777" w:rsidR="00BD47E4" w:rsidRDefault="000D2B2D" w:rsidP="002C30DA">
          <w:pPr>
            <w:jc w:val="right"/>
          </w:pPr>
          <w:r>
            <w:t>Agenda Item:</w:t>
          </w:r>
        </w:p>
      </w:tc>
      <w:tc>
        <w:tcPr>
          <w:tcW w:w="1843" w:type="dxa"/>
          <w:gridSpan w:val="2"/>
        </w:tcPr>
        <w:p w14:paraId="7F7598E5" w14:textId="77777777" w:rsidR="00BD47E4" w:rsidRDefault="000D2B2D" w:rsidP="002C30DA">
          <w:pPr>
            <w:jc w:val="right"/>
          </w:pPr>
          <w:bookmarkStart w:id="4" w:name="agenda"/>
          <w:r>
            <w:t>ATCM 4, CEP 5</w:t>
          </w:r>
          <w:bookmarkEnd w:id="4"/>
        </w:p>
      </w:tc>
      <w:tc>
        <w:tcPr>
          <w:tcW w:w="390" w:type="dxa"/>
        </w:tcPr>
        <w:p w14:paraId="5D7793E2" w14:textId="77777777" w:rsidR="00BD47E4" w:rsidRDefault="000D2B2D" w:rsidP="00387A65">
          <w:pPr>
            <w:jc w:val="right"/>
          </w:pPr>
        </w:p>
      </w:tc>
    </w:tr>
    <w:tr w:rsidR="005F0402" w14:paraId="406130B1" w14:textId="77777777" w:rsidTr="00BD47E4">
      <w:trPr>
        <w:trHeight w:val="397"/>
        <w:jc w:val="center"/>
      </w:trPr>
      <w:tc>
        <w:tcPr>
          <w:tcW w:w="9039" w:type="dxa"/>
          <w:gridSpan w:val="2"/>
        </w:tcPr>
        <w:p w14:paraId="466E5F2A" w14:textId="77777777" w:rsidR="00BD47E4" w:rsidRDefault="000D2B2D" w:rsidP="002C30DA">
          <w:pPr>
            <w:jc w:val="right"/>
          </w:pPr>
          <w:r>
            <w:t>Presented by:</w:t>
          </w:r>
        </w:p>
      </w:tc>
      <w:tc>
        <w:tcPr>
          <w:tcW w:w="1843" w:type="dxa"/>
          <w:gridSpan w:val="2"/>
        </w:tcPr>
        <w:p w14:paraId="1345AB66" w14:textId="77777777" w:rsidR="00BD47E4" w:rsidRDefault="000D2B2D" w:rsidP="002C30DA">
          <w:pPr>
            <w:jc w:val="right"/>
          </w:pPr>
          <w:bookmarkStart w:id="5" w:name="party"/>
          <w:r>
            <w:t>WMO</w:t>
          </w:r>
          <w:bookmarkEnd w:id="5"/>
        </w:p>
      </w:tc>
      <w:tc>
        <w:tcPr>
          <w:tcW w:w="390" w:type="dxa"/>
        </w:tcPr>
        <w:p w14:paraId="72CD1310" w14:textId="77777777" w:rsidR="00BD47E4" w:rsidRDefault="000D2B2D" w:rsidP="00387A65">
          <w:pPr>
            <w:jc w:val="right"/>
          </w:pPr>
        </w:p>
      </w:tc>
    </w:tr>
    <w:tr w:rsidR="005F0402" w14:paraId="120F19C4" w14:textId="77777777" w:rsidTr="00BD47E4">
      <w:trPr>
        <w:trHeight w:val="409"/>
        <w:jc w:val="center"/>
      </w:trPr>
      <w:tc>
        <w:tcPr>
          <w:tcW w:w="9039" w:type="dxa"/>
          <w:gridSpan w:val="2"/>
        </w:tcPr>
        <w:p w14:paraId="6B95D515" w14:textId="77777777" w:rsidR="00BD47E4" w:rsidRDefault="000D2B2D" w:rsidP="002C30DA">
          <w:pPr>
            <w:jc w:val="right"/>
          </w:pPr>
          <w:r>
            <w:t>Original:</w:t>
          </w:r>
        </w:p>
      </w:tc>
      <w:tc>
        <w:tcPr>
          <w:tcW w:w="1843" w:type="dxa"/>
          <w:gridSpan w:val="2"/>
        </w:tcPr>
        <w:p w14:paraId="6E1C7E36" w14:textId="77777777" w:rsidR="00BD47E4" w:rsidRDefault="000D2B2D" w:rsidP="002C30DA">
          <w:pPr>
            <w:jc w:val="right"/>
          </w:pPr>
          <w:bookmarkStart w:id="6" w:name="language"/>
          <w:r>
            <w:t>English</w:t>
          </w:r>
          <w:bookmarkEnd w:id="6"/>
        </w:p>
      </w:tc>
      <w:tc>
        <w:tcPr>
          <w:tcW w:w="390" w:type="dxa"/>
        </w:tcPr>
        <w:p w14:paraId="5622D9EC" w14:textId="77777777" w:rsidR="00BD47E4" w:rsidRDefault="000D2B2D" w:rsidP="00387A65">
          <w:pPr>
            <w:jc w:val="right"/>
          </w:pPr>
        </w:p>
      </w:tc>
    </w:tr>
    <w:tr w:rsidR="005F0402" w14:paraId="1F20C8A8" w14:textId="77777777" w:rsidTr="00BD47E4">
      <w:trPr>
        <w:trHeight w:val="409"/>
        <w:jc w:val="center"/>
      </w:trPr>
      <w:tc>
        <w:tcPr>
          <w:tcW w:w="9039" w:type="dxa"/>
          <w:gridSpan w:val="2"/>
        </w:tcPr>
        <w:p w14:paraId="685C1E50" w14:textId="77777777" w:rsidR="0097629D" w:rsidRDefault="000D2B2D" w:rsidP="002C30DA">
          <w:pPr>
            <w:jc w:val="right"/>
          </w:pPr>
          <w:r>
            <w:t>Submitted:</w:t>
          </w:r>
        </w:p>
      </w:tc>
      <w:tc>
        <w:tcPr>
          <w:tcW w:w="1843" w:type="dxa"/>
          <w:gridSpan w:val="2"/>
        </w:tcPr>
        <w:p w14:paraId="3103C00D" w14:textId="77777777" w:rsidR="0097629D" w:rsidRDefault="000D2B2D" w:rsidP="0097629D">
          <w:pPr>
            <w:jc w:val="right"/>
          </w:pPr>
          <w:bookmarkStart w:id="7" w:name="date_submission"/>
          <w:r>
            <w:t>26/4/2022</w:t>
          </w:r>
          <w:bookmarkEnd w:id="7"/>
        </w:p>
      </w:tc>
      <w:tc>
        <w:tcPr>
          <w:tcW w:w="390" w:type="dxa"/>
        </w:tcPr>
        <w:p w14:paraId="77EB7628" w14:textId="77777777" w:rsidR="0097629D" w:rsidRDefault="000D2B2D" w:rsidP="00387A65">
          <w:pPr>
            <w:jc w:val="right"/>
          </w:pPr>
        </w:p>
      </w:tc>
    </w:tr>
  </w:tbl>
  <w:p w14:paraId="47BE8CB4" w14:textId="77777777" w:rsidR="00AE5DD0" w:rsidRDefault="000D2B2D"/>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026" w:type="dxa"/>
      <w:jc w:val="center"/>
      <w:tblLook w:val="01E0" w:firstRow="1" w:lastRow="1" w:firstColumn="1" w:lastColumn="1" w:noHBand="0" w:noVBand="0"/>
    </w:tblPr>
    <w:tblGrid>
      <w:gridCol w:w="9694"/>
      <w:gridCol w:w="1332"/>
    </w:tblGrid>
    <w:tr w:rsidR="005F0402" w14:paraId="6D1E3D50" w14:textId="77777777">
      <w:trPr>
        <w:trHeight w:val="354"/>
        <w:jc w:val="center"/>
      </w:trPr>
      <w:tc>
        <w:tcPr>
          <w:tcW w:w="9694" w:type="dxa"/>
        </w:tcPr>
        <w:p w14:paraId="1FF6D5D8" w14:textId="1A7520CA" w:rsidR="00AE5DD0" w:rsidRPr="00BD47E4" w:rsidRDefault="000D2B2D" w:rsidP="00C26F2D">
          <w:pPr>
            <w:jc w:val="right"/>
            <w:rPr>
              <w:b/>
              <w:sz w:val="32"/>
              <w:szCs w:val="32"/>
            </w:rPr>
          </w:pPr>
          <w:r>
            <w:rPr>
              <w:b/>
              <w:sz w:val="32"/>
              <w:szCs w:val="32"/>
            </w:rPr>
            <w:t>IP</w:t>
          </w:r>
        </w:p>
      </w:tc>
      <w:tc>
        <w:tcPr>
          <w:tcW w:w="1332" w:type="dxa"/>
        </w:tcPr>
        <w:p w14:paraId="5B7686CD" w14:textId="07B15B9A" w:rsidR="00AE5DD0" w:rsidRPr="00BD47E4" w:rsidRDefault="000D2B2D" w:rsidP="00080F4C">
          <w:pPr>
            <w:rPr>
              <w:b/>
              <w:sz w:val="32"/>
              <w:szCs w:val="32"/>
            </w:rPr>
          </w:pPr>
          <w:r>
            <w:rPr>
              <w:b/>
              <w:sz w:val="32"/>
              <w:szCs w:val="32"/>
            </w:rPr>
            <w:t>21 rev.1</w:t>
          </w:r>
        </w:p>
      </w:tc>
    </w:tr>
  </w:tbl>
  <w:p w14:paraId="3C2313E8" w14:textId="77777777" w:rsidR="00AE5DD0" w:rsidRDefault="000D2B2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044987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E0EC73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EB63ED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9D2F98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114CC6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E141F9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0DA27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982BAE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A6C13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DCC038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F94657"/>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286577EA"/>
    <w:multiLevelType w:val="hybridMultilevel"/>
    <w:tmpl w:val="21A63D98"/>
    <w:lvl w:ilvl="0" w:tplc="C7D23DD8">
      <w:start w:val="1"/>
      <w:numFmt w:val="bullet"/>
      <w:pStyle w:val="ATSBullet1"/>
      <w:lvlText w:val=""/>
      <w:lvlJc w:val="left"/>
      <w:pPr>
        <w:tabs>
          <w:tab w:val="num" w:pos="360"/>
        </w:tabs>
        <w:ind w:left="360" w:hanging="360"/>
      </w:pPr>
      <w:rPr>
        <w:rFonts w:ascii="Symbol" w:hAnsi="Symbol" w:hint="default"/>
        <w:color w:val="auto"/>
      </w:rPr>
    </w:lvl>
    <w:lvl w:ilvl="1" w:tplc="F3DE45BA" w:tentative="1">
      <w:start w:val="1"/>
      <w:numFmt w:val="bullet"/>
      <w:lvlText w:val="o"/>
      <w:lvlJc w:val="left"/>
      <w:pPr>
        <w:tabs>
          <w:tab w:val="num" w:pos="1440"/>
        </w:tabs>
        <w:ind w:left="1440" w:hanging="360"/>
      </w:pPr>
      <w:rPr>
        <w:rFonts w:ascii="Courier New" w:hAnsi="Courier New" w:cs="Courier New" w:hint="default"/>
      </w:rPr>
    </w:lvl>
    <w:lvl w:ilvl="2" w:tplc="7B2CB494" w:tentative="1">
      <w:start w:val="1"/>
      <w:numFmt w:val="bullet"/>
      <w:lvlText w:val=""/>
      <w:lvlJc w:val="left"/>
      <w:pPr>
        <w:tabs>
          <w:tab w:val="num" w:pos="2160"/>
        </w:tabs>
        <w:ind w:left="2160" w:hanging="360"/>
      </w:pPr>
      <w:rPr>
        <w:rFonts w:ascii="Wingdings" w:hAnsi="Wingdings" w:hint="default"/>
      </w:rPr>
    </w:lvl>
    <w:lvl w:ilvl="3" w:tplc="0156BF3E" w:tentative="1">
      <w:start w:val="1"/>
      <w:numFmt w:val="bullet"/>
      <w:lvlText w:val=""/>
      <w:lvlJc w:val="left"/>
      <w:pPr>
        <w:tabs>
          <w:tab w:val="num" w:pos="2880"/>
        </w:tabs>
        <w:ind w:left="2880" w:hanging="360"/>
      </w:pPr>
      <w:rPr>
        <w:rFonts w:ascii="Symbol" w:hAnsi="Symbol" w:hint="default"/>
      </w:rPr>
    </w:lvl>
    <w:lvl w:ilvl="4" w:tplc="344816FA" w:tentative="1">
      <w:start w:val="1"/>
      <w:numFmt w:val="bullet"/>
      <w:lvlText w:val="o"/>
      <w:lvlJc w:val="left"/>
      <w:pPr>
        <w:tabs>
          <w:tab w:val="num" w:pos="3600"/>
        </w:tabs>
        <w:ind w:left="3600" w:hanging="360"/>
      </w:pPr>
      <w:rPr>
        <w:rFonts w:ascii="Courier New" w:hAnsi="Courier New" w:cs="Courier New" w:hint="default"/>
      </w:rPr>
    </w:lvl>
    <w:lvl w:ilvl="5" w:tplc="D842ECB4" w:tentative="1">
      <w:start w:val="1"/>
      <w:numFmt w:val="bullet"/>
      <w:lvlText w:val=""/>
      <w:lvlJc w:val="left"/>
      <w:pPr>
        <w:tabs>
          <w:tab w:val="num" w:pos="4320"/>
        </w:tabs>
        <w:ind w:left="4320" w:hanging="360"/>
      </w:pPr>
      <w:rPr>
        <w:rFonts w:ascii="Wingdings" w:hAnsi="Wingdings" w:hint="default"/>
      </w:rPr>
    </w:lvl>
    <w:lvl w:ilvl="6" w:tplc="3814CE28" w:tentative="1">
      <w:start w:val="1"/>
      <w:numFmt w:val="bullet"/>
      <w:lvlText w:val=""/>
      <w:lvlJc w:val="left"/>
      <w:pPr>
        <w:tabs>
          <w:tab w:val="num" w:pos="5040"/>
        </w:tabs>
        <w:ind w:left="5040" w:hanging="360"/>
      </w:pPr>
      <w:rPr>
        <w:rFonts w:ascii="Symbol" w:hAnsi="Symbol" w:hint="default"/>
      </w:rPr>
    </w:lvl>
    <w:lvl w:ilvl="7" w:tplc="687E4550" w:tentative="1">
      <w:start w:val="1"/>
      <w:numFmt w:val="bullet"/>
      <w:lvlText w:val="o"/>
      <w:lvlJc w:val="left"/>
      <w:pPr>
        <w:tabs>
          <w:tab w:val="num" w:pos="5760"/>
        </w:tabs>
        <w:ind w:left="5760" w:hanging="360"/>
      </w:pPr>
      <w:rPr>
        <w:rFonts w:ascii="Courier New" w:hAnsi="Courier New" w:cs="Courier New" w:hint="default"/>
      </w:rPr>
    </w:lvl>
    <w:lvl w:ilvl="8" w:tplc="5EE0357E"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9D35C15"/>
    <w:multiLevelType w:val="hybridMultilevel"/>
    <w:tmpl w:val="A8A2E45C"/>
    <w:lvl w:ilvl="0" w:tplc="641035A2">
      <w:start w:val="1"/>
      <w:numFmt w:val="decimal"/>
      <w:lvlText w:val="%1)"/>
      <w:lvlJc w:val="left"/>
      <w:pPr>
        <w:tabs>
          <w:tab w:val="num" w:pos="340"/>
        </w:tabs>
        <w:ind w:left="340" w:hanging="340"/>
      </w:pPr>
      <w:rPr>
        <w:rFonts w:hint="default"/>
      </w:rPr>
    </w:lvl>
    <w:lvl w:ilvl="1" w:tplc="F38C07CC" w:tentative="1">
      <w:start w:val="1"/>
      <w:numFmt w:val="lowerLetter"/>
      <w:lvlText w:val="%2."/>
      <w:lvlJc w:val="left"/>
      <w:pPr>
        <w:tabs>
          <w:tab w:val="num" w:pos="1440"/>
        </w:tabs>
        <w:ind w:left="1440" w:hanging="360"/>
      </w:pPr>
    </w:lvl>
    <w:lvl w:ilvl="2" w:tplc="9A1EDE18" w:tentative="1">
      <w:start w:val="1"/>
      <w:numFmt w:val="lowerRoman"/>
      <w:lvlText w:val="%3."/>
      <w:lvlJc w:val="right"/>
      <w:pPr>
        <w:tabs>
          <w:tab w:val="num" w:pos="2160"/>
        </w:tabs>
        <w:ind w:left="2160" w:hanging="180"/>
      </w:pPr>
    </w:lvl>
    <w:lvl w:ilvl="3" w:tplc="FA4CB9AA" w:tentative="1">
      <w:start w:val="1"/>
      <w:numFmt w:val="decimal"/>
      <w:lvlText w:val="%4."/>
      <w:lvlJc w:val="left"/>
      <w:pPr>
        <w:tabs>
          <w:tab w:val="num" w:pos="2880"/>
        </w:tabs>
        <w:ind w:left="2880" w:hanging="360"/>
      </w:pPr>
    </w:lvl>
    <w:lvl w:ilvl="4" w:tplc="565C7D16" w:tentative="1">
      <w:start w:val="1"/>
      <w:numFmt w:val="lowerLetter"/>
      <w:lvlText w:val="%5."/>
      <w:lvlJc w:val="left"/>
      <w:pPr>
        <w:tabs>
          <w:tab w:val="num" w:pos="3600"/>
        </w:tabs>
        <w:ind w:left="3600" w:hanging="360"/>
      </w:pPr>
    </w:lvl>
    <w:lvl w:ilvl="5" w:tplc="4514811A" w:tentative="1">
      <w:start w:val="1"/>
      <w:numFmt w:val="lowerRoman"/>
      <w:lvlText w:val="%6."/>
      <w:lvlJc w:val="right"/>
      <w:pPr>
        <w:tabs>
          <w:tab w:val="num" w:pos="4320"/>
        </w:tabs>
        <w:ind w:left="4320" w:hanging="180"/>
      </w:pPr>
    </w:lvl>
    <w:lvl w:ilvl="6" w:tplc="5A8C2FB6" w:tentative="1">
      <w:start w:val="1"/>
      <w:numFmt w:val="decimal"/>
      <w:lvlText w:val="%7."/>
      <w:lvlJc w:val="left"/>
      <w:pPr>
        <w:tabs>
          <w:tab w:val="num" w:pos="5040"/>
        </w:tabs>
        <w:ind w:left="5040" w:hanging="360"/>
      </w:pPr>
    </w:lvl>
    <w:lvl w:ilvl="7" w:tplc="C8D41740" w:tentative="1">
      <w:start w:val="1"/>
      <w:numFmt w:val="lowerLetter"/>
      <w:lvlText w:val="%8."/>
      <w:lvlJc w:val="left"/>
      <w:pPr>
        <w:tabs>
          <w:tab w:val="num" w:pos="5760"/>
        </w:tabs>
        <w:ind w:left="5760" w:hanging="360"/>
      </w:pPr>
    </w:lvl>
    <w:lvl w:ilvl="8" w:tplc="75E680F8" w:tentative="1">
      <w:start w:val="1"/>
      <w:numFmt w:val="lowerRoman"/>
      <w:lvlText w:val="%9."/>
      <w:lvlJc w:val="right"/>
      <w:pPr>
        <w:tabs>
          <w:tab w:val="num" w:pos="6480"/>
        </w:tabs>
        <w:ind w:left="6480" w:hanging="180"/>
      </w:pPr>
    </w:lvl>
  </w:abstractNum>
  <w:abstractNum w:abstractNumId="13" w15:restartNumberingAfterBreak="0">
    <w:nsid w:val="642F3AFA"/>
    <w:multiLevelType w:val="hybridMultilevel"/>
    <w:tmpl w:val="9DF09BE6"/>
    <w:lvl w:ilvl="0" w:tplc="2014F892">
      <w:start w:val="1"/>
      <w:numFmt w:val="decimal"/>
      <w:lvlText w:val="%1."/>
      <w:lvlJc w:val="left"/>
      <w:pPr>
        <w:tabs>
          <w:tab w:val="num" w:pos="1057"/>
        </w:tabs>
        <w:ind w:left="1057" w:hanging="360"/>
      </w:pPr>
      <w:rPr>
        <w:rFonts w:hint="default"/>
      </w:rPr>
    </w:lvl>
    <w:lvl w:ilvl="1" w:tplc="A6FE0DB8" w:tentative="1">
      <w:start w:val="1"/>
      <w:numFmt w:val="lowerLetter"/>
      <w:lvlText w:val="%2."/>
      <w:lvlJc w:val="left"/>
      <w:pPr>
        <w:tabs>
          <w:tab w:val="num" w:pos="2137"/>
        </w:tabs>
        <w:ind w:left="2137" w:hanging="360"/>
      </w:pPr>
    </w:lvl>
    <w:lvl w:ilvl="2" w:tplc="CFC6714C" w:tentative="1">
      <w:start w:val="1"/>
      <w:numFmt w:val="lowerRoman"/>
      <w:lvlText w:val="%3."/>
      <w:lvlJc w:val="right"/>
      <w:pPr>
        <w:tabs>
          <w:tab w:val="num" w:pos="2857"/>
        </w:tabs>
        <w:ind w:left="2857" w:hanging="180"/>
      </w:pPr>
    </w:lvl>
    <w:lvl w:ilvl="3" w:tplc="0A34D28E" w:tentative="1">
      <w:start w:val="1"/>
      <w:numFmt w:val="decimal"/>
      <w:lvlText w:val="%4."/>
      <w:lvlJc w:val="left"/>
      <w:pPr>
        <w:tabs>
          <w:tab w:val="num" w:pos="3577"/>
        </w:tabs>
        <w:ind w:left="3577" w:hanging="360"/>
      </w:pPr>
    </w:lvl>
    <w:lvl w:ilvl="4" w:tplc="0A3E3646" w:tentative="1">
      <w:start w:val="1"/>
      <w:numFmt w:val="lowerLetter"/>
      <w:lvlText w:val="%5."/>
      <w:lvlJc w:val="left"/>
      <w:pPr>
        <w:tabs>
          <w:tab w:val="num" w:pos="4297"/>
        </w:tabs>
        <w:ind w:left="4297" w:hanging="360"/>
      </w:pPr>
    </w:lvl>
    <w:lvl w:ilvl="5" w:tplc="A172FD34" w:tentative="1">
      <w:start w:val="1"/>
      <w:numFmt w:val="lowerRoman"/>
      <w:lvlText w:val="%6."/>
      <w:lvlJc w:val="right"/>
      <w:pPr>
        <w:tabs>
          <w:tab w:val="num" w:pos="5017"/>
        </w:tabs>
        <w:ind w:left="5017" w:hanging="180"/>
      </w:pPr>
    </w:lvl>
    <w:lvl w:ilvl="6" w:tplc="64769882" w:tentative="1">
      <w:start w:val="1"/>
      <w:numFmt w:val="decimal"/>
      <w:lvlText w:val="%7."/>
      <w:lvlJc w:val="left"/>
      <w:pPr>
        <w:tabs>
          <w:tab w:val="num" w:pos="5737"/>
        </w:tabs>
        <w:ind w:left="5737" w:hanging="360"/>
      </w:pPr>
    </w:lvl>
    <w:lvl w:ilvl="7" w:tplc="2D58030C" w:tentative="1">
      <w:start w:val="1"/>
      <w:numFmt w:val="lowerLetter"/>
      <w:lvlText w:val="%8."/>
      <w:lvlJc w:val="left"/>
      <w:pPr>
        <w:tabs>
          <w:tab w:val="num" w:pos="6457"/>
        </w:tabs>
        <w:ind w:left="6457" w:hanging="360"/>
      </w:pPr>
    </w:lvl>
    <w:lvl w:ilvl="8" w:tplc="284C7974" w:tentative="1">
      <w:start w:val="1"/>
      <w:numFmt w:val="lowerRoman"/>
      <w:lvlText w:val="%9."/>
      <w:lvlJc w:val="right"/>
      <w:pPr>
        <w:tabs>
          <w:tab w:val="num" w:pos="7177"/>
        </w:tabs>
        <w:ind w:left="7177" w:hanging="180"/>
      </w:pPr>
    </w:lvl>
  </w:abstractNum>
  <w:abstractNum w:abstractNumId="14" w15:restartNumberingAfterBreak="0">
    <w:nsid w:val="7212657C"/>
    <w:multiLevelType w:val="hybridMultilevel"/>
    <w:tmpl w:val="0A8E2A84"/>
    <w:lvl w:ilvl="0" w:tplc="797ABF06">
      <w:start w:val="1"/>
      <w:numFmt w:val="decimal"/>
      <w:pStyle w:val="ATSNumber1"/>
      <w:lvlText w:val="%1)"/>
      <w:lvlJc w:val="left"/>
      <w:pPr>
        <w:tabs>
          <w:tab w:val="num" w:pos="720"/>
        </w:tabs>
        <w:ind w:left="720" w:hanging="360"/>
      </w:pPr>
    </w:lvl>
    <w:lvl w:ilvl="1" w:tplc="E6E44B04" w:tentative="1">
      <w:start w:val="1"/>
      <w:numFmt w:val="lowerLetter"/>
      <w:lvlText w:val="%2."/>
      <w:lvlJc w:val="left"/>
      <w:pPr>
        <w:tabs>
          <w:tab w:val="num" w:pos="1440"/>
        </w:tabs>
        <w:ind w:left="1440" w:hanging="360"/>
      </w:pPr>
    </w:lvl>
    <w:lvl w:ilvl="2" w:tplc="52F03BD2" w:tentative="1">
      <w:start w:val="1"/>
      <w:numFmt w:val="lowerRoman"/>
      <w:lvlText w:val="%3."/>
      <w:lvlJc w:val="right"/>
      <w:pPr>
        <w:tabs>
          <w:tab w:val="num" w:pos="2160"/>
        </w:tabs>
        <w:ind w:left="2160" w:hanging="180"/>
      </w:pPr>
    </w:lvl>
    <w:lvl w:ilvl="3" w:tplc="3EB2B9E6" w:tentative="1">
      <w:start w:val="1"/>
      <w:numFmt w:val="decimal"/>
      <w:lvlText w:val="%4."/>
      <w:lvlJc w:val="left"/>
      <w:pPr>
        <w:tabs>
          <w:tab w:val="num" w:pos="2880"/>
        </w:tabs>
        <w:ind w:left="2880" w:hanging="360"/>
      </w:pPr>
    </w:lvl>
    <w:lvl w:ilvl="4" w:tplc="5EE8587E" w:tentative="1">
      <w:start w:val="1"/>
      <w:numFmt w:val="lowerLetter"/>
      <w:lvlText w:val="%5."/>
      <w:lvlJc w:val="left"/>
      <w:pPr>
        <w:tabs>
          <w:tab w:val="num" w:pos="3600"/>
        </w:tabs>
        <w:ind w:left="3600" w:hanging="360"/>
      </w:pPr>
    </w:lvl>
    <w:lvl w:ilvl="5" w:tplc="3F865952" w:tentative="1">
      <w:start w:val="1"/>
      <w:numFmt w:val="lowerRoman"/>
      <w:lvlText w:val="%6."/>
      <w:lvlJc w:val="right"/>
      <w:pPr>
        <w:tabs>
          <w:tab w:val="num" w:pos="4320"/>
        </w:tabs>
        <w:ind w:left="4320" w:hanging="180"/>
      </w:pPr>
    </w:lvl>
    <w:lvl w:ilvl="6" w:tplc="248449A6" w:tentative="1">
      <w:start w:val="1"/>
      <w:numFmt w:val="decimal"/>
      <w:lvlText w:val="%7."/>
      <w:lvlJc w:val="left"/>
      <w:pPr>
        <w:tabs>
          <w:tab w:val="num" w:pos="5040"/>
        </w:tabs>
        <w:ind w:left="5040" w:hanging="360"/>
      </w:pPr>
    </w:lvl>
    <w:lvl w:ilvl="7" w:tplc="E97E207E" w:tentative="1">
      <w:start w:val="1"/>
      <w:numFmt w:val="lowerLetter"/>
      <w:lvlText w:val="%8."/>
      <w:lvlJc w:val="left"/>
      <w:pPr>
        <w:tabs>
          <w:tab w:val="num" w:pos="5760"/>
        </w:tabs>
        <w:ind w:left="5760" w:hanging="360"/>
      </w:pPr>
    </w:lvl>
    <w:lvl w:ilvl="8" w:tplc="F5240AE8" w:tentative="1">
      <w:start w:val="1"/>
      <w:numFmt w:val="lowerRoman"/>
      <w:lvlText w:val="%9."/>
      <w:lvlJc w:val="right"/>
      <w:pPr>
        <w:tabs>
          <w:tab w:val="num" w:pos="6480"/>
        </w:tabs>
        <w:ind w:left="6480" w:hanging="180"/>
      </w:pPr>
    </w:lvl>
  </w:abstractNum>
  <w:abstractNum w:abstractNumId="15" w15:restartNumberingAfterBreak="0">
    <w:nsid w:val="743D2161"/>
    <w:multiLevelType w:val="hybridMultilevel"/>
    <w:tmpl w:val="B0868D9E"/>
    <w:lvl w:ilvl="0" w:tplc="33D4A806">
      <w:start w:val="1"/>
      <w:numFmt w:val="bullet"/>
      <w:pStyle w:val="ATSBullet2"/>
      <w:lvlText w:val="-"/>
      <w:lvlJc w:val="left"/>
      <w:pPr>
        <w:tabs>
          <w:tab w:val="num" w:pos="1080"/>
        </w:tabs>
        <w:ind w:left="1080" w:hanging="360"/>
      </w:pPr>
      <w:rPr>
        <w:rFonts w:ascii="Times New Roman" w:hAnsi="Times New Roman" w:cs="Times New Roman" w:hint="default"/>
        <w:color w:val="auto"/>
      </w:rPr>
    </w:lvl>
    <w:lvl w:ilvl="1" w:tplc="85EEA58A" w:tentative="1">
      <w:start w:val="1"/>
      <w:numFmt w:val="bullet"/>
      <w:lvlText w:val="o"/>
      <w:lvlJc w:val="left"/>
      <w:pPr>
        <w:tabs>
          <w:tab w:val="num" w:pos="2517"/>
        </w:tabs>
        <w:ind w:left="2517" w:hanging="360"/>
      </w:pPr>
      <w:rPr>
        <w:rFonts w:ascii="Courier New" w:hAnsi="Courier New" w:cs="Courier New" w:hint="default"/>
      </w:rPr>
    </w:lvl>
    <w:lvl w:ilvl="2" w:tplc="4B4053E4" w:tentative="1">
      <w:start w:val="1"/>
      <w:numFmt w:val="bullet"/>
      <w:lvlText w:val=""/>
      <w:lvlJc w:val="left"/>
      <w:pPr>
        <w:tabs>
          <w:tab w:val="num" w:pos="3237"/>
        </w:tabs>
        <w:ind w:left="3237" w:hanging="360"/>
      </w:pPr>
      <w:rPr>
        <w:rFonts w:ascii="Wingdings" w:hAnsi="Wingdings" w:hint="default"/>
      </w:rPr>
    </w:lvl>
    <w:lvl w:ilvl="3" w:tplc="B75CB2A8" w:tentative="1">
      <w:start w:val="1"/>
      <w:numFmt w:val="bullet"/>
      <w:lvlText w:val=""/>
      <w:lvlJc w:val="left"/>
      <w:pPr>
        <w:tabs>
          <w:tab w:val="num" w:pos="3957"/>
        </w:tabs>
        <w:ind w:left="3957" w:hanging="360"/>
      </w:pPr>
      <w:rPr>
        <w:rFonts w:ascii="Symbol" w:hAnsi="Symbol" w:hint="default"/>
      </w:rPr>
    </w:lvl>
    <w:lvl w:ilvl="4" w:tplc="602C1526" w:tentative="1">
      <w:start w:val="1"/>
      <w:numFmt w:val="bullet"/>
      <w:lvlText w:val="o"/>
      <w:lvlJc w:val="left"/>
      <w:pPr>
        <w:tabs>
          <w:tab w:val="num" w:pos="4677"/>
        </w:tabs>
        <w:ind w:left="4677" w:hanging="360"/>
      </w:pPr>
      <w:rPr>
        <w:rFonts w:ascii="Courier New" w:hAnsi="Courier New" w:cs="Courier New" w:hint="default"/>
      </w:rPr>
    </w:lvl>
    <w:lvl w:ilvl="5" w:tplc="BDD8C144" w:tentative="1">
      <w:start w:val="1"/>
      <w:numFmt w:val="bullet"/>
      <w:lvlText w:val=""/>
      <w:lvlJc w:val="left"/>
      <w:pPr>
        <w:tabs>
          <w:tab w:val="num" w:pos="5397"/>
        </w:tabs>
        <w:ind w:left="5397" w:hanging="360"/>
      </w:pPr>
      <w:rPr>
        <w:rFonts w:ascii="Wingdings" w:hAnsi="Wingdings" w:hint="default"/>
      </w:rPr>
    </w:lvl>
    <w:lvl w:ilvl="6" w:tplc="D4D0B72A" w:tentative="1">
      <w:start w:val="1"/>
      <w:numFmt w:val="bullet"/>
      <w:lvlText w:val=""/>
      <w:lvlJc w:val="left"/>
      <w:pPr>
        <w:tabs>
          <w:tab w:val="num" w:pos="6117"/>
        </w:tabs>
        <w:ind w:left="6117" w:hanging="360"/>
      </w:pPr>
      <w:rPr>
        <w:rFonts w:ascii="Symbol" w:hAnsi="Symbol" w:hint="default"/>
      </w:rPr>
    </w:lvl>
    <w:lvl w:ilvl="7" w:tplc="6A5E026A" w:tentative="1">
      <w:start w:val="1"/>
      <w:numFmt w:val="bullet"/>
      <w:lvlText w:val="o"/>
      <w:lvlJc w:val="left"/>
      <w:pPr>
        <w:tabs>
          <w:tab w:val="num" w:pos="6837"/>
        </w:tabs>
        <w:ind w:left="6837" w:hanging="360"/>
      </w:pPr>
      <w:rPr>
        <w:rFonts w:ascii="Courier New" w:hAnsi="Courier New" w:cs="Courier New" w:hint="default"/>
      </w:rPr>
    </w:lvl>
    <w:lvl w:ilvl="8" w:tplc="1B70EAD8" w:tentative="1">
      <w:start w:val="1"/>
      <w:numFmt w:val="bullet"/>
      <w:lvlText w:val=""/>
      <w:lvlJc w:val="left"/>
      <w:pPr>
        <w:tabs>
          <w:tab w:val="num" w:pos="7557"/>
        </w:tabs>
        <w:ind w:left="7557" w:hanging="360"/>
      </w:pPr>
      <w:rPr>
        <w:rFonts w:ascii="Wingdings" w:hAnsi="Wingdings" w:hint="default"/>
      </w:rPr>
    </w:lvl>
  </w:abstractNum>
  <w:abstractNum w:abstractNumId="16" w15:restartNumberingAfterBreak="0">
    <w:nsid w:val="7C866FC0"/>
    <w:multiLevelType w:val="hybridMultilevel"/>
    <w:tmpl w:val="57EA2900"/>
    <w:lvl w:ilvl="0" w:tplc="7678334A">
      <w:start w:val="1"/>
      <w:numFmt w:val="decimal"/>
      <w:pStyle w:val="ATSNumber2"/>
      <w:lvlText w:val="%1."/>
      <w:lvlJc w:val="left"/>
      <w:pPr>
        <w:tabs>
          <w:tab w:val="num" w:pos="720"/>
        </w:tabs>
        <w:ind w:left="720" w:hanging="360"/>
      </w:pPr>
      <w:rPr>
        <w:rFonts w:hint="default"/>
      </w:rPr>
    </w:lvl>
    <w:lvl w:ilvl="1" w:tplc="2A2E8FC2" w:tentative="1">
      <w:start w:val="1"/>
      <w:numFmt w:val="lowerLetter"/>
      <w:lvlText w:val="%2."/>
      <w:lvlJc w:val="left"/>
      <w:pPr>
        <w:tabs>
          <w:tab w:val="num" w:pos="1440"/>
        </w:tabs>
        <w:ind w:left="1440" w:hanging="360"/>
      </w:pPr>
    </w:lvl>
    <w:lvl w:ilvl="2" w:tplc="A01AAF76" w:tentative="1">
      <w:start w:val="1"/>
      <w:numFmt w:val="lowerRoman"/>
      <w:lvlText w:val="%3."/>
      <w:lvlJc w:val="right"/>
      <w:pPr>
        <w:tabs>
          <w:tab w:val="num" w:pos="2160"/>
        </w:tabs>
        <w:ind w:left="2160" w:hanging="180"/>
      </w:pPr>
    </w:lvl>
    <w:lvl w:ilvl="3" w:tplc="CE286730" w:tentative="1">
      <w:start w:val="1"/>
      <w:numFmt w:val="decimal"/>
      <w:lvlText w:val="%4."/>
      <w:lvlJc w:val="left"/>
      <w:pPr>
        <w:tabs>
          <w:tab w:val="num" w:pos="2880"/>
        </w:tabs>
        <w:ind w:left="2880" w:hanging="360"/>
      </w:pPr>
    </w:lvl>
    <w:lvl w:ilvl="4" w:tplc="009A76EE" w:tentative="1">
      <w:start w:val="1"/>
      <w:numFmt w:val="lowerLetter"/>
      <w:lvlText w:val="%5."/>
      <w:lvlJc w:val="left"/>
      <w:pPr>
        <w:tabs>
          <w:tab w:val="num" w:pos="3600"/>
        </w:tabs>
        <w:ind w:left="3600" w:hanging="360"/>
      </w:pPr>
    </w:lvl>
    <w:lvl w:ilvl="5" w:tplc="159EA5FA" w:tentative="1">
      <w:start w:val="1"/>
      <w:numFmt w:val="lowerRoman"/>
      <w:lvlText w:val="%6."/>
      <w:lvlJc w:val="right"/>
      <w:pPr>
        <w:tabs>
          <w:tab w:val="num" w:pos="4320"/>
        </w:tabs>
        <w:ind w:left="4320" w:hanging="180"/>
      </w:pPr>
    </w:lvl>
    <w:lvl w:ilvl="6" w:tplc="E2F8F0B0" w:tentative="1">
      <w:start w:val="1"/>
      <w:numFmt w:val="decimal"/>
      <w:lvlText w:val="%7."/>
      <w:lvlJc w:val="left"/>
      <w:pPr>
        <w:tabs>
          <w:tab w:val="num" w:pos="5040"/>
        </w:tabs>
        <w:ind w:left="5040" w:hanging="360"/>
      </w:pPr>
    </w:lvl>
    <w:lvl w:ilvl="7" w:tplc="1A7A23AA" w:tentative="1">
      <w:start w:val="1"/>
      <w:numFmt w:val="lowerLetter"/>
      <w:lvlText w:val="%8."/>
      <w:lvlJc w:val="left"/>
      <w:pPr>
        <w:tabs>
          <w:tab w:val="num" w:pos="5760"/>
        </w:tabs>
        <w:ind w:left="5760" w:hanging="360"/>
      </w:pPr>
    </w:lvl>
    <w:lvl w:ilvl="8" w:tplc="AC220416" w:tentative="1">
      <w:start w:val="1"/>
      <w:numFmt w:val="lowerRoman"/>
      <w:lvlText w:val="%9."/>
      <w:lvlJc w:val="right"/>
      <w:pPr>
        <w:tabs>
          <w:tab w:val="num" w:pos="6480"/>
        </w:tabs>
        <w:ind w:left="6480" w:hanging="180"/>
      </w:pPr>
    </w:lvl>
  </w:abstractNum>
  <w:num w:numId="1" w16cid:durableId="2114743274">
    <w:abstractNumId w:val="9"/>
  </w:num>
  <w:num w:numId="2" w16cid:durableId="85612244">
    <w:abstractNumId w:val="7"/>
  </w:num>
  <w:num w:numId="3" w16cid:durableId="375812605">
    <w:abstractNumId w:val="6"/>
  </w:num>
  <w:num w:numId="4" w16cid:durableId="266235024">
    <w:abstractNumId w:val="5"/>
  </w:num>
  <w:num w:numId="5" w16cid:durableId="12734805">
    <w:abstractNumId w:val="4"/>
  </w:num>
  <w:num w:numId="6" w16cid:durableId="936986922">
    <w:abstractNumId w:val="8"/>
  </w:num>
  <w:num w:numId="7" w16cid:durableId="1985768555">
    <w:abstractNumId w:val="3"/>
  </w:num>
  <w:num w:numId="8" w16cid:durableId="819200678">
    <w:abstractNumId w:val="2"/>
  </w:num>
  <w:num w:numId="9" w16cid:durableId="1614051839">
    <w:abstractNumId w:val="1"/>
  </w:num>
  <w:num w:numId="10" w16cid:durableId="1959869217">
    <w:abstractNumId w:val="0"/>
  </w:num>
  <w:num w:numId="11" w16cid:durableId="65416574">
    <w:abstractNumId w:val="11"/>
  </w:num>
  <w:num w:numId="12" w16cid:durableId="353000513">
    <w:abstractNumId w:val="15"/>
  </w:num>
  <w:num w:numId="13" w16cid:durableId="1978026278">
    <w:abstractNumId w:val="14"/>
  </w:num>
  <w:num w:numId="14" w16cid:durableId="875628264">
    <w:abstractNumId w:val="12"/>
  </w:num>
  <w:num w:numId="15" w16cid:durableId="1441488509">
    <w:abstractNumId w:val="13"/>
  </w:num>
  <w:num w:numId="16" w16cid:durableId="417018129">
    <w:abstractNumId w:val="10"/>
  </w:num>
  <w:num w:numId="17" w16cid:durableId="1539121936">
    <w:abstractNumId w:val="11"/>
  </w:num>
  <w:num w:numId="18" w16cid:durableId="1910185062">
    <w:abstractNumId w:val="15"/>
  </w:num>
  <w:num w:numId="19" w16cid:durableId="1276910341">
    <w:abstractNumId w:val="14"/>
  </w:num>
  <w:num w:numId="20" w16cid:durableId="155019003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0402"/>
    <w:rsid w:val="000D2B2D"/>
    <w:rsid w:val="005F040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54E5EDF"/>
  <w15:chartTrackingRefBased/>
  <w15:docId w15:val="{35429621-C37F-4FD9-BEE6-EB6196616D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6">
    <w:lsdException w:name="Normal" w:qFormat="1"/>
    <w:lsdException w:name="footnote text" w:uiPriority="99"/>
    <w:lsdException w:name="caption" w:semiHidden="1" w:unhideWhenUsed="1" w:qFormat="1"/>
    <w:lsdException w:name="footnote reference"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789F"/>
    <w:rPr>
      <w:sz w:val="22"/>
      <w:szCs w:val="24"/>
      <w:lang w:val="en-GB" w:eastAsia="en-US"/>
    </w:rPr>
  </w:style>
  <w:style w:type="paragraph" w:styleId="Ttulo1">
    <w:name w:val="heading 1"/>
    <w:basedOn w:val="Normal"/>
    <w:next w:val="Normal"/>
    <w:rsid w:val="001B789F"/>
    <w:pPr>
      <w:keepNext/>
      <w:spacing w:before="180" w:after="360"/>
      <w:jc w:val="center"/>
      <w:outlineLvl w:val="0"/>
    </w:pPr>
    <w:rPr>
      <w:rFonts w:ascii="Arial" w:hAnsi="Arial"/>
      <w:b/>
      <w:kern w:val="28"/>
      <w:sz w:val="32"/>
      <w:szCs w:val="20"/>
    </w:rPr>
  </w:style>
  <w:style w:type="paragraph" w:styleId="Ttulo2">
    <w:name w:val="heading 2"/>
    <w:basedOn w:val="Normal"/>
    <w:next w:val="Normal"/>
    <w:rsid w:val="001B789F"/>
    <w:pPr>
      <w:keepNext/>
      <w:spacing w:before="120" w:after="240"/>
      <w:outlineLvl w:val="1"/>
    </w:pPr>
    <w:rPr>
      <w:b/>
      <w:i/>
      <w:sz w:val="28"/>
      <w:szCs w:val="20"/>
    </w:rPr>
  </w:style>
  <w:style w:type="paragraph" w:styleId="Ttulo3">
    <w:name w:val="heading 3"/>
    <w:basedOn w:val="Normal"/>
    <w:next w:val="Normal"/>
    <w:rsid w:val="001B789F"/>
    <w:pPr>
      <w:keepNext/>
      <w:spacing w:before="120" w:after="180"/>
      <w:outlineLvl w:val="2"/>
    </w:pPr>
    <w:rPr>
      <w:rFonts w:eastAsia="SimSun"/>
      <w:b/>
      <w:sz w:val="24"/>
      <w:szCs w:val="20"/>
      <w:lang w:eastAsia="zh-CN"/>
    </w:rPr>
  </w:style>
  <w:style w:type="paragraph" w:styleId="Ttulo4">
    <w:name w:val="heading 4"/>
    <w:basedOn w:val="Normal"/>
    <w:next w:val="Normal"/>
    <w:rsid w:val="001B789F"/>
    <w:pPr>
      <w:keepNext/>
      <w:spacing w:before="60" w:after="120"/>
      <w:outlineLvl w:val="3"/>
    </w:pPr>
    <w:rPr>
      <w:b/>
      <w:bCs/>
      <w:i/>
      <w:szCs w:val="28"/>
    </w:rPr>
  </w:style>
  <w:style w:type="paragraph" w:styleId="Ttulo5">
    <w:name w:val="heading 5"/>
    <w:basedOn w:val="Normal"/>
    <w:next w:val="Normal"/>
    <w:rsid w:val="001B789F"/>
    <w:pPr>
      <w:spacing w:before="240" w:after="60"/>
      <w:outlineLvl w:val="4"/>
    </w:pPr>
    <w:rPr>
      <w:b/>
      <w:bCs/>
      <w:i/>
      <w:iCs/>
      <w:sz w:val="26"/>
      <w:szCs w:val="26"/>
    </w:rPr>
  </w:style>
  <w:style w:type="paragraph" w:styleId="Ttulo6">
    <w:name w:val="heading 6"/>
    <w:basedOn w:val="Normal"/>
    <w:next w:val="Normal"/>
    <w:rsid w:val="001B789F"/>
    <w:pPr>
      <w:spacing w:before="240" w:after="60"/>
      <w:outlineLvl w:val="5"/>
    </w:pPr>
    <w:rPr>
      <w:b/>
      <w:bCs/>
      <w:szCs w:val="22"/>
    </w:rPr>
  </w:style>
  <w:style w:type="paragraph" w:styleId="Ttulo7">
    <w:name w:val="heading 7"/>
    <w:basedOn w:val="Normal"/>
    <w:next w:val="Normal"/>
    <w:rsid w:val="001B789F"/>
    <w:pPr>
      <w:spacing w:before="240" w:after="60"/>
      <w:outlineLvl w:val="6"/>
    </w:pPr>
    <w:rPr>
      <w:sz w:val="24"/>
    </w:rPr>
  </w:style>
  <w:style w:type="paragraph" w:styleId="Ttulo8">
    <w:name w:val="heading 8"/>
    <w:basedOn w:val="Normal"/>
    <w:next w:val="Normal"/>
    <w:rsid w:val="001B789F"/>
    <w:pPr>
      <w:spacing w:before="240" w:after="60"/>
      <w:outlineLvl w:val="7"/>
    </w:pPr>
    <w:rPr>
      <w:i/>
      <w:iCs/>
      <w:sz w:val="24"/>
    </w:rPr>
  </w:style>
  <w:style w:type="paragraph" w:styleId="Ttulo9">
    <w:name w:val="heading 9"/>
    <w:basedOn w:val="Normal"/>
    <w:next w:val="Normal"/>
    <w:rsid w:val="001B789F"/>
    <w:pPr>
      <w:spacing w:before="240" w:after="60"/>
      <w:outlineLvl w:val="8"/>
    </w:pPr>
    <w:rPr>
      <w:rFonts w:ascii="Arial" w:hAnsi="Arial" w:cs="Arial"/>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TSNormal">
    <w:name w:val="ATS Normal"/>
    <w:basedOn w:val="Normal"/>
    <w:uiPriority w:val="1"/>
    <w:qFormat/>
    <w:rsid w:val="001B789F"/>
    <w:pPr>
      <w:spacing w:before="120" w:after="120"/>
    </w:pPr>
    <w:rPr>
      <w:lang w:eastAsia="en-GB"/>
    </w:rPr>
  </w:style>
  <w:style w:type="paragraph" w:customStyle="1" w:styleId="ATSBullet1">
    <w:name w:val="ATS Bullet 1"/>
    <w:basedOn w:val="ATSNormal"/>
    <w:qFormat/>
    <w:rsid w:val="001B789F"/>
    <w:pPr>
      <w:numPr>
        <w:numId w:val="17"/>
      </w:numPr>
      <w:spacing w:before="60" w:after="0"/>
    </w:pPr>
  </w:style>
  <w:style w:type="paragraph" w:customStyle="1" w:styleId="ATSBullet2">
    <w:name w:val="ATS Bullet 2"/>
    <w:basedOn w:val="ATSNormal"/>
    <w:qFormat/>
    <w:rsid w:val="001B789F"/>
    <w:pPr>
      <w:numPr>
        <w:numId w:val="18"/>
      </w:numPr>
      <w:tabs>
        <w:tab w:val="left" w:pos="720"/>
      </w:tabs>
      <w:spacing w:before="60" w:after="0"/>
    </w:pPr>
  </w:style>
  <w:style w:type="paragraph" w:customStyle="1" w:styleId="ATSCompact">
    <w:name w:val="ATS Compact"/>
    <w:basedOn w:val="ATSNormal"/>
    <w:qFormat/>
    <w:rsid w:val="001B789F"/>
    <w:pPr>
      <w:spacing w:before="0" w:after="0"/>
    </w:pPr>
  </w:style>
  <w:style w:type="paragraph" w:customStyle="1" w:styleId="ATSHeading1">
    <w:name w:val="ATS Heading 1"/>
    <w:basedOn w:val="ATSNormal"/>
    <w:next w:val="ATSNormal"/>
    <w:uiPriority w:val="1"/>
    <w:qFormat/>
    <w:rsid w:val="001B789F"/>
    <w:pPr>
      <w:spacing w:before="360" w:after="360"/>
      <w:jc w:val="center"/>
    </w:pPr>
    <w:rPr>
      <w:rFonts w:ascii="Arial" w:hAnsi="Arial"/>
      <w:b/>
      <w:sz w:val="32"/>
    </w:rPr>
  </w:style>
  <w:style w:type="paragraph" w:customStyle="1" w:styleId="ATSHeading2">
    <w:name w:val="ATS Heading 2"/>
    <w:basedOn w:val="ATSNormal"/>
    <w:next w:val="ATSNormal"/>
    <w:qFormat/>
    <w:rsid w:val="001B789F"/>
    <w:pPr>
      <w:spacing w:before="480"/>
      <w:jc w:val="both"/>
    </w:pPr>
    <w:rPr>
      <w:rFonts w:ascii="Arial" w:hAnsi="Arial"/>
      <w:b/>
      <w:i/>
      <w:sz w:val="24"/>
      <w:szCs w:val="22"/>
    </w:rPr>
  </w:style>
  <w:style w:type="paragraph" w:customStyle="1" w:styleId="ATSHeading3">
    <w:name w:val="ATS Heading 3"/>
    <w:basedOn w:val="ATSNormal"/>
    <w:next w:val="ATSNormal"/>
    <w:qFormat/>
    <w:rsid w:val="001B789F"/>
    <w:pPr>
      <w:spacing w:before="240" w:after="60"/>
    </w:pPr>
    <w:rPr>
      <w:b/>
    </w:rPr>
  </w:style>
  <w:style w:type="paragraph" w:customStyle="1" w:styleId="ATSHeading4">
    <w:name w:val="ATS Heading 4"/>
    <w:basedOn w:val="ATSNormal"/>
    <w:next w:val="ATSNormal"/>
    <w:qFormat/>
    <w:rsid w:val="001B789F"/>
    <w:pPr>
      <w:spacing w:before="240" w:after="60"/>
    </w:pPr>
    <w:rPr>
      <w:i/>
    </w:rPr>
  </w:style>
  <w:style w:type="paragraph" w:customStyle="1" w:styleId="AtsNumber">
    <w:name w:val="Ats Number"/>
    <w:basedOn w:val="ATSNormal"/>
    <w:qFormat/>
    <w:rsid w:val="001B789F"/>
    <w:pPr>
      <w:spacing w:before="60" w:after="0"/>
    </w:pPr>
  </w:style>
  <w:style w:type="paragraph" w:customStyle="1" w:styleId="ATSNumber1">
    <w:name w:val="ATS Number 1"/>
    <w:basedOn w:val="ATSNormal"/>
    <w:qFormat/>
    <w:rsid w:val="001B789F"/>
    <w:pPr>
      <w:numPr>
        <w:numId w:val="19"/>
      </w:numPr>
      <w:spacing w:before="60" w:after="0"/>
    </w:pPr>
  </w:style>
  <w:style w:type="paragraph" w:customStyle="1" w:styleId="ATSNumber2">
    <w:name w:val="ATS Number 2"/>
    <w:basedOn w:val="ATSNormal"/>
    <w:autoRedefine/>
    <w:qFormat/>
    <w:rsid w:val="001B789F"/>
    <w:pPr>
      <w:numPr>
        <w:numId w:val="20"/>
      </w:numPr>
      <w:spacing w:after="0"/>
      <w:jc w:val="both"/>
    </w:pPr>
  </w:style>
  <w:style w:type="paragraph" w:customStyle="1" w:styleId="ATSQuote">
    <w:name w:val="ATS Quote"/>
    <w:basedOn w:val="Normal"/>
    <w:qFormat/>
    <w:rsid w:val="001B789F"/>
    <w:pPr>
      <w:ind w:left="357"/>
    </w:pPr>
    <w:rPr>
      <w:i/>
      <w:szCs w:val="18"/>
    </w:rPr>
  </w:style>
  <w:style w:type="paragraph" w:customStyle="1" w:styleId="ATSTitle">
    <w:name w:val="ATS Title"/>
    <w:basedOn w:val="Normal"/>
    <w:qFormat/>
    <w:rsid w:val="001B789F"/>
    <w:pPr>
      <w:spacing w:before="360" w:after="360"/>
      <w:contextualSpacing/>
      <w:jc w:val="center"/>
    </w:pPr>
    <w:rPr>
      <w:rFonts w:ascii="Arial" w:hAnsi="Arial"/>
      <w:b/>
      <w:sz w:val="48"/>
    </w:rPr>
  </w:style>
  <w:style w:type="paragraph" w:styleId="Textodeglobo">
    <w:name w:val="Balloon Text"/>
    <w:basedOn w:val="Normal"/>
    <w:semiHidden/>
    <w:rsid w:val="001B789F"/>
    <w:rPr>
      <w:rFonts w:ascii="Tahoma" w:hAnsi="Tahoma" w:cs="Tahoma"/>
      <w:sz w:val="16"/>
      <w:szCs w:val="16"/>
    </w:rPr>
  </w:style>
  <w:style w:type="character" w:customStyle="1" w:styleId="BodyTextChar">
    <w:name w:val="Body Text Char"/>
    <w:semiHidden/>
    <w:rsid w:val="001B789F"/>
    <w:rPr>
      <w:sz w:val="24"/>
      <w:szCs w:val="22"/>
      <w:lang w:val="en-US" w:eastAsia="zh-CN" w:bidi="ar-SA"/>
    </w:rPr>
  </w:style>
  <w:style w:type="character" w:customStyle="1" w:styleId="CharacterStyle1">
    <w:name w:val="Character Style 1"/>
    <w:semiHidden/>
    <w:rsid w:val="001B789F"/>
    <w:rPr>
      <w:sz w:val="22"/>
      <w:szCs w:val="22"/>
    </w:rPr>
  </w:style>
  <w:style w:type="character" w:customStyle="1" w:styleId="descriptions1">
    <w:name w:val="descriptions1"/>
    <w:semiHidden/>
    <w:rsid w:val="001B789F"/>
    <w:rPr>
      <w:rFonts w:ascii="Verdana" w:hAnsi="Verdana" w:hint="default"/>
      <w:b/>
      <w:bCs/>
      <w:i w:val="0"/>
      <w:iCs w:val="0"/>
      <w:caps w:val="0"/>
      <w:smallCaps w:val="0"/>
      <w:color w:val="585858"/>
      <w:sz w:val="12"/>
      <w:szCs w:val="12"/>
    </w:rPr>
  </w:style>
  <w:style w:type="paragraph" w:styleId="Mapadeldocumento">
    <w:name w:val="Document Map"/>
    <w:basedOn w:val="Normal"/>
    <w:semiHidden/>
    <w:rsid w:val="001B789F"/>
    <w:pPr>
      <w:shd w:val="clear" w:color="auto" w:fill="000080"/>
    </w:pPr>
    <w:rPr>
      <w:rFonts w:ascii="Tahoma" w:hAnsi="Tahoma" w:cs="Tahoma"/>
      <w:sz w:val="20"/>
      <w:szCs w:val="20"/>
    </w:rPr>
  </w:style>
  <w:style w:type="character" w:styleId="Refdenotaalfinal">
    <w:name w:val="endnote reference"/>
    <w:semiHidden/>
    <w:rsid w:val="001B789F"/>
    <w:rPr>
      <w:vertAlign w:val="superscript"/>
    </w:rPr>
  </w:style>
  <w:style w:type="paragraph" w:styleId="Textonotaalfinal">
    <w:name w:val="endnote text"/>
    <w:basedOn w:val="Normal"/>
    <w:semiHidden/>
    <w:rsid w:val="001B789F"/>
    <w:rPr>
      <w:sz w:val="20"/>
      <w:szCs w:val="20"/>
    </w:rPr>
  </w:style>
  <w:style w:type="character" w:styleId="Hipervnculovisitado">
    <w:name w:val="FollowedHyperlink"/>
    <w:semiHidden/>
    <w:rsid w:val="001B789F"/>
    <w:rPr>
      <w:color w:val="800080"/>
      <w:u w:val="single"/>
    </w:rPr>
  </w:style>
  <w:style w:type="paragraph" w:styleId="Piedepgina">
    <w:name w:val="footer"/>
    <w:basedOn w:val="Normal"/>
    <w:semiHidden/>
    <w:rsid w:val="001B789F"/>
    <w:pPr>
      <w:tabs>
        <w:tab w:val="center" w:pos="4419"/>
        <w:tab w:val="right" w:pos="8838"/>
      </w:tabs>
    </w:pPr>
  </w:style>
  <w:style w:type="character" w:styleId="Refdenotaalpie">
    <w:name w:val="footnote reference"/>
    <w:uiPriority w:val="99"/>
    <w:rsid w:val="001B789F"/>
    <w:rPr>
      <w:vertAlign w:val="superscript"/>
    </w:rPr>
  </w:style>
  <w:style w:type="paragraph" w:styleId="Textonotapie">
    <w:name w:val="footnote text"/>
    <w:basedOn w:val="Normal"/>
    <w:link w:val="TextonotapieCar"/>
    <w:uiPriority w:val="99"/>
    <w:rsid w:val="001B789F"/>
    <w:rPr>
      <w:szCs w:val="22"/>
    </w:rPr>
  </w:style>
  <w:style w:type="paragraph" w:styleId="Encabezado">
    <w:name w:val="header"/>
    <w:basedOn w:val="Normal"/>
    <w:semiHidden/>
    <w:rsid w:val="001B789F"/>
    <w:pPr>
      <w:tabs>
        <w:tab w:val="center" w:pos="4419"/>
        <w:tab w:val="right" w:pos="8838"/>
      </w:tabs>
    </w:pPr>
  </w:style>
  <w:style w:type="character" w:styleId="Hipervnculo">
    <w:name w:val="Hyperlink"/>
    <w:semiHidden/>
    <w:rsid w:val="001B789F"/>
    <w:rPr>
      <w:color w:val="660000"/>
      <w:u w:val="single"/>
    </w:rPr>
  </w:style>
  <w:style w:type="paragraph" w:styleId="NormalWeb">
    <w:name w:val="Normal (Web)"/>
    <w:basedOn w:val="Normal"/>
    <w:semiHidden/>
    <w:rsid w:val="001B789F"/>
    <w:pPr>
      <w:spacing w:before="100" w:beforeAutospacing="1" w:after="100" w:afterAutospacing="1"/>
      <w:jc w:val="both"/>
    </w:pPr>
    <w:rPr>
      <w:sz w:val="24"/>
      <w:lang w:val="en-AU" w:eastAsia="en-AU"/>
    </w:rPr>
  </w:style>
  <w:style w:type="character" w:styleId="Nmerodepgina">
    <w:name w:val="page number"/>
    <w:basedOn w:val="Fuentedeprrafopredeter"/>
    <w:semiHidden/>
    <w:rsid w:val="001B789F"/>
  </w:style>
  <w:style w:type="character" w:styleId="Textoennegrita">
    <w:name w:val="Strong"/>
    <w:rsid w:val="001B789F"/>
    <w:rPr>
      <w:b/>
      <w:bCs/>
    </w:rPr>
  </w:style>
  <w:style w:type="table" w:styleId="Tablaconcuadrcula">
    <w:name w:val="Table Grid"/>
    <w:basedOn w:val="Tablanormal"/>
    <w:semiHidden/>
    <w:rsid w:val="001B78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g1">
    <w:name w:val="tag1"/>
    <w:semiHidden/>
    <w:rsid w:val="001B789F"/>
    <w:rPr>
      <w:rFonts w:ascii="Verdana" w:hAnsi="Verdana" w:hint="default"/>
      <w:b w:val="0"/>
      <w:bCs w:val="0"/>
      <w:i w:val="0"/>
      <w:iCs w:val="0"/>
      <w:caps w:val="0"/>
      <w:smallCaps w:val="0"/>
      <w:strike w:val="0"/>
      <w:dstrike w:val="0"/>
      <w:color w:val="585858"/>
      <w:sz w:val="12"/>
      <w:szCs w:val="12"/>
      <w:u w:val="none"/>
      <w:effect w:val="none"/>
    </w:rPr>
  </w:style>
  <w:style w:type="paragraph" w:customStyle="1" w:styleId="TexteFr">
    <w:name w:val="TexteFr"/>
    <w:basedOn w:val="Normal"/>
    <w:semiHidden/>
    <w:rsid w:val="001B789F"/>
    <w:pPr>
      <w:pBdr>
        <w:top w:val="single" w:sz="4" w:space="1" w:color="auto"/>
        <w:left w:val="single" w:sz="4" w:space="4" w:color="auto"/>
        <w:bottom w:val="single" w:sz="4" w:space="1" w:color="auto"/>
        <w:right w:val="single" w:sz="4" w:space="4" w:color="auto"/>
      </w:pBdr>
      <w:shd w:val="pct10" w:color="000000" w:fill="auto"/>
      <w:tabs>
        <w:tab w:val="left" w:pos="1711"/>
        <w:tab w:val="left" w:pos="2209"/>
        <w:tab w:val="left" w:pos="2760"/>
        <w:tab w:val="left" w:pos="5101"/>
        <w:tab w:val="left" w:pos="5886"/>
        <w:tab w:val="left" w:pos="7128"/>
      </w:tabs>
      <w:ind w:left="272" w:hanging="272"/>
      <w:jc w:val="both"/>
    </w:pPr>
    <w:rPr>
      <w:szCs w:val="22"/>
      <w:lang w:val="fr-FR" w:eastAsia="en-AU"/>
    </w:rPr>
  </w:style>
  <w:style w:type="paragraph" w:customStyle="1" w:styleId="TextEn">
    <w:name w:val="TextEn"/>
    <w:basedOn w:val="Normal"/>
    <w:semiHidden/>
    <w:rsid w:val="001B789F"/>
    <w:pPr>
      <w:spacing w:after="120"/>
    </w:pPr>
    <w:rPr>
      <w:szCs w:val="22"/>
    </w:rPr>
  </w:style>
  <w:style w:type="paragraph" w:customStyle="1" w:styleId="TextEnSingle">
    <w:name w:val="TextEnSingle"/>
    <w:basedOn w:val="TextEn"/>
    <w:semiHidden/>
    <w:rsid w:val="001B789F"/>
    <w:pPr>
      <w:spacing w:after="0"/>
    </w:pPr>
  </w:style>
  <w:style w:type="paragraph" w:customStyle="1" w:styleId="TextSp">
    <w:name w:val="TextSp"/>
    <w:basedOn w:val="Normal"/>
    <w:semiHidden/>
    <w:rsid w:val="001B789F"/>
    <w:pPr>
      <w:spacing w:after="120"/>
    </w:pPr>
    <w:rPr>
      <w:szCs w:val="22"/>
      <w:lang w:val="es-AR" w:eastAsia="es-ES"/>
    </w:rPr>
  </w:style>
  <w:style w:type="paragraph" w:styleId="TDC1">
    <w:name w:val="toc 1"/>
    <w:basedOn w:val="Normal"/>
    <w:next w:val="Normal"/>
    <w:autoRedefine/>
    <w:semiHidden/>
    <w:rsid w:val="001B789F"/>
    <w:rPr>
      <w:b/>
      <w:bCs/>
      <w:i/>
      <w:iCs/>
      <w:sz w:val="24"/>
    </w:rPr>
  </w:style>
  <w:style w:type="paragraph" w:styleId="TDC2">
    <w:name w:val="toc 2"/>
    <w:basedOn w:val="Normal"/>
    <w:next w:val="Normal"/>
    <w:autoRedefine/>
    <w:semiHidden/>
    <w:rsid w:val="001B789F"/>
    <w:pPr>
      <w:ind w:left="220"/>
    </w:pPr>
    <w:rPr>
      <w:b/>
      <w:bCs/>
      <w:szCs w:val="22"/>
    </w:rPr>
  </w:style>
  <w:style w:type="paragraph" w:styleId="TDC3">
    <w:name w:val="toc 3"/>
    <w:basedOn w:val="Normal"/>
    <w:next w:val="Normal"/>
    <w:autoRedefine/>
    <w:semiHidden/>
    <w:rsid w:val="001B789F"/>
    <w:pPr>
      <w:ind w:left="440"/>
    </w:pPr>
    <w:rPr>
      <w:sz w:val="20"/>
      <w:szCs w:val="20"/>
    </w:rPr>
  </w:style>
  <w:style w:type="paragraph" w:styleId="TDC4">
    <w:name w:val="toc 4"/>
    <w:basedOn w:val="Normal"/>
    <w:next w:val="Normal"/>
    <w:autoRedefine/>
    <w:semiHidden/>
    <w:rsid w:val="001B789F"/>
    <w:pPr>
      <w:ind w:left="660"/>
    </w:pPr>
    <w:rPr>
      <w:sz w:val="20"/>
      <w:szCs w:val="20"/>
    </w:rPr>
  </w:style>
  <w:style w:type="paragraph" w:styleId="TDC5">
    <w:name w:val="toc 5"/>
    <w:basedOn w:val="Normal"/>
    <w:next w:val="Normal"/>
    <w:autoRedefine/>
    <w:semiHidden/>
    <w:rsid w:val="001B789F"/>
    <w:pPr>
      <w:ind w:left="880"/>
    </w:pPr>
    <w:rPr>
      <w:sz w:val="20"/>
      <w:szCs w:val="20"/>
    </w:rPr>
  </w:style>
  <w:style w:type="paragraph" w:styleId="TDC6">
    <w:name w:val="toc 6"/>
    <w:basedOn w:val="Normal"/>
    <w:next w:val="Normal"/>
    <w:autoRedefine/>
    <w:semiHidden/>
    <w:rsid w:val="001B789F"/>
    <w:pPr>
      <w:ind w:left="1100"/>
    </w:pPr>
    <w:rPr>
      <w:sz w:val="20"/>
      <w:szCs w:val="20"/>
    </w:rPr>
  </w:style>
  <w:style w:type="paragraph" w:styleId="TDC7">
    <w:name w:val="toc 7"/>
    <w:basedOn w:val="Normal"/>
    <w:next w:val="Normal"/>
    <w:autoRedefine/>
    <w:semiHidden/>
    <w:rsid w:val="001B789F"/>
    <w:pPr>
      <w:ind w:left="1320"/>
    </w:pPr>
    <w:rPr>
      <w:sz w:val="20"/>
      <w:szCs w:val="20"/>
    </w:rPr>
  </w:style>
  <w:style w:type="paragraph" w:styleId="TDC8">
    <w:name w:val="toc 8"/>
    <w:basedOn w:val="Normal"/>
    <w:next w:val="Normal"/>
    <w:autoRedefine/>
    <w:semiHidden/>
    <w:rsid w:val="001B789F"/>
    <w:pPr>
      <w:ind w:left="1540"/>
    </w:pPr>
    <w:rPr>
      <w:sz w:val="20"/>
      <w:szCs w:val="20"/>
    </w:rPr>
  </w:style>
  <w:style w:type="paragraph" w:styleId="TDC9">
    <w:name w:val="toc 9"/>
    <w:basedOn w:val="Normal"/>
    <w:next w:val="Normal"/>
    <w:autoRedefine/>
    <w:semiHidden/>
    <w:rsid w:val="001B789F"/>
    <w:pPr>
      <w:ind w:left="1760"/>
    </w:pPr>
    <w:rPr>
      <w:sz w:val="20"/>
      <w:szCs w:val="20"/>
    </w:rPr>
  </w:style>
  <w:style w:type="paragraph" w:customStyle="1" w:styleId="TytApp">
    <w:name w:val="Tyt. App."/>
    <w:basedOn w:val="Normal"/>
    <w:autoRedefine/>
    <w:semiHidden/>
    <w:rsid w:val="001B789F"/>
    <w:pPr>
      <w:widowControl w:val="0"/>
      <w:numPr>
        <w:ilvl w:val="12"/>
      </w:numPr>
      <w:tabs>
        <w:tab w:val="left" w:pos="90"/>
        <w:tab w:val="left" w:pos="737"/>
        <w:tab w:val="left" w:pos="2835"/>
      </w:tabs>
      <w:spacing w:before="180" w:after="40" w:line="260" w:lineRule="exact"/>
      <w:jc w:val="center"/>
    </w:pPr>
    <w:rPr>
      <w:b/>
      <w:snapToGrid w:val="0"/>
      <w:color w:val="000000"/>
      <w:sz w:val="24"/>
      <w:szCs w:val="20"/>
      <w:lang w:eastAsia="es-ES"/>
    </w:rPr>
  </w:style>
  <w:style w:type="paragraph" w:styleId="Prrafodelista">
    <w:name w:val="List Paragraph"/>
    <w:basedOn w:val="Normal"/>
    <w:uiPriority w:val="34"/>
    <w:rsid w:val="00BF077B"/>
    <w:pPr>
      <w:ind w:left="720"/>
    </w:pPr>
  </w:style>
  <w:style w:type="character" w:styleId="Ttulodellibro">
    <w:name w:val="Book Title"/>
    <w:uiPriority w:val="33"/>
    <w:rsid w:val="00BF077B"/>
    <w:rPr>
      <w:b/>
      <w:bCs/>
      <w:smallCaps/>
      <w:spacing w:val="5"/>
    </w:rPr>
  </w:style>
  <w:style w:type="paragraph" w:customStyle="1" w:styleId="ATSMeasureEmphasis">
    <w:name w:val="ATS Measure Emphasis"/>
    <w:basedOn w:val="Normal"/>
    <w:qFormat/>
    <w:rsid w:val="009E64FE"/>
    <w:pPr>
      <w:spacing w:before="120" w:after="360"/>
    </w:pPr>
    <w:rPr>
      <w:b/>
      <w:sz w:val="24"/>
      <w:lang w:eastAsia="en-GB"/>
    </w:rPr>
  </w:style>
  <w:style w:type="character" w:customStyle="1" w:styleId="TextonotapieCar">
    <w:name w:val="Texto nota pie Car"/>
    <w:basedOn w:val="Fuentedeprrafopredeter"/>
    <w:link w:val="Textonotapie"/>
    <w:uiPriority w:val="99"/>
    <w:rsid w:val="000D2B2D"/>
    <w:rPr>
      <w:sz w:val="22"/>
      <w:szCs w:val="22"/>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library.wmo.int/index.php?lvl=notice_display&amp;id=21982"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polarprediction.net/" TargetMode="Externa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oceandecade.org/regional-ocean-decade-ecosystem/" TargetMode="External"/><Relationship Id="rId5" Type="http://schemas.openxmlformats.org/officeDocument/2006/relationships/webSettings" Target="webSettings.xml"/><Relationship Id="rId15" Type="http://schemas.openxmlformats.org/officeDocument/2006/relationships/hyperlink" Target="mailto:msparrow@wmo.int" TargetMode="External"/><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s>
</file>

<file path=word/_rels/footnotes.xml.rels><?xml version="1.0" encoding="UTF-8" standalone="yes"?>
<Relationships xmlns="http://schemas.openxmlformats.org/package/2006/relationships"><Relationship Id="rId3" Type="http://schemas.openxmlformats.org/officeDocument/2006/relationships/hyperlink" Target="mailto:ismip6@gmail.com" TargetMode="External"/><Relationship Id="rId2" Type="http://schemas.openxmlformats.org/officeDocument/2006/relationships/hyperlink" Target="https://www.climate-cryosphere.org/wiki/index.php?title=ISMIP6_wiki_page" TargetMode="External"/><Relationship Id="rId1" Type="http://schemas.openxmlformats.org/officeDocument/2006/relationships/hyperlink" Target="https://doi.org/10.5194/tc-2019-333"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77D6A62-F981-4292-A123-1E093CC7E4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6</Pages>
  <Words>1523</Words>
  <Characters>9165</Characters>
  <Application>Microsoft Office Word</Application>
  <DocSecurity>0</DocSecurity>
  <Lines>76</Lines>
  <Paragraphs>21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vt:lpstr>
      <vt:lpstr>(Paper title:)</vt:lpstr>
    </vt:vector>
  </TitlesOfParts>
  <Company>ATS</Company>
  <LinksUpToDate>false</LinksUpToDate>
  <CharactersWithSpaces>10667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dc:title>
  <dc:creator>Pepe Agraz</dc:creator>
  <cp:lastModifiedBy>Jose Luis Agraz</cp:lastModifiedBy>
  <cp:revision>4</cp:revision>
  <cp:lastPrinted>2008-01-22T18:20:00Z</cp:lastPrinted>
  <dcterms:created xsi:type="dcterms:W3CDTF">2020-11-26T16:54:00Z</dcterms:created>
  <dcterms:modified xsi:type="dcterms:W3CDTF">2022-04-26T16:11:00Z</dcterms:modified>
</cp:coreProperties>
</file>