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D6BA8" w14:textId="77777777" w:rsidR="00C26F2D" w:rsidRPr="00BF077B" w:rsidRDefault="00356085" w:rsidP="00BF077B">
      <w:pPr>
        <w:pStyle w:val="ATSNormal"/>
        <w:rPr>
          <w:rStyle w:val="Ttulodellibro"/>
        </w:rPr>
      </w:pPr>
    </w:p>
    <w:p w14:paraId="2477DD68" w14:textId="77777777" w:rsidR="002F0A13" w:rsidRDefault="00356085" w:rsidP="004B4A60">
      <w:pPr>
        <w:rPr>
          <w:b/>
          <w:u w:val="single"/>
          <w:lang w:val="es-ES_tradnl"/>
        </w:rPr>
      </w:pPr>
    </w:p>
    <w:p w14:paraId="25759C4D" w14:textId="77777777" w:rsidR="002F0A13" w:rsidRDefault="00356085" w:rsidP="004B4A60">
      <w:pPr>
        <w:rPr>
          <w:b/>
          <w:u w:val="single"/>
          <w:lang w:val="es-ES_tradnl"/>
        </w:rPr>
      </w:pPr>
    </w:p>
    <w:p w14:paraId="2BF9EE52" w14:textId="77777777" w:rsidR="002F0A13" w:rsidRDefault="00356085" w:rsidP="004B4A60">
      <w:pPr>
        <w:rPr>
          <w:b/>
          <w:u w:val="single"/>
          <w:lang w:val="es-ES_tradnl"/>
        </w:rPr>
      </w:pPr>
    </w:p>
    <w:p w14:paraId="2E388A0B" w14:textId="77777777" w:rsidR="002F0A13" w:rsidRDefault="00356085" w:rsidP="004B4A60">
      <w:pPr>
        <w:rPr>
          <w:b/>
          <w:u w:val="single"/>
          <w:lang w:val="es-ES_tradnl"/>
        </w:rPr>
      </w:pPr>
    </w:p>
    <w:p w14:paraId="4A14A20F" w14:textId="77777777" w:rsidR="00C26F2D" w:rsidRDefault="00356085" w:rsidP="004B4A60">
      <w:pPr>
        <w:rPr>
          <w:b/>
          <w:u w:val="single"/>
          <w:lang w:val="es-ES_tradnl"/>
        </w:rPr>
      </w:pPr>
    </w:p>
    <w:p w14:paraId="149A0007" w14:textId="77777777" w:rsidR="004B4A60" w:rsidRPr="0057246E" w:rsidRDefault="00356085" w:rsidP="001B789F">
      <w:pPr>
        <w:pStyle w:val="ATSTitle"/>
      </w:pPr>
      <w:bookmarkStart w:id="0" w:name="name"/>
      <w:r>
        <w:t>Consideration of climate change within the Antarctic Protected Areas System</w:t>
      </w:r>
      <w:bookmarkEnd w:id="0"/>
    </w:p>
    <w:p w14:paraId="72FFD991" w14:textId="77777777" w:rsidR="004B4A60" w:rsidRPr="0057246E" w:rsidRDefault="00356085" w:rsidP="00F75424">
      <w:pPr>
        <w:jc w:val="center"/>
      </w:pPr>
    </w:p>
    <w:p w14:paraId="5C4A8563" w14:textId="77777777" w:rsidR="004B4A60" w:rsidRPr="002F0A13" w:rsidRDefault="00356085" w:rsidP="002F0A13"/>
    <w:p w14:paraId="31EC0E98" w14:textId="77777777" w:rsidR="004B4A60" w:rsidRDefault="00356085" w:rsidP="00F75424">
      <w:pPr>
        <w:jc w:val="center"/>
      </w:pPr>
      <w:bookmarkStart w:id="1" w:name="memo"/>
      <w:bookmarkEnd w:id="1"/>
    </w:p>
    <w:p w14:paraId="47F898B6" w14:textId="77777777" w:rsidR="0097629D" w:rsidRDefault="00356085" w:rsidP="00F75424">
      <w:pPr>
        <w:jc w:val="center"/>
      </w:pPr>
    </w:p>
    <w:p w14:paraId="27076080" w14:textId="77777777" w:rsidR="0097629D" w:rsidRDefault="00356085" w:rsidP="00F75424">
      <w:pPr>
        <w:jc w:val="center"/>
      </w:pPr>
    </w:p>
    <w:p w14:paraId="610DD4EE" w14:textId="77777777" w:rsidR="0097629D" w:rsidRDefault="00356085" w:rsidP="00F75424">
      <w:pPr>
        <w:jc w:val="center"/>
      </w:pPr>
    </w:p>
    <w:p w14:paraId="6AAEA4C5" w14:textId="77777777" w:rsidR="0097629D" w:rsidRPr="00C26F2D" w:rsidRDefault="00356085" w:rsidP="00F75424">
      <w:pPr>
        <w:jc w:val="center"/>
      </w:pPr>
    </w:p>
    <w:p w14:paraId="48F41280" w14:textId="77777777" w:rsidR="004B4A60" w:rsidRPr="0057246E" w:rsidRDefault="00356085" w:rsidP="004B4A60"/>
    <w:p w14:paraId="567698C8" w14:textId="77777777" w:rsidR="00C26F2D" w:rsidRDefault="00356085"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1ED01A28" w14:textId="1888D6A3" w:rsidR="004B4A60" w:rsidRDefault="00356085" w:rsidP="00952E9F"/>
    <w:p w14:paraId="76403674" w14:textId="77777777" w:rsidR="00356085" w:rsidRDefault="00356085" w:rsidP="00356085">
      <w:pPr>
        <w:jc w:val="center"/>
        <w:rPr>
          <w:rFonts w:ascii="Arial" w:hAnsi="Arial" w:cs="Arial"/>
          <w:b/>
          <w:bCs/>
          <w:i/>
          <w:iCs/>
          <w:sz w:val="32"/>
          <w:szCs w:val="32"/>
        </w:rPr>
      </w:pPr>
      <w:r w:rsidRPr="007C7121">
        <w:rPr>
          <w:rFonts w:ascii="Arial" w:hAnsi="Arial" w:cs="Arial"/>
          <w:b/>
          <w:bCs/>
          <w:i/>
          <w:iCs/>
          <w:sz w:val="32"/>
          <w:szCs w:val="32"/>
        </w:rPr>
        <w:t>Consideration of climate change within the Antarctic Protected Area System</w:t>
      </w:r>
    </w:p>
    <w:p w14:paraId="1875F9C1" w14:textId="77777777" w:rsidR="00356085" w:rsidRPr="007C7121" w:rsidRDefault="00356085" w:rsidP="00356085">
      <w:pPr>
        <w:jc w:val="center"/>
        <w:rPr>
          <w:rFonts w:ascii="Arial" w:hAnsi="Arial" w:cs="Arial"/>
          <w:b/>
          <w:bCs/>
          <w:i/>
          <w:iCs/>
          <w:sz w:val="32"/>
          <w:szCs w:val="32"/>
        </w:rPr>
      </w:pPr>
    </w:p>
    <w:p w14:paraId="00FB0D1A" w14:textId="77777777" w:rsidR="00356085" w:rsidRDefault="00356085" w:rsidP="00356085">
      <w:pPr>
        <w:jc w:val="center"/>
        <w:rPr>
          <w:b/>
          <w:bCs/>
          <w:sz w:val="24"/>
        </w:rPr>
      </w:pPr>
      <w:r w:rsidRPr="007C7121">
        <w:rPr>
          <w:b/>
          <w:bCs/>
          <w:sz w:val="24"/>
        </w:rPr>
        <w:t>Information Paper submitted by the United Kingdom</w:t>
      </w:r>
    </w:p>
    <w:p w14:paraId="3A324376" w14:textId="77777777" w:rsidR="00356085" w:rsidRPr="00CF6703" w:rsidRDefault="00356085" w:rsidP="00356085">
      <w:pPr>
        <w:spacing w:before="480" w:after="120"/>
        <w:rPr>
          <w:rFonts w:ascii="Arial" w:hAnsi="Arial" w:cs="Arial"/>
          <w:b/>
          <w:bCs/>
          <w:i/>
          <w:iCs/>
          <w:sz w:val="24"/>
        </w:rPr>
      </w:pPr>
      <w:r w:rsidRPr="00CF6703">
        <w:rPr>
          <w:rFonts w:ascii="Arial" w:hAnsi="Arial" w:cs="Arial"/>
          <w:b/>
          <w:bCs/>
          <w:i/>
          <w:iCs/>
          <w:sz w:val="24"/>
        </w:rPr>
        <w:t>Summary</w:t>
      </w:r>
    </w:p>
    <w:p w14:paraId="3552D55E" w14:textId="77777777" w:rsidR="00356085" w:rsidRPr="00CF6703" w:rsidRDefault="00356085" w:rsidP="00356085">
      <w:r>
        <w:t>An Action within the CEP Climate Change Response Work Programme is to ‘</w:t>
      </w:r>
      <w:r w:rsidRPr="00C230D1">
        <w:rPr>
          <w:i/>
          <w:iCs/>
        </w:rPr>
        <w:t>Review and revise where necessary existing management tools to consider if they aﬀord the best practical adaptation measure to areas at risk from climate change</w:t>
      </w:r>
      <w:r w:rsidRPr="00394D0C">
        <w:t xml:space="preserve">’. </w:t>
      </w:r>
      <w:r>
        <w:t>In order to inform this work, t</w:t>
      </w:r>
      <w:r w:rsidRPr="00CB5E80">
        <w:t xml:space="preserve">his </w:t>
      </w:r>
      <w:r>
        <w:t>paper</w:t>
      </w:r>
      <w:r w:rsidRPr="00CB5E80">
        <w:t xml:space="preserve"> </w:t>
      </w:r>
      <w:r>
        <w:t xml:space="preserve">examines </w:t>
      </w:r>
      <w:r w:rsidRPr="00CB5E80">
        <w:t>how climate change is represented</w:t>
      </w:r>
      <w:r>
        <w:t xml:space="preserve"> with</w:t>
      </w:r>
      <w:r w:rsidRPr="00CB5E80">
        <w:t>in the CEP’s area protection guidance documents and protected area management plans</w:t>
      </w:r>
      <w:r>
        <w:t>.</w:t>
      </w:r>
    </w:p>
    <w:p w14:paraId="45D051BD" w14:textId="77777777" w:rsidR="00356085" w:rsidRPr="00394D0C" w:rsidRDefault="00356085" w:rsidP="00356085">
      <w:pPr>
        <w:spacing w:before="480" w:after="120"/>
        <w:rPr>
          <w:rFonts w:ascii="Arial" w:hAnsi="Arial" w:cs="Arial"/>
          <w:b/>
          <w:bCs/>
          <w:i/>
          <w:iCs/>
          <w:sz w:val="24"/>
        </w:rPr>
      </w:pPr>
      <w:r w:rsidRPr="00394D0C">
        <w:rPr>
          <w:rFonts w:ascii="Arial" w:hAnsi="Arial" w:cs="Arial"/>
          <w:b/>
          <w:bCs/>
          <w:i/>
          <w:iCs/>
          <w:sz w:val="24"/>
        </w:rPr>
        <w:t>Background</w:t>
      </w:r>
    </w:p>
    <w:p w14:paraId="63DC8A49" w14:textId="77777777" w:rsidR="00356085" w:rsidRDefault="00356085" w:rsidP="00356085">
      <w:r w:rsidRPr="00A812AF">
        <w:t xml:space="preserve">Antarctica is increasingly vulnerable to </w:t>
      </w:r>
      <w:r w:rsidRPr="004F7147">
        <w:t>climate change impacts, with the continent predicted to warm by ~4 ◦C by 2100 under a ‘business as usual’ greenhouse gas emission scenario (see Figure 1).  At a continent-wide scale, the higher temperatures are predicted to increase precipitation by about 30% and result in a 30% reduction in sea ice extent. Predicted warming could result in up to a three-fold increase in the area of ice-free ground in the central and northern Antarctic Peninsula, and ice retreat across coastal areas of continental Antarctica, with substantial impacts upon biological communities</w:t>
      </w:r>
      <w:r>
        <w:t xml:space="preserve"> (see also </w:t>
      </w:r>
      <w:hyperlink r:id="rId14" w:history="1">
        <w:r w:rsidRPr="004F7147">
          <w:rPr>
            <w:rStyle w:val="Hipervnculo"/>
          </w:rPr>
          <w:t>ATCMXLIII WP17</w:t>
        </w:r>
      </w:hyperlink>
      <w:r>
        <w:t>).</w:t>
      </w:r>
    </w:p>
    <w:p w14:paraId="1EB20F6D" w14:textId="77777777" w:rsidR="00356085" w:rsidRDefault="00356085" w:rsidP="00356085">
      <w:r>
        <w:t>T</w:t>
      </w:r>
      <w:r w:rsidRPr="00A812AF">
        <w:t xml:space="preserve">he </w:t>
      </w:r>
      <w:r w:rsidRPr="00A812AF">
        <w:rPr>
          <w:lang w:val="en-US"/>
        </w:rPr>
        <w:t xml:space="preserve">Climate Change Response Work </w:t>
      </w:r>
      <w:proofErr w:type="spellStart"/>
      <w:r w:rsidRPr="00A812AF">
        <w:rPr>
          <w:lang w:val="en-US"/>
        </w:rPr>
        <w:t>Programme</w:t>
      </w:r>
      <w:proofErr w:type="spellEnd"/>
      <w:r w:rsidRPr="00A812AF">
        <w:rPr>
          <w:lang w:val="en-US"/>
        </w:rPr>
        <w:t xml:space="preserve"> (CCRWP) provides a mechanism for identifying and revising</w:t>
      </w:r>
      <w:r w:rsidRPr="00A812AF">
        <w:rPr>
          <w:color w:val="FF0000"/>
          <w:lang w:val="en-US"/>
        </w:rPr>
        <w:t xml:space="preserve"> </w:t>
      </w:r>
      <w:r w:rsidRPr="00A812AF">
        <w:rPr>
          <w:lang w:val="en-US"/>
        </w:rPr>
        <w:t>goals and specific actions by the CEP to support efforts within the Antarctic Treaty System to prepare for, and build resilience to, the environmental impacts of a changing climate and the associated implications for the governance and management of Antarctica.</w:t>
      </w:r>
      <w:r>
        <w:t xml:space="preserve">  </w:t>
      </w:r>
      <w:r w:rsidRPr="00394D0C">
        <w:t xml:space="preserve">Within the </w:t>
      </w:r>
      <w:r>
        <w:t>CCRWP</w:t>
      </w:r>
      <w:r w:rsidRPr="00394D0C">
        <w:t xml:space="preserve"> issue </w:t>
      </w:r>
      <w:r>
        <w:t>‘</w:t>
      </w:r>
      <w:r w:rsidRPr="00394D0C">
        <w:t>Change to the terrestrial (including aquatic) biotic and abiotic environment due to climate change</w:t>
      </w:r>
      <w:r>
        <w:t>’, Ac</w:t>
      </w:r>
      <w:r w:rsidRPr="00394D0C">
        <w:t>tion 2</w:t>
      </w:r>
      <w:r>
        <w:t>(</w:t>
      </w:r>
      <w:r w:rsidRPr="00394D0C">
        <w:t>e</w:t>
      </w:r>
      <w:r>
        <w:t>)</w:t>
      </w:r>
      <w:r w:rsidRPr="00394D0C">
        <w:t xml:space="preserve"> is to</w:t>
      </w:r>
      <w:r>
        <w:t>:</w:t>
      </w:r>
      <w:r w:rsidRPr="00394D0C">
        <w:t xml:space="preserve"> ‘</w:t>
      </w:r>
      <w:r w:rsidRPr="00C230D1">
        <w:rPr>
          <w:i/>
          <w:iCs/>
        </w:rPr>
        <w:t>Review and revise where necessary existing management tools to consider if they aﬀord the best practical adaptation measure to areas at risk from climate change</w:t>
      </w:r>
      <w:r w:rsidRPr="00394D0C">
        <w:t>’.  In an effort to provide information to support the Committee</w:t>
      </w:r>
      <w:r>
        <w:t>’</w:t>
      </w:r>
      <w:r w:rsidRPr="00394D0C">
        <w:t xml:space="preserve">s work on this Action, the United Kingdom undertook a review of </w:t>
      </w:r>
      <w:r>
        <w:t xml:space="preserve">how climate change is represented in the CEP’s area protection guidance documents and within the management plans for Antarctic Specially Protected Areas (ASPAs) and Antarctic Specially Managed Areas (ASMAs).  The research is published in a peer-reviewed journal (see </w:t>
      </w:r>
      <w:r w:rsidRPr="00F82B1D">
        <w:rPr>
          <w:u w:val="single"/>
        </w:rPr>
        <w:t>Attachment A</w:t>
      </w:r>
      <w:r>
        <w:t>)</w:t>
      </w:r>
      <w:r w:rsidRPr="00A3216F">
        <w:t>: Hughes, K</w:t>
      </w:r>
      <w:r>
        <w:t>.</w:t>
      </w:r>
      <w:r w:rsidRPr="00A3216F">
        <w:t>A., Convey, P</w:t>
      </w:r>
      <w:r>
        <w:t>.</w:t>
      </w:r>
      <w:r w:rsidRPr="00A3216F">
        <w:t xml:space="preserve">, </w:t>
      </w:r>
      <w:r>
        <w:t xml:space="preserve">and </w:t>
      </w:r>
      <w:r w:rsidRPr="00A3216F">
        <w:t>Turner, J</w:t>
      </w:r>
      <w:r>
        <w:t>.</w:t>
      </w:r>
      <w:r w:rsidRPr="00A3216F">
        <w:t xml:space="preserve"> (2021)</w:t>
      </w:r>
      <w:r>
        <w:t>.</w:t>
      </w:r>
      <w:r w:rsidRPr="00A3216F">
        <w:t xml:space="preserve"> </w:t>
      </w:r>
      <w:hyperlink r:id="rId15" w:history="1">
        <w:r w:rsidRPr="00A3216F">
          <w:rPr>
            <w:rStyle w:val="Hipervnculo"/>
          </w:rPr>
          <w:t>Developing resilience to climate change impacts in Antarctica: An evaluation of Antarctic Treaty System protected area policy</w:t>
        </w:r>
      </w:hyperlink>
      <w:r w:rsidRPr="00A3216F">
        <w:t xml:space="preserve">. </w:t>
      </w:r>
      <w:r w:rsidRPr="00A3216F">
        <w:rPr>
          <w:rStyle w:val="nfasis"/>
        </w:rPr>
        <w:t>Environmental Science &amp; Policy</w:t>
      </w:r>
      <w:r w:rsidRPr="00A3216F">
        <w:t xml:space="preserve"> 124</w:t>
      </w:r>
      <w:r>
        <w:t>,</w:t>
      </w:r>
      <w:r w:rsidRPr="00A3216F">
        <w:t xml:space="preserve"> 12-22. </w:t>
      </w:r>
    </w:p>
    <w:p w14:paraId="30069A92" w14:textId="77777777" w:rsidR="00356085" w:rsidRPr="00AD2606" w:rsidRDefault="00356085" w:rsidP="00356085">
      <w:pPr>
        <w:spacing w:before="480" w:after="120"/>
        <w:rPr>
          <w:rFonts w:ascii="Arial" w:hAnsi="Arial" w:cs="Arial"/>
          <w:b/>
          <w:bCs/>
          <w:i/>
          <w:iCs/>
          <w:sz w:val="24"/>
        </w:rPr>
      </w:pPr>
      <w:r w:rsidRPr="00AD2606">
        <w:rPr>
          <w:rFonts w:ascii="Arial" w:hAnsi="Arial" w:cs="Arial"/>
          <w:b/>
          <w:bCs/>
          <w:i/>
          <w:iCs/>
          <w:sz w:val="24"/>
        </w:rPr>
        <w:t xml:space="preserve">Results </w:t>
      </w:r>
    </w:p>
    <w:p w14:paraId="0864A1F1" w14:textId="77777777" w:rsidR="00356085" w:rsidRPr="009D263E" w:rsidRDefault="00356085" w:rsidP="00356085">
      <w:r>
        <w:t>C</w:t>
      </w:r>
      <w:r w:rsidRPr="00A3216F">
        <w:t xml:space="preserve">limate change is not mentioned explicitly in the Protocol on Environmental Protection to the Antarctic Treaty and is little considered in guidelines for the designation and </w:t>
      </w:r>
      <w:r w:rsidRPr="00C230D1">
        <w:t>management of the region’s existing protected areas</w:t>
      </w:r>
      <w:r>
        <w:t xml:space="preserve">.  For example, climate change is not considered in </w:t>
      </w:r>
      <w:r w:rsidRPr="00C230D1">
        <w:t>those guidance documents concerning Historic Sites and Monuments, inspection of ASPAs, or consideration of new and revised draft ASPA and ASMA management plans</w:t>
      </w:r>
      <w:r>
        <w:t>.</w:t>
      </w:r>
    </w:p>
    <w:p w14:paraId="17A5584B" w14:textId="77777777" w:rsidR="00356085" w:rsidRDefault="00356085" w:rsidP="00356085">
      <w:r w:rsidRPr="009D263E">
        <w:t xml:space="preserve">Climate change was considered in approximately one third of ASPA management plans, but in almost all cases, this was primarily in the context of scientific research activities. </w:t>
      </w:r>
      <w:r>
        <w:t>C</w:t>
      </w:r>
      <w:r w:rsidRPr="00C230D1">
        <w:t xml:space="preserve">limate change impacts </w:t>
      </w:r>
      <w:r>
        <w:t>on the protected area we</w:t>
      </w:r>
      <w:r w:rsidRPr="00C230D1">
        <w:t>re considered in only 17% of A</w:t>
      </w:r>
      <w:r>
        <w:t>SPA</w:t>
      </w:r>
      <w:r w:rsidRPr="00C230D1">
        <w:t xml:space="preserve"> </w:t>
      </w:r>
      <w:r>
        <w:t>m</w:t>
      </w:r>
      <w:r w:rsidRPr="00C230D1">
        <w:t xml:space="preserve">anagement </w:t>
      </w:r>
      <w:r>
        <w:t>p</w:t>
      </w:r>
      <w:r w:rsidRPr="00C230D1">
        <w:t>lans</w:t>
      </w:r>
      <w:r w:rsidRPr="009D263E">
        <w:t xml:space="preserve">.  Only 6% of </w:t>
      </w:r>
      <w:r>
        <w:t xml:space="preserve">ASPA </w:t>
      </w:r>
      <w:r w:rsidRPr="009D263E">
        <w:t>management plans noted that climate change had already caused changes to the management of the protected area (e.g., revision</w:t>
      </w:r>
      <w:r>
        <w:t>s</w:t>
      </w:r>
      <w:r w:rsidRPr="009D263E">
        <w:t xml:space="preserve"> to </w:t>
      </w:r>
      <w:r>
        <w:t xml:space="preserve">area </w:t>
      </w:r>
      <w:r w:rsidRPr="009D263E">
        <w:t>boundaries), all of which were located in the Antarctic Peninsula and Scotia Arc.</w:t>
      </w:r>
      <w:r>
        <w:t xml:space="preserve"> Overall, there was inconsistency regarding the most appropriate section(s) of the management plan for the consideration of climate change.</w:t>
      </w:r>
    </w:p>
    <w:p w14:paraId="3D39027F" w14:textId="77777777" w:rsidR="00356085" w:rsidRDefault="00356085" w:rsidP="00356085">
      <w:r>
        <w:lastRenderedPageBreak/>
        <w:t xml:space="preserve">Climate change-related effects observed within protected areas included declines in emperor penguin populations (ASPA 107), declines in </w:t>
      </w:r>
      <w:proofErr w:type="spellStart"/>
      <w:r>
        <w:t>Adélie</w:t>
      </w:r>
      <w:proofErr w:type="spellEnd"/>
      <w:r>
        <w:t xml:space="preserve"> and chinstrap penguin populations (ASPAs 113, 128, 139), increases </w:t>
      </w:r>
      <w:r w:rsidRPr="003A541B">
        <w:t xml:space="preserve">in gentoo </w:t>
      </w:r>
      <w:r>
        <w:t xml:space="preserve">penguin </w:t>
      </w:r>
      <w:r w:rsidRPr="003A541B">
        <w:t>populations (ASPAs 128 and 139), substantial ice retreat (ASPAs 126, 128, 139), changes in vegetation cover, diversity and community composition</w:t>
      </w:r>
      <w:r>
        <w:t xml:space="preserve"> (ASPA 113, 135, 151) and establishment of non-native plants (ASPAs 128, 134; ASMAs 1, 4).</w:t>
      </w:r>
    </w:p>
    <w:p w14:paraId="4F21A664" w14:textId="77777777" w:rsidR="00356085" w:rsidRDefault="00356085" w:rsidP="00356085">
      <w:pPr>
        <w:spacing w:before="480" w:after="120"/>
        <w:rPr>
          <w:rFonts w:ascii="Arial" w:hAnsi="Arial" w:cs="Arial"/>
          <w:b/>
          <w:bCs/>
          <w:i/>
          <w:iCs/>
          <w:sz w:val="24"/>
        </w:rPr>
      </w:pPr>
      <w:r w:rsidRPr="00B47CEE">
        <w:rPr>
          <w:rFonts w:ascii="Arial" w:hAnsi="Arial" w:cs="Arial"/>
          <w:b/>
          <w:bCs/>
          <w:i/>
          <w:iCs/>
          <w:sz w:val="24"/>
        </w:rPr>
        <w:t>Conclusions</w:t>
      </w:r>
    </w:p>
    <w:p w14:paraId="58F92584" w14:textId="77777777" w:rsidR="00356085" w:rsidRDefault="00356085" w:rsidP="00356085">
      <w:r>
        <w:t>A</w:t>
      </w:r>
      <w:r w:rsidRPr="00120FC2">
        <w:t xml:space="preserve">n integrated protected area system </w:t>
      </w:r>
      <w:r>
        <w:t xml:space="preserve">is likely </w:t>
      </w:r>
      <w:r w:rsidRPr="00120FC2">
        <w:t>to provide</w:t>
      </w:r>
      <w:r>
        <w:t xml:space="preserve"> Antarctic species and habitats with increased </w:t>
      </w:r>
      <w:r w:rsidRPr="00120FC2">
        <w:t>resilience to climate change.</w:t>
      </w:r>
      <w:r>
        <w:t xml:space="preserve"> </w:t>
      </w:r>
      <w:r w:rsidRPr="00120FC2">
        <w:t xml:space="preserve">However, existing guidance on climate change impacts within protected areas has largely taken a limited view, focussing on protected areas as individual units. The provision of an integrated strategy that sets out the blueprint for the use of the wider Antarctic protected area system to provide climate change resilience has yet to be developed.  Designation of a number of new protected areas (including a potential move toward designation of a smaller number of larger areas) and integration of existing areas are likely to be components of a practical solution. Facilitating this, researchers could provide information on the distribution of recognised biotic and abiotic values, the predicted spatial extent of climate change under different greenhouse gas emission scenarios and likely impacts upon biological groups, ecosystems and environments. Researchers could also consider the characteristics of locations that may act as climate change </w:t>
      </w:r>
      <w:r w:rsidRPr="0017172B">
        <w:t>refugia</w:t>
      </w:r>
      <w:r w:rsidRPr="00120FC2">
        <w:t xml:space="preserve">, including candidate sites.  </w:t>
      </w:r>
    </w:p>
    <w:p w14:paraId="692114F6" w14:textId="77777777" w:rsidR="00356085" w:rsidRDefault="00356085" w:rsidP="00356085"/>
    <w:p w14:paraId="352E23AB" w14:textId="77777777" w:rsidR="00356085" w:rsidRPr="00120FC2" w:rsidRDefault="00356085" w:rsidP="00356085">
      <w:r w:rsidRPr="00120FC2">
        <w:t>Ultimately, reducing global greenhouse gas emission will provide the greatest protection from climate change impacts within Antarctica.</w:t>
      </w:r>
    </w:p>
    <w:p w14:paraId="461B2C17" w14:textId="77777777" w:rsidR="00356085" w:rsidRDefault="00356085" w:rsidP="00356085">
      <w:pPr>
        <w:rPr>
          <w:b/>
          <w:bCs/>
          <w:sz w:val="24"/>
        </w:rPr>
      </w:pPr>
    </w:p>
    <w:p w14:paraId="1B774773" w14:textId="77777777" w:rsidR="00356085" w:rsidRDefault="00356085" w:rsidP="00356085">
      <w:pPr>
        <w:jc w:val="center"/>
        <w:rPr>
          <w:b/>
          <w:bCs/>
          <w:sz w:val="24"/>
        </w:rPr>
      </w:pPr>
      <w:r>
        <w:rPr>
          <w:noProof/>
          <w:lang w:eastAsia="en-GB"/>
        </w:rPr>
        <w:lastRenderedPageBreak/>
        <w:drawing>
          <wp:inline distT="0" distB="0" distL="0" distR="0" wp14:anchorId="4823928D" wp14:editId="17B9F3FB">
            <wp:extent cx="3355969" cy="7155180"/>
            <wp:effectExtent l="0" t="0" r="0" b="7620"/>
            <wp:docPr id="2" name="Picture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n que contiene Texto&#10;&#10;Descripción generada automáticamente"/>
                    <pic:cNvPicPr/>
                  </pic:nvPicPr>
                  <pic:blipFill rotWithShape="1">
                    <a:blip r:embed="rId16"/>
                    <a:srcRect l="51584" t="14418" r="27277" b="5455"/>
                    <a:stretch/>
                  </pic:blipFill>
                  <pic:spPr bwMode="auto">
                    <a:xfrm>
                      <a:off x="0" y="0"/>
                      <a:ext cx="3403038" cy="7255534"/>
                    </a:xfrm>
                    <a:prstGeom prst="rect">
                      <a:avLst/>
                    </a:prstGeom>
                    <a:ln>
                      <a:noFill/>
                    </a:ln>
                    <a:extLst>
                      <a:ext uri="{53640926-AAD7-44D8-BBD7-CCE9431645EC}">
                        <a14:shadowObscured xmlns:a14="http://schemas.microsoft.com/office/drawing/2010/main"/>
                      </a:ext>
                    </a:extLst>
                  </pic:spPr>
                </pic:pic>
              </a:graphicData>
            </a:graphic>
          </wp:inline>
        </w:drawing>
      </w:r>
    </w:p>
    <w:p w14:paraId="49FCB921" w14:textId="77777777" w:rsidR="00356085" w:rsidRDefault="00356085" w:rsidP="00356085">
      <w:pPr>
        <w:jc w:val="center"/>
        <w:rPr>
          <w:b/>
          <w:bCs/>
          <w:sz w:val="24"/>
        </w:rPr>
      </w:pPr>
    </w:p>
    <w:p w14:paraId="7F570339" w14:textId="77777777" w:rsidR="00356085" w:rsidRDefault="00356085" w:rsidP="00356085">
      <w:r w:rsidRPr="00735D59">
        <w:t>Figure 1. The projected 2 m annual mean air temperature changes between the means of 1970-1999 and 2070-2099 as determined from the mean of one ensemble member from each of the currently available models used in the Coupled Model Intercomparison Project 6 exercise. Data are shown for Shared Socioeconomic Pathways (SSPs) 245 (a) and 585 (b). The hatched areas indicate where &lt; 50% of the models project significant change or where &lt; 90% agree on the sign of the change. SSPs 245 and 585 represent respectively a stabilization of radiative forcing at 4.5 and 8.5 W per square metre by 2100, which can be regarded as essentially moderate or high greenhouse gas emission scenarios.</w:t>
      </w:r>
    </w:p>
    <w:p w14:paraId="549EE01D" w14:textId="77777777" w:rsidR="00356085" w:rsidRDefault="00356085" w:rsidP="00952E9F"/>
    <w:sectPr w:rsidR="00356085" w:rsidSect="00283F0F">
      <w:headerReference w:type="default" r:id="rId17"/>
      <w:footerReference w:type="default" r:id="rId18"/>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C6FE6" w14:textId="77777777" w:rsidR="00000000" w:rsidRDefault="00356085">
      <w:r>
        <w:separator/>
      </w:r>
    </w:p>
  </w:endnote>
  <w:endnote w:type="continuationSeparator" w:id="0">
    <w:p w14:paraId="75D6B7F4" w14:textId="77777777" w:rsidR="00000000" w:rsidRDefault="00356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B2F6" w14:textId="77777777" w:rsidR="00FA0B9F" w:rsidRDefault="00356085" w:rsidP="00CF5C82">
    <w:pPr>
      <w:framePr w:wrap="around" w:vAnchor="text" w:hAnchor="margin" w:xAlign="right" w:y="1"/>
    </w:pPr>
    <w:r>
      <w:fldChar w:fldCharType="begin"/>
    </w:r>
    <w:r>
      <w:instrText xml:space="preserve">PAGE  </w:instrText>
    </w:r>
    <w:r>
      <w:fldChar w:fldCharType="separate"/>
    </w:r>
    <w:r>
      <w:fldChar w:fldCharType="end"/>
    </w:r>
  </w:p>
  <w:p w14:paraId="1F7584A6" w14:textId="77777777" w:rsidR="00FA0B9F" w:rsidRDefault="00356085"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6A6C6" w14:textId="77777777" w:rsidR="00FA0B9F" w:rsidRDefault="00356085"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A18B9B1" w14:textId="4A9F0947" w:rsidR="00FA0B9F" w:rsidRDefault="00356085" w:rsidP="00FA0B9F">
    <w:pPr>
      <w:ind w:right="360"/>
    </w:pPr>
    <w:r>
      <w:t xml:space="preserve">Attachments: </w:t>
    </w:r>
  </w:p>
  <w:p w14:paraId="5233B3A5" w14:textId="5CFE477F" w:rsidR="00356085" w:rsidRDefault="00356085" w:rsidP="00FA0B9F">
    <w:pPr>
      <w:ind w:right="360"/>
    </w:pPr>
    <w:r>
      <w:t xml:space="preserve">Atcm44_att080_e.pdf: </w:t>
    </w:r>
    <w:r w:rsidRPr="00356085">
      <w:t>Attachment A - Developing resilience to climate change impacts in Antarctica: An evaluation of Antarctic Treaty System protected area policy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2713D" w14:textId="77777777" w:rsidR="00356085" w:rsidRDefault="0035608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320A" w14:textId="77777777" w:rsidR="00E311C9" w:rsidRDefault="00356085"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C1258C3" w14:textId="77777777" w:rsidR="00E311C9" w:rsidRDefault="00356085"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840C8" w14:textId="77777777" w:rsidR="00000000" w:rsidRDefault="00356085">
      <w:r>
        <w:separator/>
      </w:r>
    </w:p>
  </w:footnote>
  <w:footnote w:type="continuationSeparator" w:id="0">
    <w:p w14:paraId="446B2275" w14:textId="77777777" w:rsidR="00000000" w:rsidRDefault="00356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E713B" w14:textId="77777777" w:rsidR="00356085" w:rsidRDefault="0035608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401F32" w14:paraId="58FB3D8C" w14:textId="77777777" w:rsidTr="00490760">
      <w:trPr>
        <w:trHeight w:val="344"/>
        <w:jc w:val="center"/>
      </w:trPr>
      <w:tc>
        <w:tcPr>
          <w:tcW w:w="5495" w:type="dxa"/>
        </w:tcPr>
        <w:p w14:paraId="687C0F07" w14:textId="77777777" w:rsidR="00DB7C09" w:rsidRDefault="00356085" w:rsidP="00F968D4"/>
      </w:tc>
      <w:tc>
        <w:tcPr>
          <w:tcW w:w="4253" w:type="dxa"/>
          <w:gridSpan w:val="2"/>
        </w:tcPr>
        <w:p w14:paraId="7A59703B" w14:textId="77777777" w:rsidR="00DB7C09" w:rsidRPr="00BD47E4" w:rsidRDefault="00356085" w:rsidP="002A07BC">
          <w:pPr>
            <w:jc w:val="right"/>
            <w:rPr>
              <w:b/>
              <w:sz w:val="32"/>
              <w:szCs w:val="32"/>
            </w:rPr>
          </w:pPr>
          <w:bookmarkStart w:id="2" w:name="type"/>
          <w:r w:rsidRPr="00BD47E4">
            <w:rPr>
              <w:b/>
              <w:sz w:val="32"/>
              <w:szCs w:val="32"/>
            </w:rPr>
            <w:t>IP</w:t>
          </w:r>
          <w:bookmarkEnd w:id="2"/>
        </w:p>
      </w:tc>
      <w:tc>
        <w:tcPr>
          <w:tcW w:w="1524" w:type="dxa"/>
          <w:gridSpan w:val="2"/>
        </w:tcPr>
        <w:p w14:paraId="54338ED4" w14:textId="77777777" w:rsidR="00DB7C09" w:rsidRPr="00BD47E4" w:rsidRDefault="00356085" w:rsidP="00DB7C09">
          <w:pPr>
            <w:rPr>
              <w:b/>
              <w:sz w:val="32"/>
              <w:szCs w:val="32"/>
            </w:rPr>
          </w:pPr>
          <w:bookmarkStart w:id="3" w:name="number"/>
          <w:r w:rsidRPr="00BD47E4">
            <w:rPr>
              <w:b/>
              <w:sz w:val="32"/>
              <w:szCs w:val="32"/>
            </w:rPr>
            <w:t>22</w:t>
          </w:r>
          <w:bookmarkEnd w:id="3"/>
        </w:p>
      </w:tc>
    </w:tr>
    <w:tr w:rsidR="00401F32" w14:paraId="2775B366" w14:textId="77777777" w:rsidTr="00490760">
      <w:trPr>
        <w:trHeight w:val="2165"/>
        <w:jc w:val="center"/>
      </w:trPr>
      <w:tc>
        <w:tcPr>
          <w:tcW w:w="5495" w:type="dxa"/>
        </w:tcPr>
        <w:p w14:paraId="3974F83B" w14:textId="77777777" w:rsidR="00490760" w:rsidRPr="00EE4D48" w:rsidRDefault="00356085" w:rsidP="002A07BC">
          <w:pPr>
            <w:rPr>
              <w:b/>
              <w:sz w:val="28"/>
              <w:szCs w:val="28"/>
            </w:rPr>
          </w:pPr>
          <w:r>
            <w:rPr>
              <w:noProof/>
            </w:rPr>
            <w:drawing>
              <wp:inline distT="0" distB="0" distL="0" distR="0" wp14:anchorId="1A10C164" wp14:editId="0FD7CB29">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42415"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5763B724" w14:textId="77777777" w:rsidR="00490760" w:rsidRPr="00FE5146" w:rsidRDefault="00356085" w:rsidP="00490760">
          <w:pPr>
            <w:jc w:val="right"/>
            <w:rPr>
              <w:sz w:val="144"/>
              <w:szCs w:val="144"/>
            </w:rPr>
          </w:pPr>
          <w:r w:rsidRPr="00FE5146">
            <w:rPr>
              <w:sz w:val="144"/>
              <w:szCs w:val="144"/>
            </w:rPr>
            <w:t>ENG</w:t>
          </w:r>
        </w:p>
      </w:tc>
    </w:tr>
    <w:tr w:rsidR="00401F32" w14:paraId="2F757374" w14:textId="77777777" w:rsidTr="00BD47E4">
      <w:trPr>
        <w:trHeight w:val="409"/>
        <w:jc w:val="center"/>
      </w:trPr>
      <w:tc>
        <w:tcPr>
          <w:tcW w:w="9039" w:type="dxa"/>
          <w:gridSpan w:val="2"/>
        </w:tcPr>
        <w:p w14:paraId="6970294B" w14:textId="77777777" w:rsidR="00BD47E4" w:rsidRDefault="00356085" w:rsidP="002C30DA">
          <w:pPr>
            <w:jc w:val="right"/>
          </w:pPr>
          <w:r>
            <w:t>Agenda Item:</w:t>
          </w:r>
        </w:p>
      </w:tc>
      <w:tc>
        <w:tcPr>
          <w:tcW w:w="1843" w:type="dxa"/>
          <w:gridSpan w:val="2"/>
        </w:tcPr>
        <w:p w14:paraId="0EED08E7" w14:textId="77777777" w:rsidR="00BD47E4" w:rsidRDefault="00356085" w:rsidP="002C30DA">
          <w:pPr>
            <w:jc w:val="right"/>
          </w:pPr>
          <w:bookmarkStart w:id="4" w:name="agenda"/>
          <w:r>
            <w:t>CEP 7b</w:t>
          </w:r>
          <w:bookmarkEnd w:id="4"/>
        </w:p>
      </w:tc>
      <w:tc>
        <w:tcPr>
          <w:tcW w:w="390" w:type="dxa"/>
        </w:tcPr>
        <w:p w14:paraId="367B338D" w14:textId="77777777" w:rsidR="00BD47E4" w:rsidRDefault="00356085" w:rsidP="00387A65">
          <w:pPr>
            <w:jc w:val="right"/>
          </w:pPr>
        </w:p>
      </w:tc>
    </w:tr>
    <w:tr w:rsidR="00401F32" w14:paraId="6413E0CE" w14:textId="77777777" w:rsidTr="00BD47E4">
      <w:trPr>
        <w:trHeight w:val="397"/>
        <w:jc w:val="center"/>
      </w:trPr>
      <w:tc>
        <w:tcPr>
          <w:tcW w:w="9039" w:type="dxa"/>
          <w:gridSpan w:val="2"/>
        </w:tcPr>
        <w:p w14:paraId="47DAEAB4" w14:textId="77777777" w:rsidR="00BD47E4" w:rsidRDefault="00356085" w:rsidP="002C30DA">
          <w:pPr>
            <w:jc w:val="right"/>
          </w:pPr>
          <w:r>
            <w:t>Presented by:</w:t>
          </w:r>
        </w:p>
      </w:tc>
      <w:tc>
        <w:tcPr>
          <w:tcW w:w="1843" w:type="dxa"/>
          <w:gridSpan w:val="2"/>
        </w:tcPr>
        <w:p w14:paraId="346AD2C2" w14:textId="77777777" w:rsidR="00BD47E4" w:rsidRDefault="00356085" w:rsidP="002C30DA">
          <w:pPr>
            <w:jc w:val="right"/>
          </w:pPr>
          <w:bookmarkStart w:id="5" w:name="party"/>
          <w:r>
            <w:t>United Kingdom</w:t>
          </w:r>
          <w:bookmarkEnd w:id="5"/>
        </w:p>
      </w:tc>
      <w:tc>
        <w:tcPr>
          <w:tcW w:w="390" w:type="dxa"/>
        </w:tcPr>
        <w:p w14:paraId="01242E61" w14:textId="77777777" w:rsidR="00BD47E4" w:rsidRDefault="00356085" w:rsidP="00387A65">
          <w:pPr>
            <w:jc w:val="right"/>
          </w:pPr>
        </w:p>
      </w:tc>
    </w:tr>
    <w:tr w:rsidR="00401F32" w14:paraId="6D914F2E" w14:textId="77777777" w:rsidTr="00BD47E4">
      <w:trPr>
        <w:trHeight w:val="409"/>
        <w:jc w:val="center"/>
      </w:trPr>
      <w:tc>
        <w:tcPr>
          <w:tcW w:w="9039" w:type="dxa"/>
          <w:gridSpan w:val="2"/>
        </w:tcPr>
        <w:p w14:paraId="69A4270F" w14:textId="77777777" w:rsidR="00BD47E4" w:rsidRDefault="00356085" w:rsidP="002C30DA">
          <w:pPr>
            <w:jc w:val="right"/>
          </w:pPr>
          <w:r>
            <w:t>Original:</w:t>
          </w:r>
        </w:p>
      </w:tc>
      <w:tc>
        <w:tcPr>
          <w:tcW w:w="1843" w:type="dxa"/>
          <w:gridSpan w:val="2"/>
        </w:tcPr>
        <w:p w14:paraId="597B6927" w14:textId="77777777" w:rsidR="00BD47E4" w:rsidRDefault="00356085" w:rsidP="002C30DA">
          <w:pPr>
            <w:jc w:val="right"/>
          </w:pPr>
          <w:bookmarkStart w:id="6" w:name="language"/>
          <w:r>
            <w:t>English</w:t>
          </w:r>
          <w:bookmarkEnd w:id="6"/>
        </w:p>
      </w:tc>
      <w:tc>
        <w:tcPr>
          <w:tcW w:w="390" w:type="dxa"/>
        </w:tcPr>
        <w:p w14:paraId="6E7DDCEC" w14:textId="77777777" w:rsidR="00BD47E4" w:rsidRDefault="00356085" w:rsidP="00387A65">
          <w:pPr>
            <w:jc w:val="right"/>
          </w:pPr>
        </w:p>
      </w:tc>
    </w:tr>
    <w:tr w:rsidR="00401F32" w14:paraId="0041B96F" w14:textId="77777777" w:rsidTr="00BD47E4">
      <w:trPr>
        <w:trHeight w:val="409"/>
        <w:jc w:val="center"/>
      </w:trPr>
      <w:tc>
        <w:tcPr>
          <w:tcW w:w="9039" w:type="dxa"/>
          <w:gridSpan w:val="2"/>
        </w:tcPr>
        <w:p w14:paraId="7A9784E1" w14:textId="77777777" w:rsidR="0097629D" w:rsidRDefault="00356085" w:rsidP="002C30DA">
          <w:pPr>
            <w:jc w:val="right"/>
          </w:pPr>
          <w:r>
            <w:t>Submitted:</w:t>
          </w:r>
        </w:p>
      </w:tc>
      <w:tc>
        <w:tcPr>
          <w:tcW w:w="1843" w:type="dxa"/>
          <w:gridSpan w:val="2"/>
        </w:tcPr>
        <w:p w14:paraId="21D19E9B" w14:textId="77777777" w:rsidR="0097629D" w:rsidRDefault="00356085" w:rsidP="0097629D">
          <w:pPr>
            <w:jc w:val="right"/>
          </w:pPr>
          <w:bookmarkStart w:id="7" w:name="date_submission"/>
          <w:r>
            <w:t>8/4/2022</w:t>
          </w:r>
          <w:bookmarkEnd w:id="7"/>
        </w:p>
      </w:tc>
      <w:tc>
        <w:tcPr>
          <w:tcW w:w="390" w:type="dxa"/>
        </w:tcPr>
        <w:p w14:paraId="01BE6552" w14:textId="77777777" w:rsidR="0097629D" w:rsidRDefault="00356085" w:rsidP="00387A65">
          <w:pPr>
            <w:jc w:val="right"/>
          </w:pPr>
        </w:p>
      </w:tc>
    </w:tr>
  </w:tbl>
  <w:p w14:paraId="7473851B" w14:textId="77777777" w:rsidR="00AE5DD0" w:rsidRDefault="003560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D9CEC" w14:textId="77777777" w:rsidR="00356085" w:rsidRDefault="0035608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01F32" w14:paraId="645E05DA" w14:textId="77777777">
      <w:trPr>
        <w:trHeight w:val="354"/>
        <w:jc w:val="center"/>
      </w:trPr>
      <w:tc>
        <w:tcPr>
          <w:tcW w:w="9694" w:type="dxa"/>
        </w:tcPr>
        <w:p w14:paraId="58EE5D10" w14:textId="2056D536" w:rsidR="00AE5DD0" w:rsidRPr="00BD47E4" w:rsidRDefault="00356085" w:rsidP="00C26F2D">
          <w:pPr>
            <w:jc w:val="right"/>
            <w:rPr>
              <w:b/>
              <w:sz w:val="32"/>
              <w:szCs w:val="32"/>
            </w:rPr>
          </w:pPr>
          <w:r>
            <w:rPr>
              <w:b/>
              <w:sz w:val="32"/>
              <w:szCs w:val="32"/>
            </w:rPr>
            <w:t>IP</w:t>
          </w:r>
        </w:p>
      </w:tc>
      <w:tc>
        <w:tcPr>
          <w:tcW w:w="1332" w:type="dxa"/>
        </w:tcPr>
        <w:p w14:paraId="4B750C19" w14:textId="3547A4C5" w:rsidR="00AE5DD0" w:rsidRPr="00BD47E4" w:rsidRDefault="00356085" w:rsidP="00080F4C">
          <w:pPr>
            <w:rPr>
              <w:b/>
              <w:sz w:val="32"/>
              <w:szCs w:val="32"/>
            </w:rPr>
          </w:pPr>
          <w:r>
            <w:rPr>
              <w:b/>
              <w:sz w:val="32"/>
              <w:szCs w:val="32"/>
            </w:rPr>
            <w:t>22</w:t>
          </w:r>
        </w:p>
      </w:tc>
    </w:tr>
  </w:tbl>
  <w:p w14:paraId="0613762F" w14:textId="77777777" w:rsidR="00AE5DD0" w:rsidRDefault="003560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4C7A7264">
      <w:start w:val="1"/>
      <w:numFmt w:val="bullet"/>
      <w:pStyle w:val="ATSBullet1"/>
      <w:lvlText w:val=""/>
      <w:lvlJc w:val="left"/>
      <w:pPr>
        <w:tabs>
          <w:tab w:val="num" w:pos="360"/>
        </w:tabs>
        <w:ind w:left="360" w:hanging="360"/>
      </w:pPr>
      <w:rPr>
        <w:rFonts w:ascii="Symbol" w:hAnsi="Symbol" w:hint="default"/>
        <w:color w:val="auto"/>
      </w:rPr>
    </w:lvl>
    <w:lvl w:ilvl="1" w:tplc="DBDAF4EA" w:tentative="1">
      <w:start w:val="1"/>
      <w:numFmt w:val="bullet"/>
      <w:lvlText w:val="o"/>
      <w:lvlJc w:val="left"/>
      <w:pPr>
        <w:tabs>
          <w:tab w:val="num" w:pos="1440"/>
        </w:tabs>
        <w:ind w:left="1440" w:hanging="360"/>
      </w:pPr>
      <w:rPr>
        <w:rFonts w:ascii="Courier New" w:hAnsi="Courier New" w:cs="Courier New" w:hint="default"/>
      </w:rPr>
    </w:lvl>
    <w:lvl w:ilvl="2" w:tplc="7AEAC7B8" w:tentative="1">
      <w:start w:val="1"/>
      <w:numFmt w:val="bullet"/>
      <w:lvlText w:val=""/>
      <w:lvlJc w:val="left"/>
      <w:pPr>
        <w:tabs>
          <w:tab w:val="num" w:pos="2160"/>
        </w:tabs>
        <w:ind w:left="2160" w:hanging="360"/>
      </w:pPr>
      <w:rPr>
        <w:rFonts w:ascii="Wingdings" w:hAnsi="Wingdings" w:hint="default"/>
      </w:rPr>
    </w:lvl>
    <w:lvl w:ilvl="3" w:tplc="93F6E950" w:tentative="1">
      <w:start w:val="1"/>
      <w:numFmt w:val="bullet"/>
      <w:lvlText w:val=""/>
      <w:lvlJc w:val="left"/>
      <w:pPr>
        <w:tabs>
          <w:tab w:val="num" w:pos="2880"/>
        </w:tabs>
        <w:ind w:left="2880" w:hanging="360"/>
      </w:pPr>
      <w:rPr>
        <w:rFonts w:ascii="Symbol" w:hAnsi="Symbol" w:hint="default"/>
      </w:rPr>
    </w:lvl>
    <w:lvl w:ilvl="4" w:tplc="51C21218" w:tentative="1">
      <w:start w:val="1"/>
      <w:numFmt w:val="bullet"/>
      <w:lvlText w:val="o"/>
      <w:lvlJc w:val="left"/>
      <w:pPr>
        <w:tabs>
          <w:tab w:val="num" w:pos="3600"/>
        </w:tabs>
        <w:ind w:left="3600" w:hanging="360"/>
      </w:pPr>
      <w:rPr>
        <w:rFonts w:ascii="Courier New" w:hAnsi="Courier New" w:cs="Courier New" w:hint="default"/>
      </w:rPr>
    </w:lvl>
    <w:lvl w:ilvl="5" w:tplc="805E17F0" w:tentative="1">
      <w:start w:val="1"/>
      <w:numFmt w:val="bullet"/>
      <w:lvlText w:val=""/>
      <w:lvlJc w:val="left"/>
      <w:pPr>
        <w:tabs>
          <w:tab w:val="num" w:pos="4320"/>
        </w:tabs>
        <w:ind w:left="4320" w:hanging="360"/>
      </w:pPr>
      <w:rPr>
        <w:rFonts w:ascii="Wingdings" w:hAnsi="Wingdings" w:hint="default"/>
      </w:rPr>
    </w:lvl>
    <w:lvl w:ilvl="6" w:tplc="D898F11C" w:tentative="1">
      <w:start w:val="1"/>
      <w:numFmt w:val="bullet"/>
      <w:lvlText w:val=""/>
      <w:lvlJc w:val="left"/>
      <w:pPr>
        <w:tabs>
          <w:tab w:val="num" w:pos="5040"/>
        </w:tabs>
        <w:ind w:left="5040" w:hanging="360"/>
      </w:pPr>
      <w:rPr>
        <w:rFonts w:ascii="Symbol" w:hAnsi="Symbol" w:hint="default"/>
      </w:rPr>
    </w:lvl>
    <w:lvl w:ilvl="7" w:tplc="511E7A50" w:tentative="1">
      <w:start w:val="1"/>
      <w:numFmt w:val="bullet"/>
      <w:lvlText w:val="o"/>
      <w:lvlJc w:val="left"/>
      <w:pPr>
        <w:tabs>
          <w:tab w:val="num" w:pos="5760"/>
        </w:tabs>
        <w:ind w:left="5760" w:hanging="360"/>
      </w:pPr>
      <w:rPr>
        <w:rFonts w:ascii="Courier New" w:hAnsi="Courier New" w:cs="Courier New" w:hint="default"/>
      </w:rPr>
    </w:lvl>
    <w:lvl w:ilvl="8" w:tplc="EAD8170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D1A0D98">
      <w:start w:val="1"/>
      <w:numFmt w:val="decimal"/>
      <w:lvlText w:val="%1)"/>
      <w:lvlJc w:val="left"/>
      <w:pPr>
        <w:tabs>
          <w:tab w:val="num" w:pos="340"/>
        </w:tabs>
        <w:ind w:left="340" w:hanging="340"/>
      </w:pPr>
      <w:rPr>
        <w:rFonts w:hint="default"/>
      </w:rPr>
    </w:lvl>
    <w:lvl w:ilvl="1" w:tplc="D550DFAE" w:tentative="1">
      <w:start w:val="1"/>
      <w:numFmt w:val="lowerLetter"/>
      <w:lvlText w:val="%2."/>
      <w:lvlJc w:val="left"/>
      <w:pPr>
        <w:tabs>
          <w:tab w:val="num" w:pos="1440"/>
        </w:tabs>
        <w:ind w:left="1440" w:hanging="360"/>
      </w:pPr>
    </w:lvl>
    <w:lvl w:ilvl="2" w:tplc="A3D0E91C" w:tentative="1">
      <w:start w:val="1"/>
      <w:numFmt w:val="lowerRoman"/>
      <w:lvlText w:val="%3."/>
      <w:lvlJc w:val="right"/>
      <w:pPr>
        <w:tabs>
          <w:tab w:val="num" w:pos="2160"/>
        </w:tabs>
        <w:ind w:left="2160" w:hanging="180"/>
      </w:pPr>
    </w:lvl>
    <w:lvl w:ilvl="3" w:tplc="8C4EF6B4" w:tentative="1">
      <w:start w:val="1"/>
      <w:numFmt w:val="decimal"/>
      <w:lvlText w:val="%4."/>
      <w:lvlJc w:val="left"/>
      <w:pPr>
        <w:tabs>
          <w:tab w:val="num" w:pos="2880"/>
        </w:tabs>
        <w:ind w:left="2880" w:hanging="360"/>
      </w:pPr>
    </w:lvl>
    <w:lvl w:ilvl="4" w:tplc="1DA0DCA6" w:tentative="1">
      <w:start w:val="1"/>
      <w:numFmt w:val="lowerLetter"/>
      <w:lvlText w:val="%5."/>
      <w:lvlJc w:val="left"/>
      <w:pPr>
        <w:tabs>
          <w:tab w:val="num" w:pos="3600"/>
        </w:tabs>
        <w:ind w:left="3600" w:hanging="360"/>
      </w:pPr>
    </w:lvl>
    <w:lvl w:ilvl="5" w:tplc="799E1372" w:tentative="1">
      <w:start w:val="1"/>
      <w:numFmt w:val="lowerRoman"/>
      <w:lvlText w:val="%6."/>
      <w:lvlJc w:val="right"/>
      <w:pPr>
        <w:tabs>
          <w:tab w:val="num" w:pos="4320"/>
        </w:tabs>
        <w:ind w:left="4320" w:hanging="180"/>
      </w:pPr>
    </w:lvl>
    <w:lvl w:ilvl="6" w:tplc="5506597C" w:tentative="1">
      <w:start w:val="1"/>
      <w:numFmt w:val="decimal"/>
      <w:lvlText w:val="%7."/>
      <w:lvlJc w:val="left"/>
      <w:pPr>
        <w:tabs>
          <w:tab w:val="num" w:pos="5040"/>
        </w:tabs>
        <w:ind w:left="5040" w:hanging="360"/>
      </w:pPr>
    </w:lvl>
    <w:lvl w:ilvl="7" w:tplc="42169AFA" w:tentative="1">
      <w:start w:val="1"/>
      <w:numFmt w:val="lowerLetter"/>
      <w:lvlText w:val="%8."/>
      <w:lvlJc w:val="left"/>
      <w:pPr>
        <w:tabs>
          <w:tab w:val="num" w:pos="5760"/>
        </w:tabs>
        <w:ind w:left="5760" w:hanging="360"/>
      </w:pPr>
    </w:lvl>
    <w:lvl w:ilvl="8" w:tplc="175204B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1D606586">
      <w:start w:val="1"/>
      <w:numFmt w:val="decimal"/>
      <w:lvlText w:val="%1."/>
      <w:lvlJc w:val="left"/>
      <w:pPr>
        <w:tabs>
          <w:tab w:val="num" w:pos="1057"/>
        </w:tabs>
        <w:ind w:left="1057" w:hanging="360"/>
      </w:pPr>
      <w:rPr>
        <w:rFonts w:hint="default"/>
      </w:rPr>
    </w:lvl>
    <w:lvl w:ilvl="1" w:tplc="24006710" w:tentative="1">
      <w:start w:val="1"/>
      <w:numFmt w:val="lowerLetter"/>
      <w:lvlText w:val="%2."/>
      <w:lvlJc w:val="left"/>
      <w:pPr>
        <w:tabs>
          <w:tab w:val="num" w:pos="2137"/>
        </w:tabs>
        <w:ind w:left="2137" w:hanging="360"/>
      </w:pPr>
    </w:lvl>
    <w:lvl w:ilvl="2" w:tplc="69AE94C6" w:tentative="1">
      <w:start w:val="1"/>
      <w:numFmt w:val="lowerRoman"/>
      <w:lvlText w:val="%3."/>
      <w:lvlJc w:val="right"/>
      <w:pPr>
        <w:tabs>
          <w:tab w:val="num" w:pos="2857"/>
        </w:tabs>
        <w:ind w:left="2857" w:hanging="180"/>
      </w:pPr>
    </w:lvl>
    <w:lvl w:ilvl="3" w:tplc="033A29A0" w:tentative="1">
      <w:start w:val="1"/>
      <w:numFmt w:val="decimal"/>
      <w:lvlText w:val="%4."/>
      <w:lvlJc w:val="left"/>
      <w:pPr>
        <w:tabs>
          <w:tab w:val="num" w:pos="3577"/>
        </w:tabs>
        <w:ind w:left="3577" w:hanging="360"/>
      </w:pPr>
    </w:lvl>
    <w:lvl w:ilvl="4" w:tplc="3A9A8EC2" w:tentative="1">
      <w:start w:val="1"/>
      <w:numFmt w:val="lowerLetter"/>
      <w:lvlText w:val="%5."/>
      <w:lvlJc w:val="left"/>
      <w:pPr>
        <w:tabs>
          <w:tab w:val="num" w:pos="4297"/>
        </w:tabs>
        <w:ind w:left="4297" w:hanging="360"/>
      </w:pPr>
    </w:lvl>
    <w:lvl w:ilvl="5" w:tplc="468E2732" w:tentative="1">
      <w:start w:val="1"/>
      <w:numFmt w:val="lowerRoman"/>
      <w:lvlText w:val="%6."/>
      <w:lvlJc w:val="right"/>
      <w:pPr>
        <w:tabs>
          <w:tab w:val="num" w:pos="5017"/>
        </w:tabs>
        <w:ind w:left="5017" w:hanging="180"/>
      </w:pPr>
    </w:lvl>
    <w:lvl w:ilvl="6" w:tplc="1DCC9828" w:tentative="1">
      <w:start w:val="1"/>
      <w:numFmt w:val="decimal"/>
      <w:lvlText w:val="%7."/>
      <w:lvlJc w:val="left"/>
      <w:pPr>
        <w:tabs>
          <w:tab w:val="num" w:pos="5737"/>
        </w:tabs>
        <w:ind w:left="5737" w:hanging="360"/>
      </w:pPr>
    </w:lvl>
    <w:lvl w:ilvl="7" w:tplc="B1B2AFEE" w:tentative="1">
      <w:start w:val="1"/>
      <w:numFmt w:val="lowerLetter"/>
      <w:lvlText w:val="%8."/>
      <w:lvlJc w:val="left"/>
      <w:pPr>
        <w:tabs>
          <w:tab w:val="num" w:pos="6457"/>
        </w:tabs>
        <w:ind w:left="6457" w:hanging="360"/>
      </w:pPr>
    </w:lvl>
    <w:lvl w:ilvl="8" w:tplc="E15887F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A760A6FA">
      <w:start w:val="1"/>
      <w:numFmt w:val="decimal"/>
      <w:pStyle w:val="ATSNumber1"/>
      <w:lvlText w:val="%1)"/>
      <w:lvlJc w:val="left"/>
      <w:pPr>
        <w:tabs>
          <w:tab w:val="num" w:pos="720"/>
        </w:tabs>
        <w:ind w:left="720" w:hanging="360"/>
      </w:pPr>
    </w:lvl>
    <w:lvl w:ilvl="1" w:tplc="35B6EB72" w:tentative="1">
      <w:start w:val="1"/>
      <w:numFmt w:val="lowerLetter"/>
      <w:lvlText w:val="%2."/>
      <w:lvlJc w:val="left"/>
      <w:pPr>
        <w:tabs>
          <w:tab w:val="num" w:pos="1440"/>
        </w:tabs>
        <w:ind w:left="1440" w:hanging="360"/>
      </w:pPr>
    </w:lvl>
    <w:lvl w:ilvl="2" w:tplc="2D8E1608" w:tentative="1">
      <w:start w:val="1"/>
      <w:numFmt w:val="lowerRoman"/>
      <w:lvlText w:val="%3."/>
      <w:lvlJc w:val="right"/>
      <w:pPr>
        <w:tabs>
          <w:tab w:val="num" w:pos="2160"/>
        </w:tabs>
        <w:ind w:left="2160" w:hanging="180"/>
      </w:pPr>
    </w:lvl>
    <w:lvl w:ilvl="3" w:tplc="B8FE634E" w:tentative="1">
      <w:start w:val="1"/>
      <w:numFmt w:val="decimal"/>
      <w:lvlText w:val="%4."/>
      <w:lvlJc w:val="left"/>
      <w:pPr>
        <w:tabs>
          <w:tab w:val="num" w:pos="2880"/>
        </w:tabs>
        <w:ind w:left="2880" w:hanging="360"/>
      </w:pPr>
    </w:lvl>
    <w:lvl w:ilvl="4" w:tplc="0AE2D3A4" w:tentative="1">
      <w:start w:val="1"/>
      <w:numFmt w:val="lowerLetter"/>
      <w:lvlText w:val="%5."/>
      <w:lvlJc w:val="left"/>
      <w:pPr>
        <w:tabs>
          <w:tab w:val="num" w:pos="3600"/>
        </w:tabs>
        <w:ind w:left="3600" w:hanging="360"/>
      </w:pPr>
    </w:lvl>
    <w:lvl w:ilvl="5" w:tplc="F3EC3000" w:tentative="1">
      <w:start w:val="1"/>
      <w:numFmt w:val="lowerRoman"/>
      <w:lvlText w:val="%6."/>
      <w:lvlJc w:val="right"/>
      <w:pPr>
        <w:tabs>
          <w:tab w:val="num" w:pos="4320"/>
        </w:tabs>
        <w:ind w:left="4320" w:hanging="180"/>
      </w:pPr>
    </w:lvl>
    <w:lvl w:ilvl="6" w:tplc="BF281BEE" w:tentative="1">
      <w:start w:val="1"/>
      <w:numFmt w:val="decimal"/>
      <w:lvlText w:val="%7."/>
      <w:lvlJc w:val="left"/>
      <w:pPr>
        <w:tabs>
          <w:tab w:val="num" w:pos="5040"/>
        </w:tabs>
        <w:ind w:left="5040" w:hanging="360"/>
      </w:pPr>
    </w:lvl>
    <w:lvl w:ilvl="7" w:tplc="DF1A8AFE" w:tentative="1">
      <w:start w:val="1"/>
      <w:numFmt w:val="lowerLetter"/>
      <w:lvlText w:val="%8."/>
      <w:lvlJc w:val="left"/>
      <w:pPr>
        <w:tabs>
          <w:tab w:val="num" w:pos="5760"/>
        </w:tabs>
        <w:ind w:left="5760" w:hanging="360"/>
      </w:pPr>
    </w:lvl>
    <w:lvl w:ilvl="8" w:tplc="DAD0E9D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A668CA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8205B62" w:tentative="1">
      <w:start w:val="1"/>
      <w:numFmt w:val="bullet"/>
      <w:lvlText w:val="o"/>
      <w:lvlJc w:val="left"/>
      <w:pPr>
        <w:tabs>
          <w:tab w:val="num" w:pos="2517"/>
        </w:tabs>
        <w:ind w:left="2517" w:hanging="360"/>
      </w:pPr>
      <w:rPr>
        <w:rFonts w:ascii="Courier New" w:hAnsi="Courier New" w:cs="Courier New" w:hint="default"/>
      </w:rPr>
    </w:lvl>
    <w:lvl w:ilvl="2" w:tplc="4E44DBFE" w:tentative="1">
      <w:start w:val="1"/>
      <w:numFmt w:val="bullet"/>
      <w:lvlText w:val=""/>
      <w:lvlJc w:val="left"/>
      <w:pPr>
        <w:tabs>
          <w:tab w:val="num" w:pos="3237"/>
        </w:tabs>
        <w:ind w:left="3237" w:hanging="360"/>
      </w:pPr>
      <w:rPr>
        <w:rFonts w:ascii="Wingdings" w:hAnsi="Wingdings" w:hint="default"/>
      </w:rPr>
    </w:lvl>
    <w:lvl w:ilvl="3" w:tplc="469AD626" w:tentative="1">
      <w:start w:val="1"/>
      <w:numFmt w:val="bullet"/>
      <w:lvlText w:val=""/>
      <w:lvlJc w:val="left"/>
      <w:pPr>
        <w:tabs>
          <w:tab w:val="num" w:pos="3957"/>
        </w:tabs>
        <w:ind w:left="3957" w:hanging="360"/>
      </w:pPr>
      <w:rPr>
        <w:rFonts w:ascii="Symbol" w:hAnsi="Symbol" w:hint="default"/>
      </w:rPr>
    </w:lvl>
    <w:lvl w:ilvl="4" w:tplc="02D27C8C" w:tentative="1">
      <w:start w:val="1"/>
      <w:numFmt w:val="bullet"/>
      <w:lvlText w:val="o"/>
      <w:lvlJc w:val="left"/>
      <w:pPr>
        <w:tabs>
          <w:tab w:val="num" w:pos="4677"/>
        </w:tabs>
        <w:ind w:left="4677" w:hanging="360"/>
      </w:pPr>
      <w:rPr>
        <w:rFonts w:ascii="Courier New" w:hAnsi="Courier New" w:cs="Courier New" w:hint="default"/>
      </w:rPr>
    </w:lvl>
    <w:lvl w:ilvl="5" w:tplc="650E57DE" w:tentative="1">
      <w:start w:val="1"/>
      <w:numFmt w:val="bullet"/>
      <w:lvlText w:val=""/>
      <w:lvlJc w:val="left"/>
      <w:pPr>
        <w:tabs>
          <w:tab w:val="num" w:pos="5397"/>
        </w:tabs>
        <w:ind w:left="5397" w:hanging="360"/>
      </w:pPr>
      <w:rPr>
        <w:rFonts w:ascii="Wingdings" w:hAnsi="Wingdings" w:hint="default"/>
      </w:rPr>
    </w:lvl>
    <w:lvl w:ilvl="6" w:tplc="62A27028" w:tentative="1">
      <w:start w:val="1"/>
      <w:numFmt w:val="bullet"/>
      <w:lvlText w:val=""/>
      <w:lvlJc w:val="left"/>
      <w:pPr>
        <w:tabs>
          <w:tab w:val="num" w:pos="6117"/>
        </w:tabs>
        <w:ind w:left="6117" w:hanging="360"/>
      </w:pPr>
      <w:rPr>
        <w:rFonts w:ascii="Symbol" w:hAnsi="Symbol" w:hint="default"/>
      </w:rPr>
    </w:lvl>
    <w:lvl w:ilvl="7" w:tplc="4B24150C" w:tentative="1">
      <w:start w:val="1"/>
      <w:numFmt w:val="bullet"/>
      <w:lvlText w:val="o"/>
      <w:lvlJc w:val="left"/>
      <w:pPr>
        <w:tabs>
          <w:tab w:val="num" w:pos="6837"/>
        </w:tabs>
        <w:ind w:left="6837" w:hanging="360"/>
      </w:pPr>
      <w:rPr>
        <w:rFonts w:ascii="Courier New" w:hAnsi="Courier New" w:cs="Courier New" w:hint="default"/>
      </w:rPr>
    </w:lvl>
    <w:lvl w:ilvl="8" w:tplc="CA20AFE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1AA5378">
      <w:start w:val="1"/>
      <w:numFmt w:val="decimal"/>
      <w:pStyle w:val="ATSNumber2"/>
      <w:lvlText w:val="%1."/>
      <w:lvlJc w:val="left"/>
      <w:pPr>
        <w:tabs>
          <w:tab w:val="num" w:pos="720"/>
        </w:tabs>
        <w:ind w:left="720" w:hanging="360"/>
      </w:pPr>
      <w:rPr>
        <w:rFonts w:hint="default"/>
      </w:rPr>
    </w:lvl>
    <w:lvl w:ilvl="1" w:tplc="7576A9BE" w:tentative="1">
      <w:start w:val="1"/>
      <w:numFmt w:val="lowerLetter"/>
      <w:lvlText w:val="%2."/>
      <w:lvlJc w:val="left"/>
      <w:pPr>
        <w:tabs>
          <w:tab w:val="num" w:pos="1440"/>
        </w:tabs>
        <w:ind w:left="1440" w:hanging="360"/>
      </w:pPr>
    </w:lvl>
    <w:lvl w:ilvl="2" w:tplc="4BA0A738" w:tentative="1">
      <w:start w:val="1"/>
      <w:numFmt w:val="lowerRoman"/>
      <w:lvlText w:val="%3."/>
      <w:lvlJc w:val="right"/>
      <w:pPr>
        <w:tabs>
          <w:tab w:val="num" w:pos="2160"/>
        </w:tabs>
        <w:ind w:left="2160" w:hanging="180"/>
      </w:pPr>
    </w:lvl>
    <w:lvl w:ilvl="3" w:tplc="AF804F56" w:tentative="1">
      <w:start w:val="1"/>
      <w:numFmt w:val="decimal"/>
      <w:lvlText w:val="%4."/>
      <w:lvlJc w:val="left"/>
      <w:pPr>
        <w:tabs>
          <w:tab w:val="num" w:pos="2880"/>
        </w:tabs>
        <w:ind w:left="2880" w:hanging="360"/>
      </w:pPr>
    </w:lvl>
    <w:lvl w:ilvl="4" w:tplc="F2E86640" w:tentative="1">
      <w:start w:val="1"/>
      <w:numFmt w:val="lowerLetter"/>
      <w:lvlText w:val="%5."/>
      <w:lvlJc w:val="left"/>
      <w:pPr>
        <w:tabs>
          <w:tab w:val="num" w:pos="3600"/>
        </w:tabs>
        <w:ind w:left="3600" w:hanging="360"/>
      </w:pPr>
    </w:lvl>
    <w:lvl w:ilvl="5" w:tplc="35C2D51A" w:tentative="1">
      <w:start w:val="1"/>
      <w:numFmt w:val="lowerRoman"/>
      <w:lvlText w:val="%6."/>
      <w:lvlJc w:val="right"/>
      <w:pPr>
        <w:tabs>
          <w:tab w:val="num" w:pos="4320"/>
        </w:tabs>
        <w:ind w:left="4320" w:hanging="180"/>
      </w:pPr>
    </w:lvl>
    <w:lvl w:ilvl="6" w:tplc="D84C8306" w:tentative="1">
      <w:start w:val="1"/>
      <w:numFmt w:val="decimal"/>
      <w:lvlText w:val="%7."/>
      <w:lvlJc w:val="left"/>
      <w:pPr>
        <w:tabs>
          <w:tab w:val="num" w:pos="5040"/>
        </w:tabs>
        <w:ind w:left="5040" w:hanging="360"/>
      </w:pPr>
    </w:lvl>
    <w:lvl w:ilvl="7" w:tplc="113ED6E6" w:tentative="1">
      <w:start w:val="1"/>
      <w:numFmt w:val="lowerLetter"/>
      <w:lvlText w:val="%8."/>
      <w:lvlJc w:val="left"/>
      <w:pPr>
        <w:tabs>
          <w:tab w:val="num" w:pos="5760"/>
        </w:tabs>
        <w:ind w:left="5760" w:hanging="360"/>
      </w:pPr>
    </w:lvl>
    <w:lvl w:ilvl="8" w:tplc="C3029A3A" w:tentative="1">
      <w:start w:val="1"/>
      <w:numFmt w:val="lowerRoman"/>
      <w:lvlText w:val="%9."/>
      <w:lvlJc w:val="right"/>
      <w:pPr>
        <w:tabs>
          <w:tab w:val="num" w:pos="6480"/>
        </w:tabs>
        <w:ind w:left="6480" w:hanging="180"/>
      </w:pPr>
    </w:lvl>
  </w:abstractNum>
  <w:num w:numId="1" w16cid:durableId="1204292495">
    <w:abstractNumId w:val="9"/>
  </w:num>
  <w:num w:numId="2" w16cid:durableId="912006291">
    <w:abstractNumId w:val="7"/>
  </w:num>
  <w:num w:numId="3" w16cid:durableId="1094398546">
    <w:abstractNumId w:val="6"/>
  </w:num>
  <w:num w:numId="4" w16cid:durableId="1230464126">
    <w:abstractNumId w:val="5"/>
  </w:num>
  <w:num w:numId="5" w16cid:durableId="2031098528">
    <w:abstractNumId w:val="4"/>
  </w:num>
  <w:num w:numId="6" w16cid:durableId="2082753189">
    <w:abstractNumId w:val="8"/>
  </w:num>
  <w:num w:numId="7" w16cid:durableId="613245810">
    <w:abstractNumId w:val="3"/>
  </w:num>
  <w:num w:numId="8" w16cid:durableId="138809112">
    <w:abstractNumId w:val="2"/>
  </w:num>
  <w:num w:numId="9" w16cid:durableId="1773934073">
    <w:abstractNumId w:val="1"/>
  </w:num>
  <w:num w:numId="10" w16cid:durableId="350960151">
    <w:abstractNumId w:val="0"/>
  </w:num>
  <w:num w:numId="11" w16cid:durableId="1947080142">
    <w:abstractNumId w:val="11"/>
  </w:num>
  <w:num w:numId="12" w16cid:durableId="361518499">
    <w:abstractNumId w:val="15"/>
  </w:num>
  <w:num w:numId="13" w16cid:durableId="1297179896">
    <w:abstractNumId w:val="14"/>
  </w:num>
  <w:num w:numId="14" w16cid:durableId="702636614">
    <w:abstractNumId w:val="12"/>
  </w:num>
  <w:num w:numId="15" w16cid:durableId="1917013600">
    <w:abstractNumId w:val="13"/>
  </w:num>
  <w:num w:numId="16" w16cid:durableId="1723478657">
    <w:abstractNumId w:val="10"/>
  </w:num>
  <w:num w:numId="17" w16cid:durableId="1699890165">
    <w:abstractNumId w:val="11"/>
  </w:num>
  <w:num w:numId="18" w16cid:durableId="1289632015">
    <w:abstractNumId w:val="15"/>
  </w:num>
  <w:num w:numId="19" w16cid:durableId="398214130">
    <w:abstractNumId w:val="14"/>
  </w:num>
  <w:num w:numId="20" w16cid:durableId="5377451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32"/>
    <w:rsid w:val="00356085"/>
    <w:rsid w:val="00401F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1D5705"/>
  <w15:chartTrackingRefBased/>
  <w15:docId w15:val="{FA0DAB2C-FD84-482A-9631-21D26E4A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styleId="nfasis">
    <w:name w:val="Emphasis"/>
    <w:basedOn w:val="Fuentedeprrafopredeter"/>
    <w:uiPriority w:val="20"/>
    <w:qFormat/>
    <w:rsid w:val="003560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ciencedirect.com/science/article/pii/S1462901121001490?via%3Dihub"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uments.ats.aq/ATCM43/wp/ATCM43_wp017_e.doc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908</Words>
  <Characters>5352</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2022-04-11T11:43:00Z</dcterms:modified>
</cp:coreProperties>
</file>