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5042" w14:textId="77777777" w:rsidR="00C26F2D" w:rsidRDefault="00316C4F" w:rsidP="009E619D">
      <w:pPr>
        <w:rPr>
          <w:lang w:val="es-ES_tradnl"/>
        </w:rPr>
      </w:pPr>
    </w:p>
    <w:p w14:paraId="2EDFB16B" w14:textId="77777777" w:rsidR="002F0A13" w:rsidRDefault="00316C4F" w:rsidP="004B4A60">
      <w:pPr>
        <w:rPr>
          <w:b/>
          <w:u w:val="single"/>
          <w:lang w:val="es-ES_tradnl"/>
        </w:rPr>
      </w:pPr>
    </w:p>
    <w:p w14:paraId="56A62D9C" w14:textId="77777777" w:rsidR="002F0A13" w:rsidRDefault="00316C4F" w:rsidP="004B4A60">
      <w:pPr>
        <w:rPr>
          <w:b/>
          <w:u w:val="single"/>
          <w:lang w:val="es-ES_tradnl"/>
        </w:rPr>
      </w:pPr>
    </w:p>
    <w:p w14:paraId="4030AE69" w14:textId="77777777" w:rsidR="002F0A13" w:rsidRDefault="00316C4F" w:rsidP="004B4A60">
      <w:pPr>
        <w:rPr>
          <w:b/>
          <w:u w:val="single"/>
          <w:lang w:val="es-ES_tradnl"/>
        </w:rPr>
      </w:pPr>
    </w:p>
    <w:p w14:paraId="269FCBD6" w14:textId="77777777" w:rsidR="002F0A13" w:rsidRDefault="00316C4F" w:rsidP="004B4A60">
      <w:pPr>
        <w:rPr>
          <w:b/>
          <w:u w:val="single"/>
          <w:lang w:val="es-ES_tradnl"/>
        </w:rPr>
      </w:pPr>
    </w:p>
    <w:p w14:paraId="5B5B947A" w14:textId="77777777" w:rsidR="00C26F2D" w:rsidRDefault="00316C4F" w:rsidP="004B4A60">
      <w:pPr>
        <w:rPr>
          <w:b/>
          <w:u w:val="single"/>
          <w:lang w:val="es-ES_tradnl"/>
        </w:rPr>
      </w:pPr>
    </w:p>
    <w:p w14:paraId="635BEDF3" w14:textId="77777777" w:rsidR="004B4A60" w:rsidRPr="00013875" w:rsidRDefault="00013875" w:rsidP="001B789F">
      <w:pPr>
        <w:pStyle w:val="ATSTitle"/>
      </w:pPr>
      <w:bookmarkStart w:id="0" w:name="name"/>
      <w:r>
        <w:t>Detection of a non-native species of Diptera in the Elephant Refuge, ASPA 132, King George Island</w:t>
      </w:r>
      <w:bookmarkEnd w:id="0"/>
    </w:p>
    <w:p w14:paraId="58C4771E" w14:textId="77777777" w:rsidR="004B4A60" w:rsidRPr="00013875" w:rsidRDefault="00316C4F" w:rsidP="00F75424">
      <w:pPr>
        <w:jc w:val="center"/>
        <w:rPr>
          <w:lang w:val="es-AR"/>
        </w:rPr>
      </w:pPr>
    </w:p>
    <w:p w14:paraId="041A8CB3" w14:textId="77777777" w:rsidR="004B4A60" w:rsidRPr="00013875" w:rsidRDefault="00316C4F" w:rsidP="002F0A13">
      <w:pPr>
        <w:rPr>
          <w:lang w:val="es-AR"/>
        </w:rPr>
      </w:pPr>
    </w:p>
    <w:p w14:paraId="0994577E" w14:textId="77777777" w:rsidR="004B4A60" w:rsidRPr="00013875" w:rsidRDefault="00316C4F" w:rsidP="00F75424">
      <w:pPr>
        <w:jc w:val="center"/>
      </w:pPr>
      <w:bookmarkStart w:id="1" w:name="memo"/>
      <w:bookmarkEnd w:id="1"/>
    </w:p>
    <w:p w14:paraId="1AED338C" w14:textId="77777777" w:rsidR="004B4A60" w:rsidRPr="00013875" w:rsidRDefault="00316C4F" w:rsidP="004B4A60">
      <w:pPr>
        <w:rPr>
          <w:lang w:val="es-AR"/>
        </w:rPr>
      </w:pPr>
    </w:p>
    <w:p w14:paraId="18DF533C" w14:textId="77777777" w:rsidR="00C26F2D" w:rsidRPr="00013875" w:rsidRDefault="00316C4F" w:rsidP="00952E9F">
      <w:pPr>
        <w:rPr>
          <w:lang w:val="es-AR"/>
        </w:rPr>
        <w:sectPr w:rsidR="00C26F2D" w:rsidRPr="00013875"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74BEEBE5" w14:textId="77777777" w:rsidR="00013875" w:rsidRDefault="00013875" w:rsidP="00013875">
      <w:pPr>
        <w:pStyle w:val="ATSHeading1"/>
      </w:pPr>
      <w:r>
        <w:lastRenderedPageBreak/>
        <w:t>Detection of a non-native species of Diptera in the Elephant Refuge, ASPA 132, King George Island</w:t>
      </w:r>
    </w:p>
    <w:p w14:paraId="5B6CAB26" w14:textId="77777777" w:rsidR="00013875" w:rsidRPr="004E54E6" w:rsidRDefault="00013875" w:rsidP="00013875">
      <w:pPr>
        <w:pStyle w:val="ATSNormal"/>
        <w:jc w:val="center"/>
        <w:rPr>
          <w:b/>
        </w:rPr>
      </w:pPr>
      <w:r>
        <w:rPr>
          <w:b/>
        </w:rPr>
        <w:t xml:space="preserve"> Information Paper submitted by Argentina and Uruguay</w:t>
      </w:r>
    </w:p>
    <w:p w14:paraId="72EEAD7D" w14:textId="77777777" w:rsidR="00013875" w:rsidRPr="004E54E6" w:rsidRDefault="00013875" w:rsidP="00013875">
      <w:pPr>
        <w:pStyle w:val="ATSNormal"/>
        <w:jc w:val="center"/>
        <w:rPr>
          <w:b/>
          <w:lang w:val="es-AR"/>
        </w:rPr>
      </w:pPr>
    </w:p>
    <w:p w14:paraId="498288B3" w14:textId="77777777" w:rsidR="00013875" w:rsidRDefault="00013875" w:rsidP="00013875">
      <w:pPr>
        <w:spacing w:after="120"/>
        <w:rPr>
          <w:b/>
          <w:bCs/>
          <w:i/>
          <w:iCs/>
        </w:rPr>
      </w:pPr>
      <w:r>
        <w:rPr>
          <w:b/>
          <w:i/>
        </w:rPr>
        <w:t>Summary</w:t>
      </w:r>
    </w:p>
    <w:p w14:paraId="2FC31145" w14:textId="77777777" w:rsidR="00013875" w:rsidRDefault="00013875" w:rsidP="00013875">
      <w:pPr>
        <w:spacing w:line="360" w:lineRule="auto"/>
        <w:jc w:val="both"/>
      </w:pPr>
      <w:r>
        <w:t xml:space="preserve">One of the most notorious invasions in Antarctica is that of the Diptera </w:t>
      </w:r>
      <w:proofErr w:type="spellStart"/>
      <w:r>
        <w:rPr>
          <w:i/>
        </w:rPr>
        <w:t>Trichocera</w:t>
      </w:r>
      <w:proofErr w:type="spellEnd"/>
      <w:r>
        <w:rPr>
          <w:i/>
        </w:rPr>
        <w:t xml:space="preserve"> </w:t>
      </w:r>
      <w:proofErr w:type="spellStart"/>
      <w:r>
        <w:rPr>
          <w:i/>
        </w:rPr>
        <w:t>maculipennis</w:t>
      </w:r>
      <w:proofErr w:type="spellEnd"/>
      <w:r>
        <w:t xml:space="preserve"> (</w:t>
      </w:r>
      <w:proofErr w:type="spellStart"/>
      <w:r>
        <w:t>Meigen</w:t>
      </w:r>
      <w:proofErr w:type="spellEnd"/>
      <w:r>
        <w:t xml:space="preserve">, 1818). This species was recorded for the first time in 2006 on the </w:t>
      </w:r>
      <w:proofErr w:type="spellStart"/>
      <w:r>
        <w:t>Fildes</w:t>
      </w:r>
      <w:proofErr w:type="spellEnd"/>
      <w:r>
        <w:t xml:space="preserve"> Peninsula and later, in the Antarctic summer of 2017/2018, a joint monitoring programme for this species was started on King George Island. As a result of this monitoring programme, the presence of this species has been detected for the first time within the Elephant Refuge (62°15'18.1''S; 58°37'56.2'W), located within ASPA 132 on King George Island. </w:t>
      </w:r>
    </w:p>
    <w:p w14:paraId="697A6087" w14:textId="77777777" w:rsidR="00013875" w:rsidRDefault="00013875" w:rsidP="00013875">
      <w:pPr>
        <w:spacing w:line="360" w:lineRule="auto"/>
        <w:jc w:val="both"/>
        <w:rPr>
          <w:lang w:val="es-AR"/>
        </w:rPr>
      </w:pPr>
    </w:p>
    <w:p w14:paraId="16D5FA6E" w14:textId="77777777" w:rsidR="00013875" w:rsidRDefault="00013875" w:rsidP="00013875">
      <w:pPr>
        <w:spacing w:after="120"/>
        <w:rPr>
          <w:b/>
          <w:bCs/>
          <w:i/>
          <w:iCs/>
        </w:rPr>
      </w:pPr>
      <w:r>
        <w:rPr>
          <w:b/>
          <w:i/>
        </w:rPr>
        <w:t>Introduction</w:t>
      </w:r>
    </w:p>
    <w:p w14:paraId="29F50A34" w14:textId="77777777" w:rsidR="00013875" w:rsidRDefault="00013875" w:rsidP="00013875">
      <w:pPr>
        <w:spacing w:line="360" w:lineRule="auto"/>
        <w:jc w:val="both"/>
      </w:pPr>
      <w:r>
        <w:t xml:space="preserve">The problem of the introduction of non-native species has been growing in importance in Antarctica, conditioned by the impacts of climate change and by the increase in the number of people who travel to Antarctica for different types of activities (science, logistics and tourism) and act as possible vectors for the transfer of species to Antarctica (Hughes </w:t>
      </w:r>
      <w:r>
        <w:rPr>
          <w:i/>
        </w:rPr>
        <w:t>et al.</w:t>
      </w:r>
      <w:r>
        <w:t xml:space="preserve">, 2015; Hughes </w:t>
      </w:r>
      <w:r>
        <w:rPr>
          <w:i/>
        </w:rPr>
        <w:t>et al.</w:t>
      </w:r>
      <w:r>
        <w:t xml:space="preserve">, 2019, McCarthy </w:t>
      </w:r>
      <w:r>
        <w:rPr>
          <w:i/>
        </w:rPr>
        <w:t>et al.</w:t>
      </w:r>
      <w:r>
        <w:t xml:space="preserve">, 2018). Non-Native Species are currently the threat with the highest priority in the work plans of the Committee for Environmental Protection (Five-Year Plan) as well as in the Work Plan of the Subsidiary Group on Climate Change Response (SGCCR). </w:t>
      </w:r>
    </w:p>
    <w:p w14:paraId="5200C305" w14:textId="2A793CC9" w:rsidR="00013875" w:rsidRDefault="00013875" w:rsidP="00013875">
      <w:pPr>
        <w:spacing w:line="360" w:lineRule="auto"/>
        <w:jc w:val="both"/>
      </w:pPr>
      <w:r>
        <w:t xml:space="preserve">Since 2006, the presence has been detected in areas near waste water treatment plants of the winter crane fly </w:t>
      </w:r>
      <w:proofErr w:type="spellStart"/>
      <w:r>
        <w:rPr>
          <w:i/>
        </w:rPr>
        <w:t>Trichocera</w:t>
      </w:r>
      <w:proofErr w:type="spellEnd"/>
      <w:r>
        <w:rPr>
          <w:i/>
        </w:rPr>
        <w:t xml:space="preserve"> </w:t>
      </w:r>
      <w:proofErr w:type="spellStart"/>
      <w:r>
        <w:rPr>
          <w:i/>
        </w:rPr>
        <w:t>maculipennis</w:t>
      </w:r>
      <w:proofErr w:type="spellEnd"/>
      <w:r>
        <w:t xml:space="preserve"> (</w:t>
      </w:r>
      <w:proofErr w:type="spellStart"/>
      <w:r>
        <w:t>Volonterio</w:t>
      </w:r>
      <w:proofErr w:type="spellEnd"/>
      <w:r>
        <w:t xml:space="preserve"> </w:t>
      </w:r>
      <w:r>
        <w:rPr>
          <w:i/>
          <w:iCs/>
        </w:rPr>
        <w:t>et al</w:t>
      </w:r>
      <w:r>
        <w:t xml:space="preserve">., 2013; Remedios De León, 2019). Its presence has been observed at research stations on King George Island (ATCM XL - WP 26). This situation gave rise to a joint international work programme with the aim of managing this non-native fly. The coordinated actions implemented were the installation of sticky traps inside the facilities to identify population trends throughout the year, pitfall traps around the stations to assess the presence of the species beyond the limits of these stations, and ultraviolet light traps to eliminate adult individuals as a control measure (Remedios De León </w:t>
      </w:r>
      <w:r>
        <w:rPr>
          <w:i/>
        </w:rPr>
        <w:t>et al.</w:t>
      </w:r>
      <w:r>
        <w:t xml:space="preserve">, 2021). This programme was later extended to more bases and included the </w:t>
      </w:r>
      <w:proofErr w:type="spellStart"/>
      <w:r>
        <w:t>Carlini</w:t>
      </w:r>
      <w:proofErr w:type="spellEnd"/>
      <w:r>
        <w:t xml:space="preserve"> Base, which monitors the presence of this species in the base’s facilities.</w:t>
      </w:r>
    </w:p>
    <w:p w14:paraId="2790995C" w14:textId="3176F4DF" w:rsidR="00013875" w:rsidRDefault="00013875" w:rsidP="00013875">
      <w:pPr>
        <w:spacing w:line="360" w:lineRule="auto"/>
        <w:jc w:val="both"/>
        <w:rPr>
          <w:lang w:val="es-AR"/>
        </w:rPr>
      </w:pPr>
    </w:p>
    <w:p w14:paraId="5AF2B361" w14:textId="2BD8820E" w:rsidR="00013875" w:rsidRDefault="00013875" w:rsidP="00013875">
      <w:pPr>
        <w:spacing w:line="360" w:lineRule="auto"/>
        <w:jc w:val="both"/>
        <w:rPr>
          <w:lang w:val="es-AR"/>
        </w:rPr>
      </w:pPr>
    </w:p>
    <w:p w14:paraId="2C02298E" w14:textId="4901D8EB" w:rsidR="00013875" w:rsidRDefault="00013875" w:rsidP="00013875">
      <w:pPr>
        <w:spacing w:line="360" w:lineRule="auto"/>
        <w:jc w:val="both"/>
        <w:rPr>
          <w:lang w:val="es-AR"/>
        </w:rPr>
      </w:pPr>
    </w:p>
    <w:p w14:paraId="02466A84" w14:textId="1D3F797B" w:rsidR="00013875" w:rsidRDefault="00013875" w:rsidP="00013875">
      <w:pPr>
        <w:spacing w:line="360" w:lineRule="auto"/>
        <w:jc w:val="both"/>
      </w:pPr>
    </w:p>
    <w:p w14:paraId="6270F94E" w14:textId="77777777" w:rsidR="00013875" w:rsidRDefault="00013875" w:rsidP="00013875">
      <w:pPr>
        <w:spacing w:line="360" w:lineRule="auto"/>
        <w:jc w:val="both"/>
        <w:rPr>
          <w:lang w:val="es-AR"/>
        </w:rPr>
      </w:pPr>
    </w:p>
    <w:p w14:paraId="23191DC0" w14:textId="4A964529" w:rsidR="00013875" w:rsidRDefault="00013875" w:rsidP="00013875">
      <w:pPr>
        <w:spacing w:line="360" w:lineRule="auto"/>
        <w:jc w:val="both"/>
        <w:rPr>
          <w:lang w:val="es-AR"/>
        </w:rPr>
      </w:pPr>
    </w:p>
    <w:p w14:paraId="15971543" w14:textId="27243668" w:rsidR="00013875" w:rsidRDefault="00573FF5" w:rsidP="00013875">
      <w:pPr>
        <w:spacing w:line="360" w:lineRule="auto"/>
        <w:jc w:val="both"/>
        <w:rPr>
          <w:lang w:val="es-AR"/>
        </w:rPr>
      </w:pPr>
      <w:r>
        <w:rPr>
          <w:noProof/>
        </w:rPr>
        <w:lastRenderedPageBreak/>
        <w:drawing>
          <wp:anchor distT="0" distB="0" distL="0" distR="0" simplePos="0" relativeHeight="251659264" behindDoc="0" locked="0" layoutInCell="1" allowOverlap="1" wp14:anchorId="772E5120" wp14:editId="37011D38">
            <wp:simplePos x="0" y="0"/>
            <wp:positionH relativeFrom="margin">
              <wp:posOffset>1520908</wp:posOffset>
            </wp:positionH>
            <wp:positionV relativeFrom="paragraph">
              <wp:posOffset>-563963</wp:posOffset>
            </wp:positionV>
            <wp:extent cx="2527300" cy="2980690"/>
            <wp:effectExtent l="0" t="0" r="6350" b="0"/>
            <wp:wrapNone/>
            <wp:docPr id="6" name="Imagen 1" descr="Imagen que contiene plato, tabla, pequeño,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Imagen que contiene plato, tabla, pequeño, grande&#10;&#10;Descripción generada automáticamente"/>
                    <pic:cNvPicPr>
                      <a:picLocks noChangeAspect="1" noChangeArrowheads="1"/>
                    </pic:cNvPicPr>
                  </pic:nvPicPr>
                  <pic:blipFill>
                    <a:blip r:embed="rId10"/>
                    <a:srcRect r="9933" b="20326"/>
                    <a:stretch>
                      <a:fillRect/>
                    </a:stretch>
                  </pic:blipFill>
                  <pic:spPr bwMode="auto">
                    <a:xfrm>
                      <a:off x="0" y="0"/>
                      <a:ext cx="2527300" cy="2980690"/>
                    </a:xfrm>
                    <a:prstGeom prst="rect">
                      <a:avLst/>
                    </a:prstGeom>
                  </pic:spPr>
                </pic:pic>
              </a:graphicData>
            </a:graphic>
          </wp:anchor>
        </w:drawing>
      </w:r>
    </w:p>
    <w:p w14:paraId="60175BE4" w14:textId="77777777" w:rsidR="00013875" w:rsidRDefault="00013875" w:rsidP="00013875">
      <w:pPr>
        <w:spacing w:line="360" w:lineRule="auto"/>
        <w:jc w:val="both"/>
        <w:rPr>
          <w:lang w:val="es-AR"/>
        </w:rPr>
      </w:pPr>
    </w:p>
    <w:p w14:paraId="7B2D2EA3" w14:textId="38B4B751" w:rsidR="00013875" w:rsidRDefault="00013875" w:rsidP="00013875">
      <w:pPr>
        <w:spacing w:line="360" w:lineRule="auto"/>
        <w:jc w:val="both"/>
        <w:rPr>
          <w:lang w:val="es-AR"/>
        </w:rPr>
      </w:pPr>
    </w:p>
    <w:p w14:paraId="0F632A3D" w14:textId="0003251F" w:rsidR="00013875" w:rsidRDefault="00013875" w:rsidP="00013875">
      <w:pPr>
        <w:spacing w:line="360" w:lineRule="auto"/>
        <w:jc w:val="both"/>
        <w:rPr>
          <w:lang w:val="es-AR"/>
        </w:rPr>
      </w:pPr>
    </w:p>
    <w:p w14:paraId="6A5825EC" w14:textId="6BC9EC7C" w:rsidR="00013875" w:rsidRDefault="00013875" w:rsidP="00013875">
      <w:pPr>
        <w:spacing w:line="360" w:lineRule="auto"/>
        <w:jc w:val="both"/>
        <w:rPr>
          <w:lang w:val="es-AR"/>
        </w:rPr>
      </w:pPr>
    </w:p>
    <w:p w14:paraId="52B3BEAD" w14:textId="24F9495D" w:rsidR="00013875" w:rsidRDefault="00013875" w:rsidP="00013875">
      <w:pPr>
        <w:spacing w:line="360" w:lineRule="auto"/>
        <w:jc w:val="both"/>
        <w:rPr>
          <w:lang w:val="es-AR"/>
        </w:rPr>
      </w:pPr>
    </w:p>
    <w:p w14:paraId="54A6DAEC" w14:textId="77777777" w:rsidR="00013875" w:rsidRDefault="00013875" w:rsidP="00013875">
      <w:pPr>
        <w:spacing w:line="360" w:lineRule="auto"/>
        <w:jc w:val="both"/>
        <w:rPr>
          <w:lang w:val="es-AR"/>
        </w:rPr>
      </w:pPr>
    </w:p>
    <w:p w14:paraId="2029750A" w14:textId="77777777" w:rsidR="00013875" w:rsidRDefault="00013875" w:rsidP="00013875">
      <w:pPr>
        <w:spacing w:line="360" w:lineRule="auto"/>
        <w:jc w:val="both"/>
        <w:rPr>
          <w:lang w:val="es-AR"/>
        </w:rPr>
      </w:pPr>
    </w:p>
    <w:p w14:paraId="717BCA49" w14:textId="77777777" w:rsidR="00013875" w:rsidRDefault="00013875" w:rsidP="00013875">
      <w:pPr>
        <w:spacing w:line="360" w:lineRule="auto"/>
        <w:jc w:val="both"/>
        <w:rPr>
          <w:lang w:val="es-AR"/>
        </w:rPr>
      </w:pPr>
    </w:p>
    <w:p w14:paraId="350C4190" w14:textId="111B7EBE" w:rsidR="00013875" w:rsidRDefault="00013875" w:rsidP="00013875">
      <w:pPr>
        <w:spacing w:line="360" w:lineRule="auto"/>
        <w:jc w:val="both"/>
      </w:pPr>
    </w:p>
    <w:p w14:paraId="323C12A5" w14:textId="66DA066E" w:rsidR="00013875" w:rsidRDefault="00573FF5" w:rsidP="00013875">
      <w:pPr>
        <w:spacing w:after="120"/>
        <w:rPr>
          <w:b/>
          <w:bCs/>
          <w:i/>
          <w:iCs/>
          <w:lang w:val="es-AR"/>
        </w:rPr>
      </w:pPr>
      <w:r>
        <w:rPr>
          <w:noProof/>
        </w:rPr>
        <mc:AlternateContent>
          <mc:Choice Requires="wps">
            <w:drawing>
              <wp:anchor distT="0" distB="0" distL="0" distR="0" simplePos="0" relativeHeight="251660288" behindDoc="0" locked="0" layoutInCell="1" allowOverlap="1" wp14:anchorId="4885939F" wp14:editId="296BA99C">
                <wp:simplePos x="0" y="0"/>
                <wp:positionH relativeFrom="column">
                  <wp:posOffset>1522565</wp:posOffset>
                </wp:positionH>
                <wp:positionV relativeFrom="paragraph">
                  <wp:posOffset>26864</wp:posOffset>
                </wp:positionV>
                <wp:extent cx="2528570" cy="277495"/>
                <wp:effectExtent l="0" t="0" r="6350" b="0"/>
                <wp:wrapNone/>
                <wp:docPr id="7" name="Cuadro de texto 2"/>
                <wp:cNvGraphicFramePr/>
                <a:graphic xmlns:a="http://schemas.openxmlformats.org/drawingml/2006/main">
                  <a:graphicData uri="http://schemas.microsoft.com/office/word/2010/wordprocessingShape">
                    <wps:wsp>
                      <wps:cNvSpPr/>
                      <wps:spPr>
                        <a:xfrm>
                          <a:off x="0" y="0"/>
                          <a:ext cx="2528570" cy="27749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60A6A19" w14:textId="4B645301" w:rsidR="00013875" w:rsidRDefault="00013875" w:rsidP="00013875">
                            <w:pPr>
                              <w:pStyle w:val="Caption"/>
                              <w:rPr>
                                <w:szCs w:val="24"/>
                              </w:rPr>
                            </w:pPr>
                            <w:r>
                              <w:t xml:space="preserve">Figure </w:t>
                            </w:r>
                            <w:r>
                              <w:fldChar w:fldCharType="begin"/>
                            </w:r>
                            <w:r w:rsidRPr="000C00E7">
                              <w:instrText>SEQ Figura \* ARABIC</w:instrText>
                            </w:r>
                            <w:r>
                              <w:fldChar w:fldCharType="separate"/>
                            </w:r>
                            <w:r w:rsidR="00573FF5">
                              <w:rPr>
                                <w:noProof/>
                              </w:rPr>
                              <w:t>1</w:t>
                            </w:r>
                            <w:r>
                              <w:fldChar w:fldCharType="end"/>
                            </w:r>
                            <w:r>
                              <w:t>: photographic record of the specimen found in the Elephant Refuge.</w:t>
                            </w:r>
                          </w:p>
                        </w:txbxContent>
                      </wps:txbx>
                      <wps:bodyPr lIns="0" tIns="0" rIns="0" bIns="0">
                        <a:noAutofit/>
                      </wps:bodyPr>
                    </wps:wsp>
                  </a:graphicData>
                </a:graphic>
              </wp:anchor>
            </w:drawing>
          </mc:Choice>
          <mc:Fallback>
            <w:pict>
              <v:rect w14:anchorId="4885939F" id="Cuadro de texto 2" o:spid="_x0000_s1026" style="position:absolute;margin-left:119.9pt;margin-top:2.1pt;width:199.1pt;height:21.8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" stroked="f">
                <v:textbox inset="0,0,0,0">
                  <w:txbxContent>
                    <w:p w14:paraId="160A6A19" w14:textId="4B645301" w:rsidR="00013875" w:rsidRDefault="00013875" w:rsidP="00013875">
                      <w:pPr>
                        <w:pStyle w:val="Caption"/>
                        <w:rPr>
                          <w:szCs w:val="24"/>
                        </w:rPr>
                      </w:pPr>
                      <w:r>
                        <w:t xml:space="preserve">Figure </w:t>
                      </w:r>
                      <w:r>
                        <w:fldChar w:fldCharType="begin"/>
                      </w:r>
                      <w:r w:rsidRPr="000C00E7">
                        <w:instrText>SEQ Figura \* ARABIC</w:instrText>
                      </w:r>
                      <w:r>
                        <w:fldChar w:fldCharType="separate"/>
                      </w:r>
                      <w:r w:rsidR="00573FF5">
                        <w:rPr>
                          <w:noProof/>
                        </w:rPr>
                        <w:t>1</w:t>
                      </w:r>
                      <w:r>
                        <w:fldChar w:fldCharType="end"/>
                      </w:r>
                      <w:r>
                        <w:t>: photographic record of the specimen found in the Elephant Refuge.</w:t>
                      </w:r>
                    </w:p>
                  </w:txbxContent>
                </v:textbox>
              </v:rect>
            </w:pict>
          </mc:Fallback>
        </mc:AlternateContent>
      </w:r>
    </w:p>
    <w:p w14:paraId="42272EE0" w14:textId="77777777" w:rsidR="00013875" w:rsidRDefault="00013875" w:rsidP="00013875">
      <w:pPr>
        <w:spacing w:after="120"/>
        <w:rPr>
          <w:b/>
          <w:bCs/>
          <w:i/>
          <w:iCs/>
          <w:lang w:val="es-AR"/>
        </w:rPr>
      </w:pPr>
    </w:p>
    <w:p w14:paraId="45A41BE8" w14:textId="6A00F796" w:rsidR="00013875" w:rsidRDefault="00013875" w:rsidP="00013875">
      <w:pPr>
        <w:spacing w:after="120"/>
        <w:rPr>
          <w:b/>
          <w:bCs/>
          <w:i/>
          <w:iCs/>
        </w:rPr>
      </w:pPr>
      <w:r>
        <w:rPr>
          <w:b/>
          <w:i/>
        </w:rPr>
        <w:t>Detection of the Non-Native Species</w:t>
      </w:r>
    </w:p>
    <w:p w14:paraId="43CF7690" w14:textId="77777777" w:rsidR="00013875" w:rsidRDefault="00013875" w:rsidP="00013875">
      <w:pPr>
        <w:spacing w:line="360" w:lineRule="auto"/>
        <w:jc w:val="both"/>
      </w:pPr>
      <w:r>
        <w:t>On 24 February 2022, the presence of a specimen of a possible “non-native species” of insect (Diptera) was detected in the kitchen-dining room of the Elephant Refuge (62°15'18.1''S; 58°37'56.2''W), within ASPA 132 – Potter Cove. Immediately, the scientific staff of the Argentine Antarctic Institute (IAA) informed the staff of the Environmental Management and Tourism Programme (</w:t>
      </w:r>
      <w:proofErr w:type="spellStart"/>
      <w:r>
        <w:t>PGAyT</w:t>
      </w:r>
      <w:proofErr w:type="spellEnd"/>
      <w:r>
        <w:t>) of the National Antarctic Directorate (DNA) of the episode to coordinate the measures to be taken. Scientific staff were informed of the provisions of the Response Protocol (2019) and the precaution was taken, until further information could be obtained, of considering the observed species as an NNS.</w:t>
      </w:r>
    </w:p>
    <w:p w14:paraId="09043FA4" w14:textId="77777777" w:rsidR="00013875" w:rsidRDefault="00013875" w:rsidP="00013875">
      <w:pPr>
        <w:spacing w:line="360" w:lineRule="auto"/>
        <w:jc w:val="both"/>
      </w:pPr>
      <w:r>
        <w:t>This decision was based on the fact that, as established in document ATCM XXXIII - WP 15, there is a high probability of a transfer of winged insects through human activities. As stated in the aforementioned paper, winged insects can probably survive in Antarctica for more than just a few days if they are found in research station buildings.</w:t>
      </w:r>
    </w:p>
    <w:p w14:paraId="030A3B71" w14:textId="77777777" w:rsidR="00013875" w:rsidRDefault="00013875" w:rsidP="00013875">
      <w:pPr>
        <w:spacing w:line="360" w:lineRule="auto"/>
        <w:jc w:val="both"/>
        <w:rPr>
          <w:lang w:val="es-AR"/>
        </w:rPr>
      </w:pPr>
    </w:p>
    <w:p w14:paraId="3A970EC1" w14:textId="77777777" w:rsidR="00013875" w:rsidRDefault="00013875" w:rsidP="00013875">
      <w:pPr>
        <w:spacing w:after="120"/>
        <w:rPr>
          <w:b/>
          <w:bCs/>
          <w:i/>
          <w:iCs/>
        </w:rPr>
      </w:pPr>
      <w:r>
        <w:rPr>
          <w:b/>
          <w:i/>
        </w:rPr>
        <w:t>Immediate response</w:t>
      </w:r>
    </w:p>
    <w:p w14:paraId="501DDE80" w14:textId="77777777" w:rsidR="00013875" w:rsidRDefault="00013875" w:rsidP="00013875">
      <w:pPr>
        <w:spacing w:line="360" w:lineRule="auto"/>
        <w:jc w:val="both"/>
      </w:pPr>
      <w:proofErr w:type="spellStart"/>
      <w:r>
        <w:t>PGAyT</w:t>
      </w:r>
      <w:proofErr w:type="spellEnd"/>
      <w:r>
        <w:t xml:space="preserve"> staff asked the station staff to collect all the information established in the “</w:t>
      </w:r>
      <w:r>
        <w:rPr>
          <w:i/>
        </w:rPr>
        <w:t>Non-mandatory Response Protocol for implementation upon discovery of a potential non-native species introduced inadvertently to the Antarctic Treaty area</w:t>
      </w:r>
      <w:r>
        <w:t xml:space="preserve">” (ATCM XLII WP034). Photographs of the specimen were received (Figure 1) and this material was immediately sent to the staff of the Antarctic Programme of Uruguay so that, through consultations with their specialists, they could determine the species detected. From the analysis of the photographs sent, it was provisionally determined that they featured the species </w:t>
      </w:r>
      <w:proofErr w:type="spellStart"/>
      <w:r>
        <w:rPr>
          <w:i/>
        </w:rPr>
        <w:t>Trichocera</w:t>
      </w:r>
      <w:proofErr w:type="spellEnd"/>
      <w:r>
        <w:rPr>
          <w:i/>
        </w:rPr>
        <w:t xml:space="preserve"> </w:t>
      </w:r>
      <w:proofErr w:type="spellStart"/>
      <w:r>
        <w:rPr>
          <w:i/>
        </w:rPr>
        <w:t>maculipennis</w:t>
      </w:r>
      <w:proofErr w:type="spellEnd"/>
      <w:r>
        <w:t xml:space="preserve"> (</w:t>
      </w:r>
      <w:proofErr w:type="spellStart"/>
      <w:r>
        <w:t>Meigen</w:t>
      </w:r>
      <w:proofErr w:type="spellEnd"/>
      <w:r>
        <w:t xml:space="preserve">, 1818) (Diptera: </w:t>
      </w:r>
      <w:proofErr w:type="spellStart"/>
      <w:r>
        <w:t>Trichoceridae</w:t>
      </w:r>
      <w:proofErr w:type="spellEnd"/>
      <w:r>
        <w:t xml:space="preserve">), the non-native species that is being monitored on the island. The specimen was found flying inside the refuge and was captured by the scientific staff. A few days later, as an initial eradication measure, a search for the presence of other specimens was carried out and then a trap was placed inside the refuge and an intensive search was carried out for other </w:t>
      </w:r>
      <w:r>
        <w:lastRenderedPageBreak/>
        <w:t xml:space="preserve">specimens of the species in the areas near the refuge. In turn, the material will be sent from the </w:t>
      </w:r>
      <w:proofErr w:type="spellStart"/>
      <w:r>
        <w:t>Carlini</w:t>
      </w:r>
      <w:proofErr w:type="spellEnd"/>
      <w:r>
        <w:t xml:space="preserve"> Base so that it can finally be catalogued by the scientific staff working on this monitoring programme.</w:t>
      </w:r>
    </w:p>
    <w:p w14:paraId="24EDC3EC" w14:textId="77777777" w:rsidR="00013875" w:rsidRDefault="00013875" w:rsidP="00013875">
      <w:pPr>
        <w:spacing w:line="360" w:lineRule="auto"/>
        <w:jc w:val="both"/>
        <w:rPr>
          <w:lang w:val="es-AR"/>
        </w:rPr>
      </w:pPr>
    </w:p>
    <w:p w14:paraId="5081EC08" w14:textId="77777777" w:rsidR="00013875" w:rsidRDefault="00013875" w:rsidP="00013875">
      <w:pPr>
        <w:spacing w:after="120"/>
        <w:rPr>
          <w:b/>
          <w:bCs/>
          <w:i/>
          <w:iCs/>
        </w:rPr>
      </w:pPr>
      <w:r>
        <w:rPr>
          <w:b/>
          <w:i/>
        </w:rPr>
        <w:t>Long-term actions</w:t>
      </w:r>
    </w:p>
    <w:p w14:paraId="2348CAB2" w14:textId="77777777" w:rsidR="00013875" w:rsidRDefault="00013875" w:rsidP="00013875">
      <w:pPr>
        <w:spacing w:line="360" w:lineRule="auto"/>
        <w:jc w:val="both"/>
      </w:pPr>
      <w:r>
        <w:t xml:space="preserve">Incorporate the site as a new sample-taking point in the permanent monitoring programme, by installing sticky traps inside the refuge and pitfall traps in the refuge’s surroundings. </w:t>
      </w:r>
    </w:p>
    <w:p w14:paraId="3A94D5B2" w14:textId="77777777" w:rsidR="00013875" w:rsidRDefault="00013875" w:rsidP="00013875">
      <w:pPr>
        <w:spacing w:line="360" w:lineRule="auto"/>
        <w:jc w:val="both"/>
      </w:pPr>
      <w:r>
        <w:t xml:space="preserve">Reinforce the use of the checklists for supply chain managers of National Antarctic Programmes for the reduction in risk of transfer of non-native species (ATCM XLII - WP 50). Permanent monitoring will be important to assess whether the species is detected at the nearby </w:t>
      </w:r>
      <w:proofErr w:type="spellStart"/>
      <w:r>
        <w:t>Carlini</w:t>
      </w:r>
      <w:proofErr w:type="spellEnd"/>
      <w:r>
        <w:t xml:space="preserve"> Base, and because it has already been proven that using only a single eradication measure has hitherto not been successful. In this sense, it will be necessary to implement an exhaustive Monitoring Plan at the aforementioned station for early detection of the presence of </w:t>
      </w:r>
      <w:proofErr w:type="spellStart"/>
      <w:r>
        <w:rPr>
          <w:i/>
        </w:rPr>
        <w:t>Trichocera</w:t>
      </w:r>
      <w:proofErr w:type="spellEnd"/>
      <w:r>
        <w:rPr>
          <w:i/>
        </w:rPr>
        <w:t xml:space="preserve"> </w:t>
      </w:r>
      <w:proofErr w:type="spellStart"/>
      <w:r>
        <w:rPr>
          <w:i/>
        </w:rPr>
        <w:t>maculipennis</w:t>
      </w:r>
      <w:proofErr w:type="spellEnd"/>
      <w:r>
        <w:t>.</w:t>
      </w:r>
    </w:p>
    <w:p w14:paraId="7AD6EEFE" w14:textId="77777777" w:rsidR="00013875" w:rsidRDefault="00013875" w:rsidP="00013875">
      <w:pPr>
        <w:spacing w:line="360" w:lineRule="auto"/>
        <w:jc w:val="both"/>
        <w:rPr>
          <w:lang w:val="es-AR"/>
        </w:rPr>
      </w:pPr>
    </w:p>
    <w:p w14:paraId="229B849B" w14:textId="77777777" w:rsidR="00013875" w:rsidRDefault="00013875" w:rsidP="00013875">
      <w:pPr>
        <w:spacing w:after="120"/>
        <w:rPr>
          <w:b/>
          <w:bCs/>
          <w:i/>
          <w:iCs/>
        </w:rPr>
      </w:pPr>
      <w:r>
        <w:rPr>
          <w:b/>
          <w:i/>
        </w:rPr>
        <w:t>Conclusions</w:t>
      </w:r>
    </w:p>
    <w:p w14:paraId="433AEB60" w14:textId="77777777" w:rsidR="00013875" w:rsidRDefault="00013875" w:rsidP="00013875">
      <w:pPr>
        <w:spacing w:line="360" w:lineRule="auto"/>
        <w:jc w:val="both"/>
      </w:pPr>
      <w:r>
        <w:t>Non-native species discovered in the Antarctic Treaty Area may be imported anthropogenic species (associated with human activities). According to Annex II of the Protocol, species introduced by humans must be eradicated, while natural populations and long-term residents must be protected.</w:t>
      </w:r>
    </w:p>
    <w:p w14:paraId="46649D23" w14:textId="77777777" w:rsidR="00013875" w:rsidRDefault="00013875" w:rsidP="00013875">
      <w:pPr>
        <w:spacing w:line="360" w:lineRule="auto"/>
        <w:jc w:val="both"/>
      </w:pPr>
      <w:r>
        <w:t>The detection in the Elephant Refuge of a potential and later confirmed non-native species (</w:t>
      </w:r>
      <w:proofErr w:type="spellStart"/>
      <w:r>
        <w:rPr>
          <w:i/>
        </w:rPr>
        <w:t>Trichocera</w:t>
      </w:r>
      <w:proofErr w:type="spellEnd"/>
      <w:r>
        <w:rPr>
          <w:i/>
        </w:rPr>
        <w:t xml:space="preserve"> </w:t>
      </w:r>
      <w:proofErr w:type="spellStart"/>
      <w:r>
        <w:rPr>
          <w:i/>
        </w:rPr>
        <w:t>maculipennis</w:t>
      </w:r>
      <w:proofErr w:type="spellEnd"/>
      <w:r>
        <w:t xml:space="preserve">), was notified to the national authorities and this made it possible to coordinate the necessary tasks for an immediate response, immediate eradication, preservation and identification of specimens, and initial control of the site of detection. The main task is the establishment of mitigation measures that will be incorporated into the logistic procedures to avoid the introduction of this or other species to the </w:t>
      </w:r>
      <w:proofErr w:type="spellStart"/>
      <w:r>
        <w:t>Carlini</w:t>
      </w:r>
      <w:proofErr w:type="spellEnd"/>
      <w:r>
        <w:t xml:space="preserve"> Base, which is close to the refuge. As previously mentioned, this record confirms that the species continues to expand its range on the island, at least since its original recording in Maxwell Bay in 2006. </w:t>
      </w:r>
    </w:p>
    <w:p w14:paraId="1CED2AB3" w14:textId="77777777" w:rsidR="00013875" w:rsidRDefault="00013875" w:rsidP="00013875">
      <w:pPr>
        <w:spacing w:line="360" w:lineRule="auto"/>
        <w:jc w:val="both"/>
      </w:pPr>
      <w:r>
        <w:t>For this reason, it is essential to adjust and promote long-term eradication measures, since the continuous expansion of this species through successful reproduction over time, which has allowed it to expand its distribution range in Antarctica, demonstrates that non-native species constitute a growing threat to the diversity of one of the most isolated regions on earth.</w:t>
      </w:r>
    </w:p>
    <w:p w14:paraId="518BC67B" w14:textId="77777777" w:rsidR="00013875" w:rsidRDefault="00013875" w:rsidP="00013875">
      <w:pPr>
        <w:spacing w:line="360" w:lineRule="auto"/>
        <w:jc w:val="both"/>
        <w:rPr>
          <w:lang w:val="es-AR"/>
        </w:rPr>
      </w:pPr>
    </w:p>
    <w:p w14:paraId="7A4A3206" w14:textId="77777777" w:rsidR="00013875" w:rsidRDefault="00013875" w:rsidP="00013875">
      <w:pPr>
        <w:spacing w:line="360" w:lineRule="auto"/>
        <w:jc w:val="both"/>
        <w:rPr>
          <w:b/>
          <w:bCs/>
          <w:i/>
          <w:iCs/>
        </w:rPr>
      </w:pPr>
      <w:r>
        <w:rPr>
          <w:b/>
          <w:i/>
        </w:rPr>
        <w:t>Bibliography</w:t>
      </w:r>
    </w:p>
    <w:p w14:paraId="0B6E0C1D" w14:textId="77777777" w:rsidR="00013875" w:rsidRDefault="00013875" w:rsidP="00013875">
      <w:pPr>
        <w:spacing w:line="360" w:lineRule="auto"/>
        <w:ind w:left="567" w:hanging="567"/>
        <w:jc w:val="both"/>
      </w:pPr>
      <w:r>
        <w:t xml:space="preserve">Hughes KA, </w:t>
      </w:r>
      <w:proofErr w:type="spellStart"/>
      <w:r>
        <w:t>Pertierra</w:t>
      </w:r>
      <w:proofErr w:type="spellEnd"/>
      <w:r>
        <w:t xml:space="preserve"> LR, Molina-Montenegro M, Convey P. 2015. Biological invasions in Antarctica: what is the current status and can we respond? </w:t>
      </w:r>
      <w:r>
        <w:rPr>
          <w:i/>
        </w:rPr>
        <w:t>Biodiversity Conservation</w:t>
      </w:r>
      <w:r>
        <w:t xml:space="preserve"> 24:1031-1055.</w:t>
      </w:r>
    </w:p>
    <w:p w14:paraId="17D378CC" w14:textId="77777777" w:rsidR="00013875" w:rsidRDefault="00013875" w:rsidP="00013875">
      <w:pPr>
        <w:spacing w:line="360" w:lineRule="auto"/>
        <w:ind w:left="567" w:hanging="567"/>
        <w:jc w:val="both"/>
      </w:pPr>
      <w:r>
        <w:lastRenderedPageBreak/>
        <w:t xml:space="preserve">Hughes KA, Convey P, </w:t>
      </w:r>
      <w:proofErr w:type="spellStart"/>
      <w:r>
        <w:t>Pertierra</w:t>
      </w:r>
      <w:proofErr w:type="spellEnd"/>
      <w:r>
        <w:t xml:space="preserve"> LR, Vega GC, Aragón P, Olalla-</w:t>
      </w:r>
      <w:proofErr w:type="spellStart"/>
      <w:r>
        <w:t>Tárraga</w:t>
      </w:r>
      <w:proofErr w:type="spellEnd"/>
      <w:r>
        <w:t xml:space="preserve"> MA (2019) Human-mediated dispersal of terrestrial species between Antarctic biogeographic regions: a preliminary risk assessment. </w:t>
      </w:r>
      <w:r>
        <w:rPr>
          <w:i/>
        </w:rPr>
        <w:t>Journal of Environmental Management</w:t>
      </w:r>
      <w:r>
        <w:t xml:space="preserve"> 232:73–89.</w:t>
      </w:r>
    </w:p>
    <w:p w14:paraId="26CDEFCB" w14:textId="77777777" w:rsidR="00013875" w:rsidRDefault="00013875" w:rsidP="00013875">
      <w:pPr>
        <w:spacing w:line="360" w:lineRule="auto"/>
        <w:ind w:left="567" w:hanging="567"/>
        <w:jc w:val="both"/>
      </w:pPr>
      <w:r>
        <w:t xml:space="preserve">McCarthy, A.H., Peck, L.S., Hughes, K.A., &amp; Aldridge, D.C. (2019). Antarctica: the final frontier for marine biological invasions. </w:t>
      </w:r>
      <w:r>
        <w:rPr>
          <w:i/>
        </w:rPr>
        <w:t>Global Change Biology</w:t>
      </w:r>
      <w:r>
        <w:t>, 25(7), 2221-2241.</w:t>
      </w:r>
    </w:p>
    <w:p w14:paraId="457515BD" w14:textId="77777777" w:rsidR="00013875" w:rsidRDefault="00013875" w:rsidP="00013875">
      <w:pPr>
        <w:spacing w:line="360" w:lineRule="auto"/>
        <w:ind w:left="567" w:hanging="567"/>
        <w:jc w:val="both"/>
      </w:pPr>
      <w:r>
        <w:t>ATCM XXXIII - CEP XIII Punta del Este (2010) - WP 15. Guidance for visitors and environmental managers following the discovery of a suspected non-native species in the terrestrial and freshwater Antarctic environment.</w:t>
      </w:r>
    </w:p>
    <w:p w14:paraId="37CFC914" w14:textId="77777777" w:rsidR="00013875" w:rsidRDefault="00013875" w:rsidP="00013875">
      <w:pPr>
        <w:spacing w:line="360" w:lineRule="auto"/>
        <w:ind w:left="567" w:hanging="567"/>
        <w:jc w:val="both"/>
      </w:pPr>
      <w:r>
        <w:t>ATCM XL - CEP XX Beijing (2017) - WP 26. Inter-Parties’ Action Plan to Manage the Non-Native Flies in King George Island, South Shetland Islands.</w:t>
      </w:r>
    </w:p>
    <w:p w14:paraId="3961E0CE" w14:textId="77777777" w:rsidR="00013875" w:rsidRDefault="00013875" w:rsidP="00013875">
      <w:pPr>
        <w:spacing w:line="360" w:lineRule="auto"/>
        <w:ind w:left="567" w:hanging="567"/>
        <w:jc w:val="both"/>
      </w:pPr>
      <w:r>
        <w:t>ATCM XLII - CEP XXII Prague (2019) - WP 34. Non-native Species Response Protocol.</w:t>
      </w:r>
    </w:p>
    <w:p w14:paraId="7AF9FED2" w14:textId="77777777" w:rsidR="00013875" w:rsidRDefault="00013875" w:rsidP="00013875">
      <w:pPr>
        <w:spacing w:line="360" w:lineRule="auto"/>
        <w:ind w:left="567" w:hanging="567"/>
        <w:jc w:val="both"/>
      </w:pPr>
      <w:r>
        <w:t>ATCM XLII - CEP XXII Prague (2019) - WP 34. Review and Update of the “Checklists for supply chain managers of National Antarctic Programmes for the reduction in risk of transfer of non-native species”.</w:t>
      </w:r>
    </w:p>
    <w:p w14:paraId="63B1C323" w14:textId="77777777" w:rsidR="00013875" w:rsidRPr="000C00E7" w:rsidRDefault="00013875" w:rsidP="00013875">
      <w:pPr>
        <w:spacing w:line="360" w:lineRule="auto"/>
        <w:ind w:left="567" w:hanging="567"/>
        <w:jc w:val="both"/>
      </w:pPr>
      <w:r>
        <w:t xml:space="preserve">Remedios De León ML., &amp; Morelli </w:t>
      </w:r>
      <w:proofErr w:type="spellStart"/>
      <w:r>
        <w:t>Mazzeo</w:t>
      </w:r>
      <w:proofErr w:type="spellEnd"/>
      <w:r>
        <w:t xml:space="preserve"> ER. (2019). </w:t>
      </w:r>
      <w:proofErr w:type="spellStart"/>
      <w:r>
        <w:t>Invadiendo</w:t>
      </w:r>
      <w:proofErr w:type="spellEnd"/>
      <w:r>
        <w:t xml:space="preserve"> </w:t>
      </w:r>
      <w:proofErr w:type="spellStart"/>
      <w:r>
        <w:t>el</w:t>
      </w:r>
      <w:proofErr w:type="spellEnd"/>
      <w:r>
        <w:t xml:space="preserve"> </w:t>
      </w:r>
      <w:proofErr w:type="spellStart"/>
      <w:r>
        <w:t>continente</w:t>
      </w:r>
      <w:proofErr w:type="spellEnd"/>
      <w:r>
        <w:t xml:space="preserve"> </w:t>
      </w:r>
      <w:proofErr w:type="spellStart"/>
      <w:r>
        <w:t>blanco</w:t>
      </w:r>
      <w:proofErr w:type="spellEnd"/>
      <w:r>
        <w:t xml:space="preserve">. </w:t>
      </w:r>
      <w:proofErr w:type="spellStart"/>
      <w:r>
        <w:t>Presencia</w:t>
      </w:r>
      <w:proofErr w:type="spellEnd"/>
      <w:r>
        <w:t xml:space="preserve"> de </w:t>
      </w:r>
      <w:proofErr w:type="spellStart"/>
      <w:r>
        <w:rPr>
          <w:i/>
        </w:rPr>
        <w:t>Trichocera</w:t>
      </w:r>
      <w:proofErr w:type="spellEnd"/>
      <w:r>
        <w:rPr>
          <w:i/>
        </w:rPr>
        <w:t xml:space="preserve"> </w:t>
      </w:r>
      <w:proofErr w:type="spellStart"/>
      <w:r>
        <w:rPr>
          <w:i/>
        </w:rPr>
        <w:t>maculipennis</w:t>
      </w:r>
      <w:proofErr w:type="spellEnd"/>
      <w:r>
        <w:t xml:space="preserve"> (Diptera: </w:t>
      </w:r>
      <w:proofErr w:type="spellStart"/>
      <w:r>
        <w:t>Trichoceridae</w:t>
      </w:r>
      <w:proofErr w:type="spellEnd"/>
      <w:r>
        <w:t xml:space="preserve">) </w:t>
      </w:r>
      <w:proofErr w:type="spellStart"/>
      <w:r>
        <w:t>en</w:t>
      </w:r>
      <w:proofErr w:type="spellEnd"/>
      <w:r>
        <w:t xml:space="preserve"> la Antártida. </w:t>
      </w:r>
      <w:proofErr w:type="spellStart"/>
      <w:r>
        <w:rPr>
          <w:i/>
        </w:rPr>
        <w:t>Boletín</w:t>
      </w:r>
      <w:proofErr w:type="spellEnd"/>
      <w:r>
        <w:rPr>
          <w:i/>
        </w:rPr>
        <w:t xml:space="preserve"> de la Sociedad </w:t>
      </w:r>
      <w:proofErr w:type="spellStart"/>
      <w:r>
        <w:rPr>
          <w:i/>
        </w:rPr>
        <w:t>Entomológica</w:t>
      </w:r>
      <w:proofErr w:type="spellEnd"/>
      <w:r>
        <w:rPr>
          <w:i/>
        </w:rPr>
        <w:t xml:space="preserve"> Argentina</w:t>
      </w:r>
      <w:r>
        <w:t>, 2019, 30 (2): 12-14.</w:t>
      </w:r>
    </w:p>
    <w:p w14:paraId="3597F181" w14:textId="77777777" w:rsidR="00013875" w:rsidRPr="006E2A54" w:rsidRDefault="00013875" w:rsidP="00013875">
      <w:pPr>
        <w:spacing w:line="360" w:lineRule="auto"/>
        <w:ind w:left="567" w:hanging="567"/>
        <w:jc w:val="both"/>
      </w:pPr>
      <w:r>
        <w:t xml:space="preserve">Remedios De León ML. Hughes KA, Morelli E, Convey P (2021) International Response under the Antarctic Treaty System to the Establishment of a Non-native Fly in Antarctica.  </w:t>
      </w:r>
      <w:r>
        <w:rPr>
          <w:i/>
        </w:rPr>
        <w:t>Journal of Environmental Management</w:t>
      </w:r>
      <w:r>
        <w:t xml:space="preserve"> 67:1043–1059.</w:t>
      </w:r>
    </w:p>
    <w:p w14:paraId="2118A8E6" w14:textId="77777777" w:rsidR="00013875" w:rsidRDefault="00013875" w:rsidP="00013875">
      <w:pPr>
        <w:spacing w:line="360" w:lineRule="auto"/>
        <w:ind w:left="567" w:hanging="567"/>
        <w:jc w:val="both"/>
      </w:pPr>
      <w:proofErr w:type="spellStart"/>
      <w:r>
        <w:t>Volonterio</w:t>
      </w:r>
      <w:proofErr w:type="spellEnd"/>
      <w:r>
        <w:t xml:space="preserve"> O, Ponce de León R, Convey P, </w:t>
      </w:r>
      <w:proofErr w:type="spellStart"/>
      <w:r>
        <w:t>Krzeminska</w:t>
      </w:r>
      <w:proofErr w:type="spellEnd"/>
      <w:r>
        <w:t xml:space="preserve"> E (2013) First record of </w:t>
      </w:r>
      <w:proofErr w:type="spellStart"/>
      <w:r>
        <w:t>Trichoceridae</w:t>
      </w:r>
      <w:proofErr w:type="spellEnd"/>
      <w:r>
        <w:t xml:space="preserve"> (Diptera) in the maritime Antarctic. </w:t>
      </w:r>
      <w:r>
        <w:rPr>
          <w:i/>
        </w:rPr>
        <w:t>Polar Biology</w:t>
      </w:r>
      <w:r>
        <w:t xml:space="preserve"> 36:1125–1131.</w:t>
      </w:r>
    </w:p>
    <w:p w14:paraId="4A143A86" w14:textId="77777777" w:rsidR="00013875" w:rsidRDefault="00013875" w:rsidP="00013875">
      <w:pPr>
        <w:spacing w:line="360" w:lineRule="auto"/>
        <w:jc w:val="both"/>
      </w:pPr>
    </w:p>
    <w:p w14:paraId="0515FEA6" w14:textId="77777777" w:rsidR="00013875" w:rsidRDefault="00013875" w:rsidP="00013875">
      <w:pPr>
        <w:pStyle w:val="ATSNormal"/>
        <w:jc w:val="center"/>
        <w:rPr>
          <w:b/>
        </w:rPr>
      </w:pPr>
    </w:p>
    <w:p w14:paraId="37D6E339" w14:textId="77777777" w:rsidR="00013875" w:rsidRDefault="00013875" w:rsidP="00013875">
      <w:pPr>
        <w:jc w:val="center"/>
      </w:pPr>
    </w:p>
    <w:p w14:paraId="110CA090" w14:textId="77777777" w:rsidR="00013875" w:rsidRPr="00013875" w:rsidRDefault="00013875" w:rsidP="00952E9F">
      <w:pPr>
        <w:rPr>
          <w:lang w:val="es-AR"/>
        </w:rPr>
      </w:pPr>
    </w:p>
    <w:sectPr w:rsidR="00013875" w:rsidRPr="00013875" w:rsidSect="00E02E88">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8285" w14:textId="77777777" w:rsidR="00113386" w:rsidRDefault="00013875">
      <w:r>
        <w:separator/>
      </w:r>
    </w:p>
  </w:endnote>
  <w:endnote w:type="continuationSeparator" w:id="0">
    <w:p w14:paraId="3C9E99AB" w14:textId="77777777" w:rsidR="00113386" w:rsidRDefault="0001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D25F3" w14:textId="4CCAFB15" w:rsidR="00FA0B9F" w:rsidRDefault="00013875" w:rsidP="00CF5C82">
    <w:pPr>
      <w:framePr w:wrap="around" w:vAnchor="text" w:hAnchor="margin" w:xAlign="right" w:y="1"/>
    </w:pPr>
    <w:r>
      <w:fldChar w:fldCharType="begin"/>
    </w:r>
    <w:r>
      <w:instrText xml:space="preserve">PAGE  </w:instrText>
    </w:r>
    <w:r>
      <w:fldChar w:fldCharType="separate"/>
    </w:r>
    <w:r w:rsidR="00573FF5">
      <w:rPr>
        <w:noProof/>
      </w:rPr>
      <w:t>0</w:t>
    </w:r>
    <w:r>
      <w:fldChar w:fldCharType="end"/>
    </w:r>
  </w:p>
  <w:p w14:paraId="4385AB73" w14:textId="77777777" w:rsidR="00FA0B9F" w:rsidRDefault="00316C4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8B89" w14:textId="77777777" w:rsidR="00FA0B9F" w:rsidRDefault="00013875" w:rsidP="00CF5C82">
    <w:pPr>
      <w:framePr w:wrap="around" w:vAnchor="text" w:hAnchor="margin" w:xAlign="right" w:y="1"/>
    </w:pPr>
    <w:r>
      <w:fldChar w:fldCharType="begin"/>
    </w:r>
    <w:r>
      <w:instrText xml:space="preserve">PAGE  </w:instrText>
    </w:r>
    <w:r>
      <w:fldChar w:fldCharType="separate"/>
    </w:r>
    <w:r>
      <w:t>1</w:t>
    </w:r>
    <w:r>
      <w:fldChar w:fldCharType="end"/>
    </w:r>
  </w:p>
  <w:p w14:paraId="238ECB08" w14:textId="498644CA" w:rsidR="00FA0B9F" w:rsidRDefault="00316C4F" w:rsidP="0001387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345A" w14:textId="77777777" w:rsidR="00E311C9" w:rsidRDefault="00013875" w:rsidP="00CF5C82">
    <w:pPr>
      <w:framePr w:wrap="around" w:vAnchor="text" w:hAnchor="margin" w:xAlign="right" w:y="1"/>
    </w:pPr>
    <w:r>
      <w:fldChar w:fldCharType="begin"/>
    </w:r>
    <w:r>
      <w:instrText xml:space="preserve">PAGE  </w:instrText>
    </w:r>
    <w:r>
      <w:fldChar w:fldCharType="separate"/>
    </w:r>
    <w:r>
      <w:t>3</w:t>
    </w:r>
    <w:r>
      <w:fldChar w:fldCharType="end"/>
    </w:r>
  </w:p>
  <w:p w14:paraId="6A2320C2" w14:textId="77777777" w:rsidR="00E311C9" w:rsidRDefault="00316C4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F5C7" w14:textId="77777777" w:rsidR="00113386" w:rsidRDefault="00013875">
      <w:r>
        <w:separator/>
      </w:r>
    </w:p>
  </w:footnote>
  <w:footnote w:type="continuationSeparator" w:id="0">
    <w:p w14:paraId="77742023" w14:textId="77777777" w:rsidR="00113386" w:rsidRDefault="0001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314DE1" w14:paraId="59A250EE" w14:textId="77777777" w:rsidTr="002169D4">
      <w:trPr>
        <w:trHeight w:val="354"/>
        <w:jc w:val="center"/>
      </w:trPr>
      <w:tc>
        <w:tcPr>
          <w:tcW w:w="5672" w:type="dxa"/>
        </w:tcPr>
        <w:p w14:paraId="013B8BF8" w14:textId="77777777" w:rsidR="00C449BA" w:rsidRDefault="00316C4F" w:rsidP="002A07BC"/>
      </w:tc>
      <w:tc>
        <w:tcPr>
          <w:tcW w:w="4071" w:type="dxa"/>
          <w:gridSpan w:val="2"/>
        </w:tcPr>
        <w:p w14:paraId="647568EE" w14:textId="77777777" w:rsidR="00C449BA" w:rsidRPr="000A4CD7" w:rsidRDefault="00013875" w:rsidP="002A07BC">
          <w:pPr>
            <w:jc w:val="right"/>
            <w:rPr>
              <w:b/>
              <w:sz w:val="32"/>
              <w:szCs w:val="32"/>
            </w:rPr>
          </w:pPr>
          <w:bookmarkStart w:id="2" w:name="type"/>
          <w:r>
            <w:rPr>
              <w:b/>
              <w:sz w:val="32"/>
            </w:rPr>
            <w:t>IP</w:t>
          </w:r>
          <w:bookmarkEnd w:id="2"/>
        </w:p>
      </w:tc>
      <w:tc>
        <w:tcPr>
          <w:tcW w:w="1599" w:type="dxa"/>
          <w:gridSpan w:val="2"/>
        </w:tcPr>
        <w:p w14:paraId="07476961" w14:textId="77777777" w:rsidR="00C449BA" w:rsidRPr="000A4CD7" w:rsidRDefault="00013875" w:rsidP="002A07BC">
          <w:pPr>
            <w:rPr>
              <w:b/>
              <w:sz w:val="32"/>
              <w:szCs w:val="32"/>
            </w:rPr>
          </w:pPr>
          <w:bookmarkStart w:id="3" w:name="number"/>
          <w:r>
            <w:rPr>
              <w:b/>
              <w:sz w:val="32"/>
            </w:rPr>
            <w:t>30</w:t>
          </w:r>
          <w:bookmarkEnd w:id="3"/>
        </w:p>
      </w:tc>
    </w:tr>
    <w:tr w:rsidR="00314DE1" w14:paraId="2DBEEEC2" w14:textId="77777777" w:rsidTr="002169D4">
      <w:trPr>
        <w:trHeight w:val="2244"/>
        <w:jc w:val="center"/>
      </w:trPr>
      <w:tc>
        <w:tcPr>
          <w:tcW w:w="5671" w:type="dxa"/>
        </w:tcPr>
        <w:p w14:paraId="4307981F" w14:textId="77777777" w:rsidR="002169D4" w:rsidRPr="00550FDE" w:rsidRDefault="00013875" w:rsidP="002A07BC">
          <w:pPr>
            <w:rPr>
              <w:b/>
              <w:sz w:val="28"/>
              <w:szCs w:val="28"/>
            </w:rPr>
          </w:pPr>
          <w:r>
            <w:rPr>
              <w:noProof/>
            </w:rPr>
            <w:drawing>
              <wp:inline distT="0" distB="0" distL="0" distR="0" wp14:anchorId="2AF7A287" wp14:editId="7922D09C">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783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1563B90D" w14:textId="77777777" w:rsidR="002169D4" w:rsidRPr="002169D4" w:rsidRDefault="00013875" w:rsidP="002169D4">
          <w:pPr>
            <w:jc w:val="right"/>
            <w:rPr>
              <w:sz w:val="144"/>
              <w:szCs w:val="144"/>
            </w:rPr>
          </w:pPr>
          <w:r>
            <w:rPr>
              <w:sz w:val="144"/>
            </w:rPr>
            <w:t>ENG</w:t>
          </w:r>
        </w:p>
      </w:tc>
    </w:tr>
    <w:tr w:rsidR="00314DE1" w14:paraId="4D325BA4" w14:textId="77777777" w:rsidTr="002169D4">
      <w:trPr>
        <w:trHeight w:val="420"/>
        <w:jc w:val="center"/>
      </w:trPr>
      <w:tc>
        <w:tcPr>
          <w:tcW w:w="8904" w:type="dxa"/>
          <w:gridSpan w:val="2"/>
        </w:tcPr>
        <w:p w14:paraId="10DA4373" w14:textId="77777777" w:rsidR="000A4CD7" w:rsidRDefault="00013875" w:rsidP="008D2157">
          <w:pPr>
            <w:jc w:val="right"/>
          </w:pPr>
          <w:r>
            <w:t>Agenda Item:</w:t>
          </w:r>
        </w:p>
      </w:tc>
      <w:tc>
        <w:tcPr>
          <w:tcW w:w="1830" w:type="dxa"/>
          <w:gridSpan w:val="2"/>
        </w:tcPr>
        <w:p w14:paraId="205A4462" w14:textId="77777777" w:rsidR="000A4CD7" w:rsidRDefault="00013875" w:rsidP="008D2157">
          <w:pPr>
            <w:jc w:val="right"/>
          </w:pPr>
          <w:bookmarkStart w:id="4" w:name="agenda"/>
          <w:r>
            <w:t>CEP 10a</w:t>
          </w:r>
          <w:bookmarkEnd w:id="4"/>
        </w:p>
      </w:tc>
      <w:tc>
        <w:tcPr>
          <w:tcW w:w="608" w:type="dxa"/>
        </w:tcPr>
        <w:p w14:paraId="41FE2085" w14:textId="77777777" w:rsidR="000A4CD7" w:rsidRDefault="00316C4F" w:rsidP="00387A65">
          <w:pPr>
            <w:jc w:val="right"/>
          </w:pPr>
        </w:p>
      </w:tc>
    </w:tr>
    <w:tr w:rsidR="00314DE1" w14:paraId="7476F0BB" w14:textId="77777777" w:rsidTr="002169D4">
      <w:trPr>
        <w:trHeight w:val="408"/>
        <w:jc w:val="center"/>
      </w:trPr>
      <w:tc>
        <w:tcPr>
          <w:tcW w:w="8904" w:type="dxa"/>
          <w:gridSpan w:val="2"/>
        </w:tcPr>
        <w:p w14:paraId="1FF28DCE" w14:textId="77777777" w:rsidR="000A4CD7" w:rsidRDefault="00013875" w:rsidP="008D2157">
          <w:pPr>
            <w:jc w:val="right"/>
          </w:pPr>
          <w:r>
            <w:t>Submitted by:</w:t>
          </w:r>
        </w:p>
      </w:tc>
      <w:tc>
        <w:tcPr>
          <w:tcW w:w="1830" w:type="dxa"/>
          <w:gridSpan w:val="2"/>
        </w:tcPr>
        <w:p w14:paraId="3736C88A" w14:textId="77777777" w:rsidR="000A4CD7" w:rsidRDefault="00013875" w:rsidP="008D2157">
          <w:pPr>
            <w:jc w:val="right"/>
          </w:pPr>
          <w:bookmarkStart w:id="5" w:name="party"/>
          <w:r>
            <w:t>Argentina, Uruguay</w:t>
          </w:r>
          <w:bookmarkEnd w:id="5"/>
        </w:p>
      </w:tc>
      <w:tc>
        <w:tcPr>
          <w:tcW w:w="608" w:type="dxa"/>
        </w:tcPr>
        <w:p w14:paraId="4BB83285" w14:textId="77777777" w:rsidR="000A4CD7" w:rsidRDefault="00316C4F" w:rsidP="00387A65">
          <w:pPr>
            <w:jc w:val="right"/>
          </w:pPr>
        </w:p>
      </w:tc>
    </w:tr>
    <w:tr w:rsidR="00314DE1" w14:paraId="1A34873D" w14:textId="77777777" w:rsidTr="002169D4">
      <w:trPr>
        <w:trHeight w:val="420"/>
        <w:jc w:val="center"/>
      </w:trPr>
      <w:tc>
        <w:tcPr>
          <w:tcW w:w="8904" w:type="dxa"/>
          <w:gridSpan w:val="2"/>
        </w:tcPr>
        <w:p w14:paraId="11FE1CAA" w14:textId="77777777" w:rsidR="000A4CD7" w:rsidRDefault="00013875" w:rsidP="008D2157">
          <w:pPr>
            <w:jc w:val="right"/>
          </w:pPr>
          <w:r>
            <w:t>Original:</w:t>
          </w:r>
        </w:p>
      </w:tc>
      <w:tc>
        <w:tcPr>
          <w:tcW w:w="1830" w:type="dxa"/>
          <w:gridSpan w:val="2"/>
        </w:tcPr>
        <w:p w14:paraId="5C9E5A6E" w14:textId="77777777" w:rsidR="000A4CD7" w:rsidRDefault="00013875" w:rsidP="008D2157">
          <w:pPr>
            <w:jc w:val="right"/>
          </w:pPr>
          <w:bookmarkStart w:id="6" w:name="language"/>
          <w:r>
            <w:t>Spanish</w:t>
          </w:r>
          <w:bookmarkEnd w:id="6"/>
        </w:p>
      </w:tc>
      <w:tc>
        <w:tcPr>
          <w:tcW w:w="608" w:type="dxa"/>
        </w:tcPr>
        <w:p w14:paraId="42002266" w14:textId="77777777" w:rsidR="000A4CD7" w:rsidRDefault="00316C4F" w:rsidP="00387A65">
          <w:pPr>
            <w:jc w:val="right"/>
          </w:pPr>
        </w:p>
      </w:tc>
    </w:tr>
    <w:tr w:rsidR="00314DE1" w14:paraId="3D456173" w14:textId="77777777" w:rsidTr="002169D4">
      <w:trPr>
        <w:trHeight w:val="420"/>
        <w:jc w:val="center"/>
      </w:trPr>
      <w:tc>
        <w:tcPr>
          <w:tcW w:w="8904" w:type="dxa"/>
          <w:gridSpan w:val="2"/>
        </w:tcPr>
        <w:p w14:paraId="6C34DD04" w14:textId="77777777" w:rsidR="00965EDE" w:rsidRDefault="00013875" w:rsidP="008D2157">
          <w:pPr>
            <w:jc w:val="right"/>
          </w:pPr>
          <w:r>
            <w:t>Submitted:</w:t>
          </w:r>
        </w:p>
      </w:tc>
      <w:tc>
        <w:tcPr>
          <w:tcW w:w="1830" w:type="dxa"/>
          <w:gridSpan w:val="2"/>
        </w:tcPr>
        <w:p w14:paraId="430FC296" w14:textId="77777777" w:rsidR="00965EDE" w:rsidRDefault="00013875" w:rsidP="008D2157">
          <w:pPr>
            <w:jc w:val="right"/>
          </w:pPr>
          <w:bookmarkStart w:id="7" w:name="date_submission"/>
          <w:r>
            <w:t>8/4/2022</w:t>
          </w:r>
          <w:bookmarkEnd w:id="7"/>
        </w:p>
      </w:tc>
      <w:tc>
        <w:tcPr>
          <w:tcW w:w="608" w:type="dxa"/>
        </w:tcPr>
        <w:p w14:paraId="4EA8D021" w14:textId="77777777" w:rsidR="00965EDE" w:rsidRDefault="00316C4F" w:rsidP="00387A65">
          <w:pPr>
            <w:jc w:val="right"/>
          </w:pPr>
        </w:p>
      </w:tc>
    </w:tr>
  </w:tbl>
  <w:p w14:paraId="29B83BFD" w14:textId="77777777" w:rsidR="00AE5DD0" w:rsidRDefault="00316C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14DE1" w14:paraId="30E627CA" w14:textId="77777777">
      <w:trPr>
        <w:trHeight w:val="354"/>
        <w:jc w:val="center"/>
      </w:trPr>
      <w:tc>
        <w:tcPr>
          <w:tcW w:w="9694" w:type="dxa"/>
        </w:tcPr>
        <w:p w14:paraId="4E02F2D9" w14:textId="75507050" w:rsidR="00AE5DD0" w:rsidRPr="000A4CD7" w:rsidRDefault="00013875" w:rsidP="00C26F2D">
          <w:pPr>
            <w:jc w:val="right"/>
            <w:rPr>
              <w:b/>
              <w:sz w:val="32"/>
              <w:szCs w:val="32"/>
            </w:rPr>
          </w:pPr>
          <w:r>
            <w:rPr>
              <w:b/>
              <w:sz w:val="32"/>
            </w:rPr>
            <w:t>IP</w:t>
          </w:r>
        </w:p>
      </w:tc>
      <w:tc>
        <w:tcPr>
          <w:tcW w:w="1332" w:type="dxa"/>
        </w:tcPr>
        <w:p w14:paraId="622B4440" w14:textId="4D64C96A" w:rsidR="00AE5DD0" w:rsidRPr="000A4CD7" w:rsidRDefault="00013875" w:rsidP="00080F4C">
          <w:pPr>
            <w:rPr>
              <w:b/>
              <w:sz w:val="32"/>
              <w:szCs w:val="32"/>
            </w:rPr>
          </w:pPr>
          <w:r>
            <w:rPr>
              <w:b/>
              <w:sz w:val="32"/>
            </w:rPr>
            <w:t>30</w:t>
          </w:r>
        </w:p>
      </w:tc>
    </w:tr>
  </w:tbl>
  <w:p w14:paraId="08913060" w14:textId="77777777" w:rsidR="00AE5DD0" w:rsidRDefault="00316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E845396">
      <w:start w:val="1"/>
      <w:numFmt w:val="bullet"/>
      <w:pStyle w:val="ATSBullet1"/>
      <w:lvlText w:val=""/>
      <w:lvlJc w:val="left"/>
      <w:pPr>
        <w:tabs>
          <w:tab w:val="num" w:pos="360"/>
        </w:tabs>
        <w:ind w:left="360" w:hanging="360"/>
      </w:pPr>
      <w:rPr>
        <w:rFonts w:ascii="Symbol" w:hAnsi="Symbol" w:hint="default"/>
        <w:color w:val="auto"/>
      </w:rPr>
    </w:lvl>
    <w:lvl w:ilvl="1" w:tplc="17C09738" w:tentative="1">
      <w:start w:val="1"/>
      <w:numFmt w:val="bullet"/>
      <w:lvlText w:val="o"/>
      <w:lvlJc w:val="left"/>
      <w:pPr>
        <w:tabs>
          <w:tab w:val="num" w:pos="1440"/>
        </w:tabs>
        <w:ind w:left="1440" w:hanging="360"/>
      </w:pPr>
      <w:rPr>
        <w:rFonts w:ascii="Courier New" w:hAnsi="Courier New" w:cs="Courier New" w:hint="default"/>
      </w:rPr>
    </w:lvl>
    <w:lvl w:ilvl="2" w:tplc="C552947E" w:tentative="1">
      <w:start w:val="1"/>
      <w:numFmt w:val="bullet"/>
      <w:lvlText w:val=""/>
      <w:lvlJc w:val="left"/>
      <w:pPr>
        <w:tabs>
          <w:tab w:val="num" w:pos="2160"/>
        </w:tabs>
        <w:ind w:left="2160" w:hanging="360"/>
      </w:pPr>
      <w:rPr>
        <w:rFonts w:ascii="Wingdings" w:hAnsi="Wingdings" w:hint="default"/>
      </w:rPr>
    </w:lvl>
    <w:lvl w:ilvl="3" w:tplc="54CC7C46" w:tentative="1">
      <w:start w:val="1"/>
      <w:numFmt w:val="bullet"/>
      <w:lvlText w:val=""/>
      <w:lvlJc w:val="left"/>
      <w:pPr>
        <w:tabs>
          <w:tab w:val="num" w:pos="2880"/>
        </w:tabs>
        <w:ind w:left="2880" w:hanging="360"/>
      </w:pPr>
      <w:rPr>
        <w:rFonts w:ascii="Symbol" w:hAnsi="Symbol" w:hint="default"/>
      </w:rPr>
    </w:lvl>
    <w:lvl w:ilvl="4" w:tplc="FEE67912" w:tentative="1">
      <w:start w:val="1"/>
      <w:numFmt w:val="bullet"/>
      <w:lvlText w:val="o"/>
      <w:lvlJc w:val="left"/>
      <w:pPr>
        <w:tabs>
          <w:tab w:val="num" w:pos="3600"/>
        </w:tabs>
        <w:ind w:left="3600" w:hanging="360"/>
      </w:pPr>
      <w:rPr>
        <w:rFonts w:ascii="Courier New" w:hAnsi="Courier New" w:cs="Courier New" w:hint="default"/>
      </w:rPr>
    </w:lvl>
    <w:lvl w:ilvl="5" w:tplc="2F3C7376" w:tentative="1">
      <w:start w:val="1"/>
      <w:numFmt w:val="bullet"/>
      <w:lvlText w:val=""/>
      <w:lvlJc w:val="left"/>
      <w:pPr>
        <w:tabs>
          <w:tab w:val="num" w:pos="4320"/>
        </w:tabs>
        <w:ind w:left="4320" w:hanging="360"/>
      </w:pPr>
      <w:rPr>
        <w:rFonts w:ascii="Wingdings" w:hAnsi="Wingdings" w:hint="default"/>
      </w:rPr>
    </w:lvl>
    <w:lvl w:ilvl="6" w:tplc="EA821382" w:tentative="1">
      <w:start w:val="1"/>
      <w:numFmt w:val="bullet"/>
      <w:lvlText w:val=""/>
      <w:lvlJc w:val="left"/>
      <w:pPr>
        <w:tabs>
          <w:tab w:val="num" w:pos="5040"/>
        </w:tabs>
        <w:ind w:left="5040" w:hanging="360"/>
      </w:pPr>
      <w:rPr>
        <w:rFonts w:ascii="Symbol" w:hAnsi="Symbol" w:hint="default"/>
      </w:rPr>
    </w:lvl>
    <w:lvl w:ilvl="7" w:tplc="A0824A30" w:tentative="1">
      <w:start w:val="1"/>
      <w:numFmt w:val="bullet"/>
      <w:lvlText w:val="o"/>
      <w:lvlJc w:val="left"/>
      <w:pPr>
        <w:tabs>
          <w:tab w:val="num" w:pos="5760"/>
        </w:tabs>
        <w:ind w:left="5760" w:hanging="360"/>
      </w:pPr>
      <w:rPr>
        <w:rFonts w:ascii="Courier New" w:hAnsi="Courier New" w:cs="Courier New" w:hint="default"/>
      </w:rPr>
    </w:lvl>
    <w:lvl w:ilvl="8" w:tplc="852425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78A38EA">
      <w:start w:val="1"/>
      <w:numFmt w:val="decimal"/>
      <w:lvlText w:val="%1)"/>
      <w:lvlJc w:val="left"/>
      <w:pPr>
        <w:tabs>
          <w:tab w:val="num" w:pos="340"/>
        </w:tabs>
        <w:ind w:left="340" w:hanging="340"/>
      </w:pPr>
      <w:rPr>
        <w:rFonts w:hint="default"/>
      </w:rPr>
    </w:lvl>
    <w:lvl w:ilvl="1" w:tplc="C5C01274" w:tentative="1">
      <w:start w:val="1"/>
      <w:numFmt w:val="lowerLetter"/>
      <w:lvlText w:val="%2."/>
      <w:lvlJc w:val="left"/>
      <w:pPr>
        <w:tabs>
          <w:tab w:val="num" w:pos="1440"/>
        </w:tabs>
        <w:ind w:left="1440" w:hanging="360"/>
      </w:pPr>
    </w:lvl>
    <w:lvl w:ilvl="2" w:tplc="3BE8AF8A" w:tentative="1">
      <w:start w:val="1"/>
      <w:numFmt w:val="lowerRoman"/>
      <w:lvlText w:val="%3."/>
      <w:lvlJc w:val="right"/>
      <w:pPr>
        <w:tabs>
          <w:tab w:val="num" w:pos="2160"/>
        </w:tabs>
        <w:ind w:left="2160" w:hanging="180"/>
      </w:pPr>
    </w:lvl>
    <w:lvl w:ilvl="3" w:tplc="E1DC69B2" w:tentative="1">
      <w:start w:val="1"/>
      <w:numFmt w:val="decimal"/>
      <w:lvlText w:val="%4."/>
      <w:lvlJc w:val="left"/>
      <w:pPr>
        <w:tabs>
          <w:tab w:val="num" w:pos="2880"/>
        </w:tabs>
        <w:ind w:left="2880" w:hanging="360"/>
      </w:pPr>
    </w:lvl>
    <w:lvl w:ilvl="4" w:tplc="71924FE2" w:tentative="1">
      <w:start w:val="1"/>
      <w:numFmt w:val="lowerLetter"/>
      <w:lvlText w:val="%5."/>
      <w:lvlJc w:val="left"/>
      <w:pPr>
        <w:tabs>
          <w:tab w:val="num" w:pos="3600"/>
        </w:tabs>
        <w:ind w:left="3600" w:hanging="360"/>
      </w:pPr>
    </w:lvl>
    <w:lvl w:ilvl="5" w:tplc="11F2B706" w:tentative="1">
      <w:start w:val="1"/>
      <w:numFmt w:val="lowerRoman"/>
      <w:lvlText w:val="%6."/>
      <w:lvlJc w:val="right"/>
      <w:pPr>
        <w:tabs>
          <w:tab w:val="num" w:pos="4320"/>
        </w:tabs>
        <w:ind w:left="4320" w:hanging="180"/>
      </w:pPr>
    </w:lvl>
    <w:lvl w:ilvl="6" w:tplc="DCBE0386" w:tentative="1">
      <w:start w:val="1"/>
      <w:numFmt w:val="decimal"/>
      <w:lvlText w:val="%7."/>
      <w:lvlJc w:val="left"/>
      <w:pPr>
        <w:tabs>
          <w:tab w:val="num" w:pos="5040"/>
        </w:tabs>
        <w:ind w:left="5040" w:hanging="360"/>
      </w:pPr>
    </w:lvl>
    <w:lvl w:ilvl="7" w:tplc="83887B82" w:tentative="1">
      <w:start w:val="1"/>
      <w:numFmt w:val="lowerLetter"/>
      <w:lvlText w:val="%8."/>
      <w:lvlJc w:val="left"/>
      <w:pPr>
        <w:tabs>
          <w:tab w:val="num" w:pos="5760"/>
        </w:tabs>
        <w:ind w:left="5760" w:hanging="360"/>
      </w:pPr>
    </w:lvl>
    <w:lvl w:ilvl="8" w:tplc="B33EFEB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FC6AB88">
      <w:start w:val="1"/>
      <w:numFmt w:val="decimal"/>
      <w:lvlText w:val="%1."/>
      <w:lvlJc w:val="left"/>
      <w:pPr>
        <w:tabs>
          <w:tab w:val="num" w:pos="1057"/>
        </w:tabs>
        <w:ind w:left="1057" w:hanging="360"/>
      </w:pPr>
      <w:rPr>
        <w:rFonts w:hint="default"/>
      </w:rPr>
    </w:lvl>
    <w:lvl w:ilvl="1" w:tplc="091A99EE" w:tentative="1">
      <w:start w:val="1"/>
      <w:numFmt w:val="lowerLetter"/>
      <w:lvlText w:val="%2."/>
      <w:lvlJc w:val="left"/>
      <w:pPr>
        <w:tabs>
          <w:tab w:val="num" w:pos="2137"/>
        </w:tabs>
        <w:ind w:left="2137" w:hanging="360"/>
      </w:pPr>
    </w:lvl>
    <w:lvl w:ilvl="2" w:tplc="F042C060" w:tentative="1">
      <w:start w:val="1"/>
      <w:numFmt w:val="lowerRoman"/>
      <w:lvlText w:val="%3."/>
      <w:lvlJc w:val="right"/>
      <w:pPr>
        <w:tabs>
          <w:tab w:val="num" w:pos="2857"/>
        </w:tabs>
        <w:ind w:left="2857" w:hanging="180"/>
      </w:pPr>
    </w:lvl>
    <w:lvl w:ilvl="3" w:tplc="C7D82A32" w:tentative="1">
      <w:start w:val="1"/>
      <w:numFmt w:val="decimal"/>
      <w:lvlText w:val="%4."/>
      <w:lvlJc w:val="left"/>
      <w:pPr>
        <w:tabs>
          <w:tab w:val="num" w:pos="3577"/>
        </w:tabs>
        <w:ind w:left="3577" w:hanging="360"/>
      </w:pPr>
    </w:lvl>
    <w:lvl w:ilvl="4" w:tplc="0FEE9CB0" w:tentative="1">
      <w:start w:val="1"/>
      <w:numFmt w:val="lowerLetter"/>
      <w:lvlText w:val="%5."/>
      <w:lvlJc w:val="left"/>
      <w:pPr>
        <w:tabs>
          <w:tab w:val="num" w:pos="4297"/>
        </w:tabs>
        <w:ind w:left="4297" w:hanging="360"/>
      </w:pPr>
    </w:lvl>
    <w:lvl w:ilvl="5" w:tplc="8130A484" w:tentative="1">
      <w:start w:val="1"/>
      <w:numFmt w:val="lowerRoman"/>
      <w:lvlText w:val="%6."/>
      <w:lvlJc w:val="right"/>
      <w:pPr>
        <w:tabs>
          <w:tab w:val="num" w:pos="5017"/>
        </w:tabs>
        <w:ind w:left="5017" w:hanging="180"/>
      </w:pPr>
    </w:lvl>
    <w:lvl w:ilvl="6" w:tplc="CA54AADA" w:tentative="1">
      <w:start w:val="1"/>
      <w:numFmt w:val="decimal"/>
      <w:lvlText w:val="%7."/>
      <w:lvlJc w:val="left"/>
      <w:pPr>
        <w:tabs>
          <w:tab w:val="num" w:pos="5737"/>
        </w:tabs>
        <w:ind w:left="5737" w:hanging="360"/>
      </w:pPr>
    </w:lvl>
    <w:lvl w:ilvl="7" w:tplc="DAD2507E" w:tentative="1">
      <w:start w:val="1"/>
      <w:numFmt w:val="lowerLetter"/>
      <w:lvlText w:val="%8."/>
      <w:lvlJc w:val="left"/>
      <w:pPr>
        <w:tabs>
          <w:tab w:val="num" w:pos="6457"/>
        </w:tabs>
        <w:ind w:left="6457" w:hanging="360"/>
      </w:pPr>
    </w:lvl>
    <w:lvl w:ilvl="8" w:tplc="49CEF39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0D20268">
      <w:start w:val="1"/>
      <w:numFmt w:val="decimal"/>
      <w:pStyle w:val="ATSNumber1"/>
      <w:lvlText w:val="%1)"/>
      <w:lvlJc w:val="left"/>
      <w:pPr>
        <w:tabs>
          <w:tab w:val="num" w:pos="720"/>
        </w:tabs>
        <w:ind w:left="720" w:hanging="360"/>
      </w:pPr>
    </w:lvl>
    <w:lvl w:ilvl="1" w:tplc="87EE4304" w:tentative="1">
      <w:start w:val="1"/>
      <w:numFmt w:val="lowerLetter"/>
      <w:lvlText w:val="%2."/>
      <w:lvlJc w:val="left"/>
      <w:pPr>
        <w:tabs>
          <w:tab w:val="num" w:pos="1440"/>
        </w:tabs>
        <w:ind w:left="1440" w:hanging="360"/>
      </w:pPr>
    </w:lvl>
    <w:lvl w:ilvl="2" w:tplc="3E521F50" w:tentative="1">
      <w:start w:val="1"/>
      <w:numFmt w:val="lowerRoman"/>
      <w:lvlText w:val="%3."/>
      <w:lvlJc w:val="right"/>
      <w:pPr>
        <w:tabs>
          <w:tab w:val="num" w:pos="2160"/>
        </w:tabs>
        <w:ind w:left="2160" w:hanging="180"/>
      </w:pPr>
    </w:lvl>
    <w:lvl w:ilvl="3" w:tplc="C7B88820" w:tentative="1">
      <w:start w:val="1"/>
      <w:numFmt w:val="decimal"/>
      <w:lvlText w:val="%4."/>
      <w:lvlJc w:val="left"/>
      <w:pPr>
        <w:tabs>
          <w:tab w:val="num" w:pos="2880"/>
        </w:tabs>
        <w:ind w:left="2880" w:hanging="360"/>
      </w:pPr>
    </w:lvl>
    <w:lvl w:ilvl="4" w:tplc="968ABE8C" w:tentative="1">
      <w:start w:val="1"/>
      <w:numFmt w:val="lowerLetter"/>
      <w:lvlText w:val="%5."/>
      <w:lvlJc w:val="left"/>
      <w:pPr>
        <w:tabs>
          <w:tab w:val="num" w:pos="3600"/>
        </w:tabs>
        <w:ind w:left="3600" w:hanging="360"/>
      </w:pPr>
    </w:lvl>
    <w:lvl w:ilvl="5" w:tplc="95182A18" w:tentative="1">
      <w:start w:val="1"/>
      <w:numFmt w:val="lowerRoman"/>
      <w:lvlText w:val="%6."/>
      <w:lvlJc w:val="right"/>
      <w:pPr>
        <w:tabs>
          <w:tab w:val="num" w:pos="4320"/>
        </w:tabs>
        <w:ind w:left="4320" w:hanging="180"/>
      </w:pPr>
    </w:lvl>
    <w:lvl w:ilvl="6" w:tplc="39D05924" w:tentative="1">
      <w:start w:val="1"/>
      <w:numFmt w:val="decimal"/>
      <w:lvlText w:val="%7."/>
      <w:lvlJc w:val="left"/>
      <w:pPr>
        <w:tabs>
          <w:tab w:val="num" w:pos="5040"/>
        </w:tabs>
        <w:ind w:left="5040" w:hanging="360"/>
      </w:pPr>
    </w:lvl>
    <w:lvl w:ilvl="7" w:tplc="557029E2" w:tentative="1">
      <w:start w:val="1"/>
      <w:numFmt w:val="lowerLetter"/>
      <w:lvlText w:val="%8."/>
      <w:lvlJc w:val="left"/>
      <w:pPr>
        <w:tabs>
          <w:tab w:val="num" w:pos="5760"/>
        </w:tabs>
        <w:ind w:left="5760" w:hanging="360"/>
      </w:pPr>
    </w:lvl>
    <w:lvl w:ilvl="8" w:tplc="24FE66E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A24F5A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CC28A92" w:tentative="1">
      <w:start w:val="1"/>
      <w:numFmt w:val="bullet"/>
      <w:lvlText w:val="o"/>
      <w:lvlJc w:val="left"/>
      <w:pPr>
        <w:tabs>
          <w:tab w:val="num" w:pos="2517"/>
        </w:tabs>
        <w:ind w:left="2517" w:hanging="360"/>
      </w:pPr>
      <w:rPr>
        <w:rFonts w:ascii="Courier New" w:hAnsi="Courier New" w:cs="Courier New" w:hint="default"/>
      </w:rPr>
    </w:lvl>
    <w:lvl w:ilvl="2" w:tplc="70CCB7EE" w:tentative="1">
      <w:start w:val="1"/>
      <w:numFmt w:val="bullet"/>
      <w:lvlText w:val=""/>
      <w:lvlJc w:val="left"/>
      <w:pPr>
        <w:tabs>
          <w:tab w:val="num" w:pos="3237"/>
        </w:tabs>
        <w:ind w:left="3237" w:hanging="360"/>
      </w:pPr>
      <w:rPr>
        <w:rFonts w:ascii="Wingdings" w:hAnsi="Wingdings" w:hint="default"/>
      </w:rPr>
    </w:lvl>
    <w:lvl w:ilvl="3" w:tplc="B6C2B0E0" w:tentative="1">
      <w:start w:val="1"/>
      <w:numFmt w:val="bullet"/>
      <w:lvlText w:val=""/>
      <w:lvlJc w:val="left"/>
      <w:pPr>
        <w:tabs>
          <w:tab w:val="num" w:pos="3957"/>
        </w:tabs>
        <w:ind w:left="3957" w:hanging="360"/>
      </w:pPr>
      <w:rPr>
        <w:rFonts w:ascii="Symbol" w:hAnsi="Symbol" w:hint="default"/>
      </w:rPr>
    </w:lvl>
    <w:lvl w:ilvl="4" w:tplc="0F8E2D5E" w:tentative="1">
      <w:start w:val="1"/>
      <w:numFmt w:val="bullet"/>
      <w:lvlText w:val="o"/>
      <w:lvlJc w:val="left"/>
      <w:pPr>
        <w:tabs>
          <w:tab w:val="num" w:pos="4677"/>
        </w:tabs>
        <w:ind w:left="4677" w:hanging="360"/>
      </w:pPr>
      <w:rPr>
        <w:rFonts w:ascii="Courier New" w:hAnsi="Courier New" w:cs="Courier New" w:hint="default"/>
      </w:rPr>
    </w:lvl>
    <w:lvl w:ilvl="5" w:tplc="E87ECCC4" w:tentative="1">
      <w:start w:val="1"/>
      <w:numFmt w:val="bullet"/>
      <w:lvlText w:val=""/>
      <w:lvlJc w:val="left"/>
      <w:pPr>
        <w:tabs>
          <w:tab w:val="num" w:pos="5397"/>
        </w:tabs>
        <w:ind w:left="5397" w:hanging="360"/>
      </w:pPr>
      <w:rPr>
        <w:rFonts w:ascii="Wingdings" w:hAnsi="Wingdings" w:hint="default"/>
      </w:rPr>
    </w:lvl>
    <w:lvl w:ilvl="6" w:tplc="393629AE" w:tentative="1">
      <w:start w:val="1"/>
      <w:numFmt w:val="bullet"/>
      <w:lvlText w:val=""/>
      <w:lvlJc w:val="left"/>
      <w:pPr>
        <w:tabs>
          <w:tab w:val="num" w:pos="6117"/>
        </w:tabs>
        <w:ind w:left="6117" w:hanging="360"/>
      </w:pPr>
      <w:rPr>
        <w:rFonts w:ascii="Symbol" w:hAnsi="Symbol" w:hint="default"/>
      </w:rPr>
    </w:lvl>
    <w:lvl w:ilvl="7" w:tplc="470058D8" w:tentative="1">
      <w:start w:val="1"/>
      <w:numFmt w:val="bullet"/>
      <w:lvlText w:val="o"/>
      <w:lvlJc w:val="left"/>
      <w:pPr>
        <w:tabs>
          <w:tab w:val="num" w:pos="6837"/>
        </w:tabs>
        <w:ind w:left="6837" w:hanging="360"/>
      </w:pPr>
      <w:rPr>
        <w:rFonts w:ascii="Courier New" w:hAnsi="Courier New" w:cs="Courier New" w:hint="default"/>
      </w:rPr>
    </w:lvl>
    <w:lvl w:ilvl="8" w:tplc="EBFCB3C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928ED3C">
      <w:start w:val="1"/>
      <w:numFmt w:val="decimal"/>
      <w:pStyle w:val="ATSNumber2"/>
      <w:lvlText w:val="%1."/>
      <w:lvlJc w:val="left"/>
      <w:pPr>
        <w:tabs>
          <w:tab w:val="num" w:pos="720"/>
        </w:tabs>
        <w:ind w:left="720" w:hanging="360"/>
      </w:pPr>
      <w:rPr>
        <w:rFonts w:hint="default"/>
      </w:rPr>
    </w:lvl>
    <w:lvl w:ilvl="1" w:tplc="B44C7658" w:tentative="1">
      <w:start w:val="1"/>
      <w:numFmt w:val="lowerLetter"/>
      <w:lvlText w:val="%2."/>
      <w:lvlJc w:val="left"/>
      <w:pPr>
        <w:tabs>
          <w:tab w:val="num" w:pos="1440"/>
        </w:tabs>
        <w:ind w:left="1440" w:hanging="360"/>
      </w:pPr>
    </w:lvl>
    <w:lvl w:ilvl="2" w:tplc="8EFE42B0" w:tentative="1">
      <w:start w:val="1"/>
      <w:numFmt w:val="lowerRoman"/>
      <w:lvlText w:val="%3."/>
      <w:lvlJc w:val="right"/>
      <w:pPr>
        <w:tabs>
          <w:tab w:val="num" w:pos="2160"/>
        </w:tabs>
        <w:ind w:left="2160" w:hanging="180"/>
      </w:pPr>
    </w:lvl>
    <w:lvl w:ilvl="3" w:tplc="E794AF70" w:tentative="1">
      <w:start w:val="1"/>
      <w:numFmt w:val="decimal"/>
      <w:lvlText w:val="%4."/>
      <w:lvlJc w:val="left"/>
      <w:pPr>
        <w:tabs>
          <w:tab w:val="num" w:pos="2880"/>
        </w:tabs>
        <w:ind w:left="2880" w:hanging="360"/>
      </w:pPr>
    </w:lvl>
    <w:lvl w:ilvl="4" w:tplc="07C467BA" w:tentative="1">
      <w:start w:val="1"/>
      <w:numFmt w:val="lowerLetter"/>
      <w:lvlText w:val="%5."/>
      <w:lvlJc w:val="left"/>
      <w:pPr>
        <w:tabs>
          <w:tab w:val="num" w:pos="3600"/>
        </w:tabs>
        <w:ind w:left="3600" w:hanging="360"/>
      </w:pPr>
    </w:lvl>
    <w:lvl w:ilvl="5" w:tplc="E0A0059C" w:tentative="1">
      <w:start w:val="1"/>
      <w:numFmt w:val="lowerRoman"/>
      <w:lvlText w:val="%6."/>
      <w:lvlJc w:val="right"/>
      <w:pPr>
        <w:tabs>
          <w:tab w:val="num" w:pos="4320"/>
        </w:tabs>
        <w:ind w:left="4320" w:hanging="180"/>
      </w:pPr>
    </w:lvl>
    <w:lvl w:ilvl="6" w:tplc="91CA98B8" w:tentative="1">
      <w:start w:val="1"/>
      <w:numFmt w:val="decimal"/>
      <w:lvlText w:val="%7."/>
      <w:lvlJc w:val="left"/>
      <w:pPr>
        <w:tabs>
          <w:tab w:val="num" w:pos="5040"/>
        </w:tabs>
        <w:ind w:left="5040" w:hanging="360"/>
      </w:pPr>
    </w:lvl>
    <w:lvl w:ilvl="7" w:tplc="35846522" w:tentative="1">
      <w:start w:val="1"/>
      <w:numFmt w:val="lowerLetter"/>
      <w:lvlText w:val="%8."/>
      <w:lvlJc w:val="left"/>
      <w:pPr>
        <w:tabs>
          <w:tab w:val="num" w:pos="5760"/>
        </w:tabs>
        <w:ind w:left="5760" w:hanging="360"/>
      </w:pPr>
    </w:lvl>
    <w:lvl w:ilvl="8" w:tplc="452AE26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E1"/>
    <w:rsid w:val="00013875"/>
    <w:rsid w:val="00113386"/>
    <w:rsid w:val="00314DE1"/>
    <w:rsid w:val="00316C4F"/>
    <w:rsid w:val="00573FF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DDAA4"/>
  <w15:chartTrackingRefBased/>
  <w15:docId w15:val="{6D15F02C-AA19-40FB-B7BF-0F8935B5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Caption">
    <w:name w:val="caption"/>
    <w:basedOn w:val="Normal"/>
    <w:next w:val="Normal"/>
    <w:unhideWhenUsed/>
    <w:qFormat/>
    <w:rsid w:val="00013875"/>
    <w:pPr>
      <w:suppressAutoHyphens/>
      <w:spacing w:after="200"/>
    </w:pPr>
    <w:rPr>
      <w:i/>
      <w:iCs/>
      <w:color w:val="44546A" w:themeColor="text2"/>
      <w:sz w:val="18"/>
      <w:szCs w:val="18"/>
    </w:rPr>
  </w:style>
  <w:style w:type="paragraph" w:styleId="CommentText">
    <w:name w:val="annotation text"/>
    <w:basedOn w:val="Normal"/>
    <w:uiPriority w:val="99"/>
    <w:semiHidden/>
    <w:unhideWhenUsed/>
    <w:rPr>
      <w:sz w:val="20"/>
      <w:szCs w:val="20"/>
    </w:rPr>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1346</Words>
  <Characters>7472</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6</cp:revision>
  <cp:lastPrinted>1900-01-01T03:00:00Z</cp:lastPrinted>
  <dcterms:created xsi:type="dcterms:W3CDTF">2020-11-26T16:56:00Z</dcterms:created>
  <dcterms:modified xsi:type="dcterms:W3CDTF">2022-05-23T10:50:00Z</dcterms:modified>
</cp:coreProperties>
</file>