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DF3F4A" w14:textId="77777777" w:rsidR="00C26F2D" w:rsidRDefault="00F74E5A" w:rsidP="009E619D">
      <w:pPr>
        <w:rPr>
          <w:lang w:val="es-ES_tradnl"/>
        </w:rPr>
      </w:pPr>
    </w:p>
    <w:p w14:paraId="1E8BD8F8" w14:textId="77777777" w:rsidR="002F0A13" w:rsidRDefault="00F74E5A" w:rsidP="004B4A60">
      <w:pPr>
        <w:rPr>
          <w:b/>
          <w:u w:val="single"/>
          <w:lang w:val="es-ES_tradnl"/>
        </w:rPr>
      </w:pPr>
    </w:p>
    <w:p w14:paraId="760F68D3" w14:textId="77777777" w:rsidR="002F0A13" w:rsidRDefault="00F74E5A" w:rsidP="004B4A60">
      <w:pPr>
        <w:rPr>
          <w:b/>
          <w:u w:val="single"/>
          <w:lang w:val="es-ES_tradnl"/>
        </w:rPr>
      </w:pPr>
    </w:p>
    <w:p w14:paraId="48355279" w14:textId="77777777" w:rsidR="002F0A13" w:rsidRDefault="00F74E5A" w:rsidP="004B4A60">
      <w:pPr>
        <w:rPr>
          <w:b/>
          <w:u w:val="single"/>
          <w:lang w:val="es-ES_tradnl"/>
        </w:rPr>
      </w:pPr>
    </w:p>
    <w:p w14:paraId="40A9D47B" w14:textId="77777777" w:rsidR="002F0A13" w:rsidRDefault="00F74E5A" w:rsidP="004B4A60">
      <w:pPr>
        <w:rPr>
          <w:b/>
          <w:u w:val="single"/>
          <w:lang w:val="es-ES_tradnl"/>
        </w:rPr>
      </w:pPr>
    </w:p>
    <w:p w14:paraId="4E495B6F" w14:textId="77777777" w:rsidR="00C26F2D" w:rsidRDefault="00F74E5A" w:rsidP="004B4A60">
      <w:pPr>
        <w:rPr>
          <w:b/>
          <w:u w:val="single"/>
          <w:lang w:val="es-ES_tradnl"/>
        </w:rPr>
      </w:pPr>
    </w:p>
    <w:p w14:paraId="6F45889D" w14:textId="77777777" w:rsidR="004B4A60" w:rsidRPr="00CB3455" w:rsidRDefault="00CB3455" w:rsidP="001B789F">
      <w:pPr>
        <w:pStyle w:val="ATSTitle"/>
      </w:pPr>
      <w:bookmarkStart w:id="0" w:name="name"/>
      <w:r>
        <w:t>Methodology for evaluating vulnerability to climate change in environmental impact assessments</w:t>
      </w:r>
      <w:bookmarkEnd w:id="0"/>
    </w:p>
    <w:p w14:paraId="5996E053" w14:textId="77777777" w:rsidR="004B4A60" w:rsidRPr="00CB3455" w:rsidRDefault="00F74E5A" w:rsidP="00F75424">
      <w:pPr>
        <w:jc w:val="center"/>
        <w:rPr>
          <w:lang w:val="es-AR"/>
        </w:rPr>
      </w:pPr>
    </w:p>
    <w:p w14:paraId="0C28C292" w14:textId="77777777" w:rsidR="004B4A60" w:rsidRPr="00CB3455" w:rsidRDefault="00F74E5A" w:rsidP="002F0A13">
      <w:pPr>
        <w:rPr>
          <w:lang w:val="es-AR"/>
        </w:rPr>
      </w:pPr>
    </w:p>
    <w:p w14:paraId="12BD1C88" w14:textId="77777777" w:rsidR="004B4A60" w:rsidRPr="00CB3455" w:rsidRDefault="00F74E5A" w:rsidP="00F75424">
      <w:pPr>
        <w:jc w:val="center"/>
      </w:pPr>
      <w:bookmarkStart w:id="1" w:name="memo"/>
      <w:bookmarkEnd w:id="1"/>
    </w:p>
    <w:p w14:paraId="7BFC3770" w14:textId="77777777" w:rsidR="004B4A60" w:rsidRPr="00CB3455" w:rsidRDefault="00F74E5A" w:rsidP="004B4A60">
      <w:pPr>
        <w:rPr>
          <w:lang w:val="es-AR"/>
        </w:rPr>
      </w:pPr>
    </w:p>
    <w:p w14:paraId="15E7C012" w14:textId="77777777" w:rsidR="00C26F2D" w:rsidRPr="00CB3455" w:rsidRDefault="00F74E5A" w:rsidP="00952E9F">
      <w:pPr>
        <w:rPr>
          <w:lang w:val="es-AR"/>
        </w:rPr>
        <w:sectPr w:rsidR="00C26F2D" w:rsidRPr="00CB3455" w:rsidSect="000E1D5C">
          <w:headerReference w:type="default" r:id="rId7"/>
          <w:footerReference w:type="even" r:id="rId8"/>
          <w:footerReference w:type="default" r:id="rId9"/>
          <w:pgSz w:w="11907" w:h="16840" w:code="9"/>
          <w:pgMar w:top="1134" w:right="1134" w:bottom="1134" w:left="1134" w:header="709" w:footer="709" w:gutter="0"/>
          <w:cols w:space="708"/>
          <w:docGrid w:linePitch="360"/>
        </w:sectPr>
      </w:pPr>
    </w:p>
    <w:p w14:paraId="76C03A18" w14:textId="36E62BA2" w:rsidR="004B4A60" w:rsidRDefault="00F74E5A" w:rsidP="00952E9F">
      <w:pPr>
        <w:rPr>
          <w:lang w:val="es-AR"/>
        </w:rPr>
      </w:pPr>
    </w:p>
    <w:p w14:paraId="142625A7" w14:textId="77777777" w:rsidR="00CB3455" w:rsidRPr="0065498A" w:rsidRDefault="00CB3455" w:rsidP="00CB3455">
      <w:pPr>
        <w:pStyle w:val="ATSHeading1"/>
      </w:pPr>
      <w:r>
        <w:t>Methodology for evaluating vulnerability to climate change in environmental impact assessments</w:t>
      </w:r>
    </w:p>
    <w:p w14:paraId="167F3BEE" w14:textId="77777777" w:rsidR="00CB3455" w:rsidRPr="00026766" w:rsidRDefault="00CB3455" w:rsidP="00CB3455">
      <w:pPr>
        <w:pStyle w:val="ATSNormal"/>
        <w:jc w:val="center"/>
        <w:rPr>
          <w:b/>
        </w:rPr>
      </w:pPr>
      <w:r>
        <w:rPr>
          <w:b/>
        </w:rPr>
        <w:t>Information Paper submitted by Argentina</w:t>
      </w:r>
    </w:p>
    <w:p w14:paraId="2A2ADF25" w14:textId="77777777" w:rsidR="00CB3455" w:rsidRPr="00CB3455" w:rsidRDefault="00CB3455" w:rsidP="00CB3455">
      <w:pPr>
        <w:spacing w:after="120"/>
        <w:rPr>
          <w:b/>
          <w:bCs/>
          <w:i/>
          <w:iCs/>
        </w:rPr>
      </w:pPr>
      <w:r>
        <w:rPr>
          <w:b/>
          <w:i/>
        </w:rPr>
        <w:t>Summary</w:t>
      </w:r>
    </w:p>
    <w:p w14:paraId="49BF656F" w14:textId="77777777" w:rsidR="00CB3455" w:rsidRPr="00030880" w:rsidRDefault="00CB3455" w:rsidP="00CB3455">
      <w:pPr>
        <w:spacing w:after="120" w:line="360" w:lineRule="auto"/>
        <w:jc w:val="both"/>
      </w:pPr>
      <w:r>
        <w:t xml:space="preserve">The objective was to implement a qualitative methodology for climate change risk analysis to be incorporated into the initial environmental impact assessments carried out for infrastructure works. The methodology involves determining the exposure, threats and vulnerability in order to establish the risks involved and finally propose adaptation measures to minimise the impact. </w:t>
      </w:r>
    </w:p>
    <w:p w14:paraId="4EA328BE" w14:textId="77777777" w:rsidR="00CB3455" w:rsidRDefault="00CB3455" w:rsidP="00CB3455">
      <w:pPr>
        <w:spacing w:after="120"/>
        <w:rPr>
          <w:b/>
          <w:bCs/>
          <w:i/>
          <w:iCs/>
        </w:rPr>
      </w:pPr>
      <w:r>
        <w:rPr>
          <w:b/>
          <w:i/>
        </w:rPr>
        <w:t>Introduction</w:t>
      </w:r>
    </w:p>
    <w:p w14:paraId="645EDD8F" w14:textId="2961C4BB" w:rsidR="00CB3455" w:rsidRPr="00030880" w:rsidRDefault="00CB3455" w:rsidP="00CB3455">
      <w:pPr>
        <w:spacing w:line="360" w:lineRule="auto"/>
        <w:jc w:val="both"/>
      </w:pPr>
      <w:r>
        <w:t xml:space="preserve">The impacts of the risk of damage due to climate change are a growing concern as they reduce the predictability of future infrastructure needs and increase the vulnerability of populations and assets worldwide. In this regard, Resolution 1 (2016) states that one of </w:t>
      </w:r>
      <w:r w:rsidR="00F74E5A">
        <w:t>the</w:t>
      </w:r>
      <w:r>
        <w:t xml:space="preserve"> aims of </w:t>
      </w:r>
      <w:r w:rsidR="00F74E5A">
        <w:t>the</w:t>
      </w:r>
      <w:r>
        <w:t xml:space="preserve"> guidelines is "where appropriate, assist proponents to give consideration to the possible implications of climate change for proposed activities and their associated environmental impacts". For these reasons, the objective of being able to establish a methodology that allows the incorporation of a climate change risk analysis into its environmental impact assessments was set.</w:t>
      </w:r>
    </w:p>
    <w:p w14:paraId="26669D4E" w14:textId="77777777" w:rsidR="00CB3455" w:rsidRPr="00030880" w:rsidRDefault="00CB3455" w:rsidP="00CB3455">
      <w:pPr>
        <w:spacing w:after="120"/>
        <w:rPr>
          <w:b/>
          <w:bCs/>
          <w:i/>
          <w:iCs/>
        </w:rPr>
      </w:pPr>
      <w:r>
        <w:rPr>
          <w:b/>
          <w:i/>
        </w:rPr>
        <w:t>Methodology Guidelines</w:t>
      </w:r>
    </w:p>
    <w:p w14:paraId="49AD7175" w14:textId="77777777" w:rsidR="00CB3455" w:rsidRPr="00E97827" w:rsidRDefault="00CB3455" w:rsidP="00CB3455">
      <w:pPr>
        <w:spacing w:after="120" w:line="360" w:lineRule="auto"/>
        <w:jc w:val="both"/>
      </w:pPr>
      <w:r>
        <w:t>To establish the methodology, the definitions and guidelines established by the IPCC (IPCC 2014) were followed. This Methodology was designed in this first stage to be applied mainly to infrastructure projects, but it is expected to be extended to all types of activities in the future. Among the many methodologies that exist, we take as a basic reference “</w:t>
      </w:r>
      <w:proofErr w:type="spellStart"/>
      <w:r>
        <w:t>Hagenlocher</w:t>
      </w:r>
      <w:proofErr w:type="spellEnd"/>
      <w:r>
        <w:t xml:space="preserve">, M., </w:t>
      </w:r>
      <w:proofErr w:type="spellStart"/>
      <w:r>
        <w:t>Schneiderbauer</w:t>
      </w:r>
      <w:proofErr w:type="spellEnd"/>
      <w:r>
        <w:t xml:space="preserve">, S., </w:t>
      </w:r>
      <w:proofErr w:type="spellStart"/>
      <w:r>
        <w:t>Sebesvari</w:t>
      </w:r>
      <w:proofErr w:type="spellEnd"/>
      <w:r>
        <w:t xml:space="preserve">, Z., Bertram, M., Renner, K., Renaud, FG, Wiley, H. &amp; </w:t>
      </w:r>
      <w:proofErr w:type="spellStart"/>
      <w:r>
        <w:t>Zebisch</w:t>
      </w:r>
      <w:proofErr w:type="spellEnd"/>
      <w:r>
        <w:t>, M. (2018). Climate Risk Assessment for Ecosystem-based Adaptation: A guidebook for planners and practitioners.”</w:t>
      </w:r>
    </w:p>
    <w:p w14:paraId="1DE67138" w14:textId="77777777" w:rsidR="00CB3455" w:rsidRDefault="00CB3455" w:rsidP="00CB3455">
      <w:pPr>
        <w:spacing w:after="120" w:line="360" w:lineRule="auto"/>
        <w:jc w:val="both"/>
      </w:pPr>
      <w:r>
        <w:t xml:space="preserve">The methodology is based on the determination of the components of the risk of damage due to climate change: Hazard, Exposure and Vulnerability. Based on these concepts, a risk assessment was designed that allows the consideration of the potential for damage due to climate change of a particular project. At this stage of development, we propose a qualitative approach to determine the nature and scope of disaster risk through the analysis of possible threats and the evaluation of existing conditions of exposure and vulnerability that in concert could cause damage to people, property, services, livelihoods and the environment. </w:t>
      </w:r>
    </w:p>
    <w:p w14:paraId="2C923169" w14:textId="77777777" w:rsidR="00CB3455" w:rsidRPr="00030880" w:rsidRDefault="00CB3455" w:rsidP="00CB3455">
      <w:pPr>
        <w:spacing w:after="120"/>
        <w:rPr>
          <w:b/>
          <w:bCs/>
          <w:i/>
          <w:iCs/>
        </w:rPr>
      </w:pPr>
      <w:r>
        <w:rPr>
          <w:b/>
          <w:i/>
        </w:rPr>
        <w:t>Qualitative methodology</w:t>
      </w:r>
    </w:p>
    <w:p w14:paraId="7F7E483B" w14:textId="77777777" w:rsidR="00CB3455" w:rsidRPr="00030880" w:rsidRDefault="00CB3455" w:rsidP="00CB3455">
      <w:pPr>
        <w:spacing w:after="120" w:line="360" w:lineRule="auto"/>
        <w:jc w:val="both"/>
      </w:pPr>
      <w:r>
        <w:lastRenderedPageBreak/>
        <w:t>The methodology used is based on the information and specific knowledge about the project design provided for the preparation of the preliminary environmental impact assessment and the scientific knowledge available on climate change in Antarctica:</w:t>
      </w:r>
    </w:p>
    <w:p w14:paraId="2AA5FD64" w14:textId="77777777" w:rsidR="00CB3455" w:rsidRPr="00030880" w:rsidRDefault="00CB3455" w:rsidP="00CB3455">
      <w:pPr>
        <w:numPr>
          <w:ilvl w:val="0"/>
          <w:numId w:val="21"/>
        </w:numPr>
        <w:suppressAutoHyphens/>
        <w:spacing w:line="360" w:lineRule="auto"/>
        <w:jc w:val="both"/>
      </w:pPr>
      <w:r>
        <w:rPr>
          <w:b/>
          <w:i/>
        </w:rPr>
        <w:t>Environmental Factor</w:t>
      </w:r>
      <w:r>
        <w:t>: environmental variable that has an impact on the activity being assessed.</w:t>
      </w:r>
    </w:p>
    <w:p w14:paraId="3CF6A5D8" w14:textId="77777777" w:rsidR="00CB3455" w:rsidRPr="00030880" w:rsidRDefault="00CB3455" w:rsidP="00CB3455">
      <w:pPr>
        <w:numPr>
          <w:ilvl w:val="0"/>
          <w:numId w:val="21"/>
        </w:numPr>
        <w:suppressAutoHyphens/>
        <w:spacing w:line="360" w:lineRule="auto"/>
        <w:jc w:val="both"/>
      </w:pPr>
      <w:r>
        <w:rPr>
          <w:b/>
          <w:i/>
        </w:rPr>
        <w:t>Observed impacts</w:t>
      </w:r>
      <w:r>
        <w:t>: Refers to (already observed) changes in the physical environment or in the wildlife resulting from climate change, added to existing climate variability, that have significant deleterious effects on the composition, resilience or productivity of natural or managed ecosystems, or in the functioning of socio-economic systems, or in natural and human health and well-being from extreme weather and climate events, and from climate change.</w:t>
      </w:r>
    </w:p>
    <w:p w14:paraId="5D451201" w14:textId="77777777" w:rsidR="00CB3455" w:rsidRPr="00030880" w:rsidRDefault="00CB3455" w:rsidP="00CB3455">
      <w:pPr>
        <w:numPr>
          <w:ilvl w:val="0"/>
          <w:numId w:val="21"/>
        </w:numPr>
        <w:suppressAutoHyphens/>
        <w:spacing w:line="360" w:lineRule="auto"/>
        <w:jc w:val="both"/>
      </w:pPr>
      <w:r>
        <w:rPr>
          <w:b/>
          <w:i/>
        </w:rPr>
        <w:t>Threats</w:t>
      </w:r>
      <w:r>
        <w:t>: natural or man-made phenomena that have the potential to cause harm to people or property.</w:t>
      </w:r>
    </w:p>
    <w:p w14:paraId="3DD09598" w14:textId="77777777" w:rsidR="00CB3455" w:rsidRPr="00030880" w:rsidRDefault="00CB3455" w:rsidP="00CB3455">
      <w:pPr>
        <w:numPr>
          <w:ilvl w:val="0"/>
          <w:numId w:val="21"/>
        </w:numPr>
        <w:suppressAutoHyphens/>
        <w:spacing w:line="360" w:lineRule="auto"/>
        <w:jc w:val="both"/>
      </w:pPr>
      <w:r>
        <w:rPr>
          <w:b/>
          <w:i/>
        </w:rPr>
        <w:t>Exposed values</w:t>
      </w:r>
      <w:r>
        <w:t>: elements of the analysed activity that could suffer damage due to the threats of climate change.</w:t>
      </w:r>
    </w:p>
    <w:p w14:paraId="0607AAE9" w14:textId="77777777" w:rsidR="00CB3455" w:rsidRPr="00030880" w:rsidRDefault="00CB3455" w:rsidP="00CB3455">
      <w:pPr>
        <w:numPr>
          <w:ilvl w:val="0"/>
          <w:numId w:val="21"/>
        </w:numPr>
        <w:suppressAutoHyphens/>
        <w:spacing w:line="360" w:lineRule="auto"/>
        <w:jc w:val="both"/>
      </w:pPr>
      <w:r>
        <w:rPr>
          <w:b/>
          <w:i/>
        </w:rPr>
        <w:t>Risks</w:t>
      </w:r>
      <w:r>
        <w:t xml:space="preserve">: “The potential for consequences where something of value is at stake and where the outcome is uncertain (...). Risk results from the interaction of vulnerability, exposure and hazard (...)” (IPCC 2014a, p. 40). A climate risk is the potential for specific climate-related consequences (climate shocks) that can affect assets, people, ecosystems, culture, etc. </w:t>
      </w:r>
    </w:p>
    <w:p w14:paraId="6F345315" w14:textId="77777777" w:rsidR="00CB3455" w:rsidRPr="00030880" w:rsidRDefault="00CB3455" w:rsidP="00CB3455">
      <w:pPr>
        <w:numPr>
          <w:ilvl w:val="0"/>
          <w:numId w:val="21"/>
        </w:numPr>
        <w:suppressAutoHyphens/>
        <w:spacing w:line="360" w:lineRule="auto"/>
        <w:jc w:val="both"/>
      </w:pPr>
      <w:r>
        <w:rPr>
          <w:b/>
          <w:i/>
        </w:rPr>
        <w:t>Hazard</w:t>
      </w:r>
      <w:r>
        <w:t xml:space="preserve">: Potential occurrence of a physical event or trend of natural or human origin, or a physical impact that can cause loss of life, injury or other negative effects on health, as well as damage and loss in property, infrastructure, means of subsistence, provision of services, ecosystems and environmental resources. </w:t>
      </w:r>
    </w:p>
    <w:p w14:paraId="45642D70" w14:textId="77777777" w:rsidR="00CB3455" w:rsidRDefault="00CB3455" w:rsidP="00CB3455">
      <w:pPr>
        <w:numPr>
          <w:ilvl w:val="0"/>
          <w:numId w:val="21"/>
        </w:numPr>
        <w:suppressAutoHyphens/>
        <w:spacing w:line="360" w:lineRule="auto"/>
        <w:jc w:val="both"/>
      </w:pPr>
      <w:r>
        <w:rPr>
          <w:b/>
          <w:i/>
        </w:rPr>
        <w:t>Vulnerability</w:t>
      </w:r>
      <w:r>
        <w:t xml:space="preserve">: attributes of exposed elements that can increase (or decrease) the potential consequences of a specific climate hazard. In accordance with </w:t>
      </w:r>
      <w:proofErr w:type="spellStart"/>
      <w:r>
        <w:t>Wilches-Chaux</w:t>
      </w:r>
      <w:proofErr w:type="spellEnd"/>
      <w:r>
        <w:t xml:space="preserve"> (1993), we consider the following vulnerabilities useful for analysing climate change risks in Antarctic activities:</w:t>
      </w:r>
    </w:p>
    <w:p w14:paraId="2F2FEF3D" w14:textId="77777777" w:rsidR="00CB3455" w:rsidRPr="00030880" w:rsidRDefault="00CB3455" w:rsidP="00CB3455">
      <w:pPr>
        <w:numPr>
          <w:ilvl w:val="1"/>
          <w:numId w:val="21"/>
        </w:numPr>
        <w:suppressAutoHyphens/>
        <w:spacing w:line="360" w:lineRule="auto"/>
        <w:jc w:val="both"/>
      </w:pPr>
      <w:r>
        <w:rPr>
          <w:b/>
          <w:i/>
        </w:rPr>
        <w:t>Natural Vulnerability</w:t>
      </w:r>
      <w:r>
        <w:t xml:space="preserve">: Human beings and their constructions have certain conditions of temperature, humidity and other environmental variables for which they were designed. </w:t>
      </w:r>
    </w:p>
    <w:p w14:paraId="5CF9D0EC" w14:textId="77777777" w:rsidR="00CB3455" w:rsidRPr="00030880" w:rsidRDefault="00CB3455" w:rsidP="00CB3455">
      <w:pPr>
        <w:numPr>
          <w:ilvl w:val="1"/>
          <w:numId w:val="21"/>
        </w:numPr>
        <w:suppressAutoHyphens/>
        <w:spacing w:line="360" w:lineRule="auto"/>
        <w:jc w:val="both"/>
      </w:pPr>
      <w:r>
        <w:rPr>
          <w:b/>
          <w:i/>
        </w:rPr>
        <w:t>Physical Vulnerability</w:t>
      </w:r>
      <w:r>
        <w:t xml:space="preserve">: This refers especially to the location of human constructions in risk areas, and to the deficiencies of their physical structures in terms of their ability to “absorb” the effects of these risks.  </w:t>
      </w:r>
    </w:p>
    <w:p w14:paraId="76D0DECC" w14:textId="77777777" w:rsidR="00CB3455" w:rsidRPr="00030880" w:rsidRDefault="00CB3455" w:rsidP="00CB3455">
      <w:pPr>
        <w:numPr>
          <w:ilvl w:val="1"/>
          <w:numId w:val="21"/>
        </w:numPr>
        <w:suppressAutoHyphens/>
        <w:spacing w:line="360" w:lineRule="auto"/>
        <w:jc w:val="both"/>
      </w:pPr>
      <w:r>
        <w:rPr>
          <w:b/>
          <w:i/>
        </w:rPr>
        <w:t>Technical Vulnerability</w:t>
      </w:r>
      <w:r>
        <w:t xml:space="preserve">: This refers to inadequate construction techniques in risk areas. Although this vulnerability could be included within Physical </w:t>
      </w:r>
      <w:r>
        <w:lastRenderedPageBreak/>
        <w:t xml:space="preserve">Vulnerability, its expressions are so specific that they warrant a separate sub-section. </w:t>
      </w:r>
    </w:p>
    <w:p w14:paraId="46003BFC" w14:textId="77777777" w:rsidR="00CB3455" w:rsidRPr="00030880" w:rsidRDefault="00CB3455" w:rsidP="00CB3455">
      <w:pPr>
        <w:numPr>
          <w:ilvl w:val="0"/>
          <w:numId w:val="21"/>
        </w:numPr>
        <w:suppressAutoHyphens/>
        <w:spacing w:line="360" w:lineRule="auto"/>
        <w:jc w:val="both"/>
      </w:pPr>
      <w:r>
        <w:rPr>
          <w:b/>
          <w:i/>
        </w:rPr>
        <w:t>Adaptation</w:t>
      </w:r>
      <w:r>
        <w:t>: Process of adjustment to the actual or projected climate and its effects. In human systems, adaptation aims to moderate or avoid harm or to take advantage of beneficial opportunities.</w:t>
      </w:r>
    </w:p>
    <w:p w14:paraId="120A0067" w14:textId="77777777" w:rsidR="00CB3455" w:rsidRPr="00030880" w:rsidRDefault="00CB3455" w:rsidP="00CB3455">
      <w:pPr>
        <w:jc w:val="both"/>
        <w:rPr>
          <w:lang w:val="es-AR"/>
        </w:rPr>
      </w:pPr>
    </w:p>
    <w:p w14:paraId="24BE1855" w14:textId="77777777" w:rsidR="00CB3455" w:rsidRPr="00E97827" w:rsidRDefault="00CB3455" w:rsidP="00CB3455">
      <w:pPr>
        <w:spacing w:after="120"/>
        <w:rPr>
          <w:b/>
          <w:bCs/>
          <w:i/>
          <w:iCs/>
        </w:rPr>
      </w:pPr>
      <w:r>
        <w:rPr>
          <w:b/>
          <w:i/>
        </w:rPr>
        <w:t>Example of Use</w:t>
      </w:r>
    </w:p>
    <w:p w14:paraId="2BB82F1A" w14:textId="77777777" w:rsidR="00CB3455" w:rsidRPr="00030880" w:rsidRDefault="00CB3455" w:rsidP="00CB3455">
      <w:pPr>
        <w:spacing w:after="120" w:line="360" w:lineRule="auto"/>
        <w:jc w:val="both"/>
      </w:pPr>
      <w:r>
        <w:t xml:space="preserve">The first use case was in the evaluation of the installation of a field of solar panels at the </w:t>
      </w:r>
      <w:proofErr w:type="spellStart"/>
      <w:r>
        <w:t>Marambio</w:t>
      </w:r>
      <w:proofErr w:type="spellEnd"/>
      <w:r>
        <w:t xml:space="preserve"> Base. Based on the changes in the observed and expected climate on Seymour Island, it was possible to determine in a specific way that a clear positive trend can be observed in the increase in the average annual average temperature. However, although Seymour Island is located in the continuous permafrost zone, with ground temperatures close to –5°C and a thickness of approximately 200 metres (Silva </w:t>
      </w:r>
      <w:proofErr w:type="spellStart"/>
      <w:r>
        <w:t>Busso</w:t>
      </w:r>
      <w:proofErr w:type="spellEnd"/>
      <w:r>
        <w:t xml:space="preserve">, Sánchez and </w:t>
      </w:r>
      <w:proofErr w:type="spellStart"/>
      <w:r>
        <w:t>Fresina</w:t>
      </w:r>
      <w:proofErr w:type="spellEnd"/>
      <w:r>
        <w:t>, 2000), the observed and expected changes in temperatures have significant effects on the dynamics and thickness of the active layer of permafrost (top layer of permafrost that thaws in summer and refreezes in autumn).</w:t>
      </w:r>
    </w:p>
    <w:p w14:paraId="53F3B117" w14:textId="77777777" w:rsidR="00CB3455" w:rsidRPr="00030880" w:rsidRDefault="00CB3455" w:rsidP="00CB3455">
      <w:pPr>
        <w:spacing w:after="120" w:line="360" w:lineRule="auto"/>
        <w:jc w:val="both"/>
      </w:pPr>
      <w:r>
        <w:t xml:space="preserve">Climate change is a phenomenon that has the potential to cause damage to property, and in this specific case, the increase in temperatures in the Seymour Island area will expose the structures of the photovoltaic plant to the threat of greater melting of the permafrost, which will thaw to a greater depth risking decreased support for the pillars buried in the ground. </w:t>
      </w:r>
    </w:p>
    <w:p w14:paraId="46DDA57C" w14:textId="13294E5B" w:rsidR="00CB3455" w:rsidRPr="00E97827" w:rsidRDefault="00CB3455" w:rsidP="00CB3455">
      <w:pPr>
        <w:pStyle w:val="Caption"/>
        <w:keepNext/>
        <w:jc w:val="both"/>
        <w:rPr>
          <w:sz w:val="18"/>
          <w:szCs w:val="20"/>
        </w:rPr>
      </w:pPr>
      <w:r>
        <w:rPr>
          <w:noProof/>
        </w:rPr>
        <w:drawing>
          <wp:anchor distT="0" distB="0" distL="114300" distR="114300" simplePos="0" relativeHeight="251659264" behindDoc="0" locked="0" layoutInCell="1" allowOverlap="1" wp14:anchorId="0B9A9ECA" wp14:editId="45CA5292">
            <wp:simplePos x="0" y="0"/>
            <wp:positionH relativeFrom="margin">
              <wp:posOffset>19878</wp:posOffset>
            </wp:positionH>
            <wp:positionV relativeFrom="paragraph">
              <wp:posOffset>222471</wp:posOffset>
            </wp:positionV>
            <wp:extent cx="5740842" cy="1534795"/>
            <wp:effectExtent l="0" t="0" r="0" b="8255"/>
            <wp:wrapNone/>
            <wp:docPr id="2" name="Imagen 2"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abla&#10;&#10;Descripción generada automáticamen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40842" cy="1534795"/>
                    </a:xfrm>
                    <a:prstGeom prst="rect">
                      <a:avLst/>
                    </a:prstGeom>
                    <a:noFill/>
                    <a:ln>
                      <a:noFill/>
                    </a:ln>
                  </pic:spPr>
                </pic:pic>
              </a:graphicData>
            </a:graphic>
            <wp14:sizeRelH relativeFrom="margin">
              <wp14:pctWidth>0</wp14:pctWidth>
            </wp14:sizeRelH>
          </wp:anchor>
        </w:drawing>
      </w:r>
      <w:r>
        <w:rPr>
          <w:sz w:val="18"/>
        </w:rPr>
        <w:t>Table</w:t>
      </w:r>
      <w:r w:rsidRPr="00E97827">
        <w:rPr>
          <w:sz w:val="18"/>
          <w:szCs w:val="20"/>
        </w:rPr>
        <w:fldChar w:fldCharType="begin"/>
      </w:r>
      <w:r w:rsidRPr="00E97827">
        <w:rPr>
          <w:sz w:val="18"/>
          <w:szCs w:val="20"/>
        </w:rPr>
        <w:instrText xml:space="preserve"> SEQ Tabla \* ARABIC </w:instrText>
      </w:r>
      <w:r w:rsidRPr="00E97827">
        <w:rPr>
          <w:sz w:val="18"/>
          <w:szCs w:val="20"/>
        </w:rPr>
        <w:fldChar w:fldCharType="separate"/>
      </w:r>
      <w:r w:rsidR="00F74E5A">
        <w:rPr>
          <w:noProof/>
          <w:sz w:val="18"/>
          <w:szCs w:val="20"/>
        </w:rPr>
        <w:t>1</w:t>
      </w:r>
      <w:r w:rsidRPr="00E97827">
        <w:rPr>
          <w:sz w:val="18"/>
          <w:szCs w:val="20"/>
        </w:rPr>
        <w:fldChar w:fldCharType="end"/>
      </w:r>
      <w:r>
        <w:rPr>
          <w:sz w:val="18"/>
        </w:rPr>
        <w:t>: risk matrix for the installation of the solar panel field</w:t>
      </w:r>
    </w:p>
    <w:p w14:paraId="40224FA0" w14:textId="77777777" w:rsidR="00CB3455" w:rsidRDefault="00CB3455" w:rsidP="00CB3455">
      <w:pPr>
        <w:jc w:val="both"/>
        <w:rPr>
          <w:lang w:val="es-AR"/>
        </w:rPr>
      </w:pPr>
    </w:p>
    <w:p w14:paraId="7F559532" w14:textId="77777777" w:rsidR="00CB3455" w:rsidRDefault="00CB3455" w:rsidP="00CB3455">
      <w:pPr>
        <w:jc w:val="both"/>
        <w:rPr>
          <w:lang w:val="es-AR"/>
        </w:rPr>
      </w:pPr>
    </w:p>
    <w:p w14:paraId="1149AAD5" w14:textId="77777777" w:rsidR="00CB3455" w:rsidRDefault="00CB3455" w:rsidP="00CB3455">
      <w:pPr>
        <w:jc w:val="both"/>
        <w:rPr>
          <w:lang w:val="es-AR"/>
        </w:rPr>
      </w:pPr>
    </w:p>
    <w:p w14:paraId="522B7708" w14:textId="77777777" w:rsidR="00CB3455" w:rsidRDefault="00CB3455" w:rsidP="00CB3455">
      <w:pPr>
        <w:jc w:val="both"/>
        <w:rPr>
          <w:lang w:val="es-AR"/>
        </w:rPr>
      </w:pPr>
    </w:p>
    <w:p w14:paraId="68825CF3" w14:textId="77777777" w:rsidR="00CB3455" w:rsidRDefault="00CB3455" w:rsidP="00CB3455">
      <w:pPr>
        <w:jc w:val="both"/>
        <w:rPr>
          <w:lang w:val="es-AR"/>
        </w:rPr>
      </w:pPr>
    </w:p>
    <w:p w14:paraId="6C34B775" w14:textId="77777777" w:rsidR="00CB3455" w:rsidRDefault="00CB3455" w:rsidP="00CB3455">
      <w:pPr>
        <w:jc w:val="both"/>
        <w:rPr>
          <w:lang w:val="es-AR"/>
        </w:rPr>
      </w:pPr>
    </w:p>
    <w:p w14:paraId="3D6EF3E6" w14:textId="77777777" w:rsidR="00CB3455" w:rsidRDefault="00CB3455" w:rsidP="00CB3455">
      <w:pPr>
        <w:jc w:val="both"/>
        <w:rPr>
          <w:lang w:val="es-AR"/>
        </w:rPr>
      </w:pPr>
    </w:p>
    <w:p w14:paraId="648F83B6" w14:textId="77777777" w:rsidR="00CB3455" w:rsidRDefault="00CB3455" w:rsidP="00CB3455">
      <w:pPr>
        <w:jc w:val="both"/>
        <w:rPr>
          <w:lang w:val="es-AR"/>
        </w:rPr>
      </w:pPr>
    </w:p>
    <w:p w14:paraId="70BCD00E" w14:textId="77777777" w:rsidR="00CB3455" w:rsidRDefault="00CB3455" w:rsidP="00CB3455">
      <w:pPr>
        <w:jc w:val="both"/>
        <w:rPr>
          <w:lang w:val="es-AR"/>
        </w:rPr>
      </w:pPr>
    </w:p>
    <w:p w14:paraId="16869B5B" w14:textId="77777777" w:rsidR="00CB3455" w:rsidRDefault="00CB3455" w:rsidP="00CB3455">
      <w:pPr>
        <w:jc w:val="both"/>
        <w:rPr>
          <w:lang w:val="es-AR"/>
        </w:rPr>
      </w:pPr>
    </w:p>
    <w:p w14:paraId="4502A5AF" w14:textId="77777777" w:rsidR="00CB3455" w:rsidRDefault="00CB3455" w:rsidP="00CB3455">
      <w:pPr>
        <w:spacing w:after="120" w:line="360" w:lineRule="auto"/>
        <w:jc w:val="both"/>
      </w:pPr>
      <w:r>
        <w:t xml:space="preserve">In this way and in order to take into account the threats of climate change for the proposed activity, the threats, risks, exposed values, hazards and adaptation measures to be taken into account to reduce vulnerability are described in Table 1 of the photovoltaic plant during its useful life. Based on the impacts already observed and future scenarios, it is expected that the infrastructure of the solar panel field (buried pillars) will be exposed to the threat of increased thermal erosion of the permafrost, which will in turn cause an increase in the depth of thawing in the area of the pillars and therefore these will be left entirely buried in the active (thawed) layer and as a consequence the entire structure may become unstable or suffer partial collapse. </w:t>
      </w:r>
    </w:p>
    <w:p w14:paraId="119B0A30" w14:textId="77777777" w:rsidR="00CB3455" w:rsidRDefault="00CB3455" w:rsidP="00CB3455">
      <w:pPr>
        <w:spacing w:after="120" w:line="360" w:lineRule="auto"/>
        <w:jc w:val="both"/>
        <w:rPr>
          <w:lang w:val="es-AR"/>
        </w:rPr>
      </w:pPr>
    </w:p>
    <w:p w14:paraId="03E27E3A" w14:textId="77777777" w:rsidR="00CB3455" w:rsidRPr="00030880" w:rsidRDefault="00CB3455" w:rsidP="00CB3455">
      <w:pPr>
        <w:spacing w:after="120" w:line="360" w:lineRule="auto"/>
        <w:jc w:val="both"/>
        <w:rPr>
          <w:lang w:val="es-AR"/>
        </w:rPr>
      </w:pPr>
    </w:p>
    <w:p w14:paraId="23111FAF" w14:textId="77777777" w:rsidR="00CB3455" w:rsidRPr="00E97827" w:rsidRDefault="00CB3455" w:rsidP="00CB3455">
      <w:pPr>
        <w:spacing w:after="120"/>
        <w:rPr>
          <w:b/>
          <w:bCs/>
          <w:i/>
          <w:iCs/>
        </w:rPr>
      </w:pPr>
      <w:r>
        <w:rPr>
          <w:b/>
          <w:i/>
        </w:rPr>
        <w:lastRenderedPageBreak/>
        <w:t>Conclusions</w:t>
      </w:r>
    </w:p>
    <w:p w14:paraId="62F94148" w14:textId="77777777" w:rsidR="00CB3455" w:rsidRPr="00030880" w:rsidRDefault="00CB3455" w:rsidP="00CB3455">
      <w:pPr>
        <w:spacing w:after="120" w:line="360" w:lineRule="auto"/>
        <w:jc w:val="both"/>
      </w:pPr>
      <w:r>
        <w:t xml:space="preserve">In order to comply with the requirements of Resolution 1 (2016) - Guidelines for Environmental Impact Assessment in Antarctica, a qualitative methodology was established in this first stage that allows adaptation measures to be obtained in preliminary environmental impact assessments with the aim of reducing the vulnerability of infrastructure projects due to exposure to and hazards deriving from climate change. </w:t>
      </w:r>
    </w:p>
    <w:p w14:paraId="0F4A56A7" w14:textId="77777777" w:rsidR="00CB3455" w:rsidRPr="00030880" w:rsidRDefault="00CB3455" w:rsidP="00CB3455">
      <w:pPr>
        <w:spacing w:after="120"/>
        <w:rPr>
          <w:b/>
          <w:bCs/>
          <w:i/>
          <w:iCs/>
        </w:rPr>
      </w:pPr>
      <w:r>
        <w:rPr>
          <w:b/>
          <w:i/>
        </w:rPr>
        <w:t>Bibliography</w:t>
      </w:r>
    </w:p>
    <w:p w14:paraId="31EB02EF" w14:textId="77777777" w:rsidR="00CB3455" w:rsidRDefault="00CB3455" w:rsidP="00CB3455">
      <w:pPr>
        <w:spacing w:line="360" w:lineRule="auto"/>
        <w:ind w:left="284" w:hanging="284"/>
        <w:jc w:val="both"/>
      </w:pPr>
      <w:r>
        <w:t>Annex, I. Guidelines for Environmental Impact Assessment in Antarctica.</w:t>
      </w:r>
    </w:p>
    <w:p w14:paraId="1FDC627E" w14:textId="77777777" w:rsidR="00CB3455" w:rsidRPr="00030880" w:rsidRDefault="00CB3455" w:rsidP="00CB3455">
      <w:pPr>
        <w:spacing w:line="360" w:lineRule="auto"/>
        <w:ind w:left="284" w:hanging="284"/>
        <w:jc w:val="both"/>
      </w:pPr>
      <w:r>
        <w:t>GIZ and EURAC 2017: Risk Supplement to the Vulnerability Sourcebook: Guidance on how to apply the Vulnerability Sourcebook's approach 2017: Risk Supplement to the Vulnerability Sourcebook.</w:t>
      </w:r>
    </w:p>
    <w:p w14:paraId="64BB432E" w14:textId="77777777" w:rsidR="00CB3455" w:rsidRPr="00030880" w:rsidRDefault="00CB3455" w:rsidP="00CB3455">
      <w:pPr>
        <w:spacing w:line="360" w:lineRule="auto"/>
        <w:ind w:left="284" w:hanging="284"/>
        <w:jc w:val="both"/>
      </w:pPr>
      <w:r>
        <w:t>GIZ, EURAC &amp; UNU-EHS (2018): Climate Risk Assessment for Ecosystem-based Adaptation: A guidebook for planners and practitioners, Bonn: GIZ.</w:t>
      </w:r>
    </w:p>
    <w:p w14:paraId="7F0D1985" w14:textId="77777777" w:rsidR="00CB3455" w:rsidRPr="005F0288" w:rsidRDefault="00CB3455" w:rsidP="00CB3455">
      <w:pPr>
        <w:spacing w:line="360" w:lineRule="auto"/>
        <w:ind w:left="284" w:hanging="284"/>
        <w:jc w:val="both"/>
      </w:pPr>
      <w:r>
        <w:t>IPCC 2014a: Climate Change 2014: Impacts, Adaptation, and Vulnerability. Part A: Global and Sectoral Aspects. Working Group II Contribution to the Fifth Assessment Report of the Intergovernmental Panel on Climate Change. Cambridge University Press.</w:t>
      </w:r>
    </w:p>
    <w:p w14:paraId="3498ED0B" w14:textId="77777777" w:rsidR="00CB3455" w:rsidRPr="005F0288" w:rsidRDefault="00CB3455" w:rsidP="00CB3455">
      <w:pPr>
        <w:spacing w:line="360" w:lineRule="auto"/>
        <w:ind w:left="284" w:hanging="284"/>
        <w:jc w:val="both"/>
      </w:pPr>
      <w:proofErr w:type="spellStart"/>
      <w:r>
        <w:t>Hagenlocher</w:t>
      </w:r>
      <w:proofErr w:type="spellEnd"/>
      <w:r>
        <w:t xml:space="preserve">, M., </w:t>
      </w:r>
      <w:proofErr w:type="spellStart"/>
      <w:r>
        <w:t>Schneiderbauer</w:t>
      </w:r>
      <w:proofErr w:type="spellEnd"/>
      <w:r>
        <w:t xml:space="preserve">, S., </w:t>
      </w:r>
      <w:proofErr w:type="spellStart"/>
      <w:r>
        <w:t>Sebesvari</w:t>
      </w:r>
      <w:proofErr w:type="spellEnd"/>
      <w:r>
        <w:t xml:space="preserve">, Z., Bertram, M., Renner, K., Renaud, FG, Wiley, H. &amp; </w:t>
      </w:r>
      <w:proofErr w:type="spellStart"/>
      <w:r>
        <w:t>Zebisch</w:t>
      </w:r>
      <w:proofErr w:type="spellEnd"/>
      <w:r>
        <w:t>, M. (2018). Climate Risk Assessment for Ecosystem-based Adaptation: A guidebook for planners and practitioners.</w:t>
      </w:r>
    </w:p>
    <w:p w14:paraId="69CA7DDC" w14:textId="77777777" w:rsidR="00CB3455" w:rsidRPr="007404BD" w:rsidRDefault="00CB3455" w:rsidP="00CB3455">
      <w:pPr>
        <w:spacing w:line="360" w:lineRule="auto"/>
        <w:ind w:left="284" w:hanging="284"/>
        <w:jc w:val="both"/>
      </w:pPr>
      <w:r>
        <w:t xml:space="preserve">Silva </w:t>
      </w:r>
      <w:proofErr w:type="spellStart"/>
      <w:r>
        <w:t>Busso</w:t>
      </w:r>
      <w:proofErr w:type="spellEnd"/>
      <w:r>
        <w:t xml:space="preserve">, A., </w:t>
      </w:r>
      <w:proofErr w:type="spellStart"/>
      <w:r>
        <w:t>Fresina</w:t>
      </w:r>
      <w:proofErr w:type="spellEnd"/>
      <w:r>
        <w:t xml:space="preserve">, M., &amp; Sánchez, R. (2000). Characterization of the hydrogeological </w:t>
      </w:r>
      <w:proofErr w:type="spellStart"/>
      <w:r>
        <w:t>behavior</w:t>
      </w:r>
      <w:proofErr w:type="spellEnd"/>
      <w:r>
        <w:t xml:space="preserve"> of </w:t>
      </w:r>
      <w:proofErr w:type="spellStart"/>
      <w:r>
        <w:t>Marambio</w:t>
      </w:r>
      <w:proofErr w:type="spellEnd"/>
      <w:r>
        <w:t xml:space="preserve"> (Seymour) Island, Antarctica. In I Joint Congress on Groundwater (p. 292).</w:t>
      </w:r>
    </w:p>
    <w:p w14:paraId="184B49F9" w14:textId="77777777" w:rsidR="00CB3455" w:rsidRPr="007404BD" w:rsidRDefault="00CB3455" w:rsidP="00CB3455">
      <w:pPr>
        <w:spacing w:line="360" w:lineRule="auto"/>
        <w:ind w:left="284" w:hanging="284"/>
        <w:jc w:val="both"/>
      </w:pPr>
      <w:r>
        <w:t xml:space="preserve">Turner, J., </w:t>
      </w:r>
      <w:proofErr w:type="spellStart"/>
      <w:r>
        <w:t>Bindschadler</w:t>
      </w:r>
      <w:proofErr w:type="spellEnd"/>
      <w:r>
        <w:t xml:space="preserve">, R., Convey, P., Di </w:t>
      </w:r>
      <w:proofErr w:type="spellStart"/>
      <w:r>
        <w:t>Prisco</w:t>
      </w:r>
      <w:proofErr w:type="spellEnd"/>
      <w:r>
        <w:t xml:space="preserve">, G., </w:t>
      </w:r>
      <w:proofErr w:type="spellStart"/>
      <w:r>
        <w:t>Fahrbach</w:t>
      </w:r>
      <w:proofErr w:type="spellEnd"/>
      <w:r>
        <w:t xml:space="preserve">, E., </w:t>
      </w:r>
      <w:proofErr w:type="spellStart"/>
      <w:r>
        <w:t>Gutt</w:t>
      </w:r>
      <w:proofErr w:type="spellEnd"/>
      <w:r>
        <w:t xml:space="preserve">, J., Hodgson, D., </w:t>
      </w:r>
      <w:proofErr w:type="spellStart"/>
      <w:r>
        <w:t>Mayewski</w:t>
      </w:r>
      <w:proofErr w:type="spellEnd"/>
      <w:r>
        <w:t>, P. &amp; Summerhayes, C. (2009). Antarctic climate change and the environment. SCAR</w:t>
      </w:r>
    </w:p>
    <w:p w14:paraId="1B61A243" w14:textId="77777777" w:rsidR="00CB3455" w:rsidRPr="005F0288" w:rsidRDefault="00CB3455" w:rsidP="00CB3455">
      <w:pPr>
        <w:spacing w:line="360" w:lineRule="auto"/>
        <w:ind w:left="284" w:hanging="284"/>
        <w:jc w:val="both"/>
      </w:pPr>
      <w:proofErr w:type="spellStart"/>
      <w:r>
        <w:t>Wilches-Chaux</w:t>
      </w:r>
      <w:proofErr w:type="spellEnd"/>
      <w:r>
        <w:t xml:space="preserve">, G. (1993). La </w:t>
      </w:r>
      <w:proofErr w:type="spellStart"/>
      <w:r>
        <w:t>vulnerabilidad</w:t>
      </w:r>
      <w:proofErr w:type="spellEnd"/>
      <w:r>
        <w:t xml:space="preserve"> global. Los </w:t>
      </w:r>
      <w:proofErr w:type="spellStart"/>
      <w:r>
        <w:t>desastres</w:t>
      </w:r>
      <w:proofErr w:type="spellEnd"/>
      <w:r>
        <w:t xml:space="preserve"> no son naturales, 11-44.</w:t>
      </w:r>
    </w:p>
    <w:p w14:paraId="3724A6F7" w14:textId="77777777" w:rsidR="00CB3455" w:rsidRPr="00CB3455" w:rsidRDefault="00CB3455" w:rsidP="00952E9F">
      <w:pPr>
        <w:rPr>
          <w:lang w:val="es-AR"/>
        </w:rPr>
      </w:pPr>
    </w:p>
    <w:sectPr w:rsidR="00CB3455" w:rsidRPr="00CB3455" w:rsidSect="00E02E88">
      <w:headerReference w:type="default" r:id="rId11"/>
      <w:footerReference w:type="default" r:id="rId12"/>
      <w:type w:val="oddPage"/>
      <w:pgSz w:w="11907" w:h="16840" w:code="9"/>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88C20B" w14:textId="77777777" w:rsidR="00C76733" w:rsidRDefault="00CB3455">
      <w:r>
        <w:separator/>
      </w:r>
    </w:p>
  </w:endnote>
  <w:endnote w:type="continuationSeparator" w:id="0">
    <w:p w14:paraId="2EA414F1" w14:textId="77777777" w:rsidR="00C76733" w:rsidRDefault="00CB34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8B3A80" w14:textId="32AFA7BD" w:rsidR="00FA0B9F" w:rsidRDefault="00CB3455" w:rsidP="00CF5C82">
    <w:pPr>
      <w:framePr w:wrap="around" w:vAnchor="text" w:hAnchor="margin" w:xAlign="right" w:y="1"/>
    </w:pPr>
    <w:r>
      <w:fldChar w:fldCharType="begin"/>
    </w:r>
    <w:r>
      <w:instrText xml:space="preserve">PAGE  </w:instrText>
    </w:r>
    <w:r w:rsidR="00F74E5A">
      <w:fldChar w:fldCharType="separate"/>
    </w:r>
    <w:r w:rsidR="00F74E5A">
      <w:rPr>
        <w:noProof/>
      </w:rPr>
      <w:t>0</w:t>
    </w:r>
    <w:r>
      <w:fldChar w:fldCharType="end"/>
    </w:r>
  </w:p>
  <w:p w14:paraId="3B5001C3" w14:textId="77777777" w:rsidR="00FA0B9F" w:rsidRDefault="00F74E5A"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DCCA0C" w14:textId="77777777" w:rsidR="00FA0B9F" w:rsidRDefault="00CB3455" w:rsidP="00CF5C82">
    <w:pPr>
      <w:framePr w:wrap="around" w:vAnchor="text" w:hAnchor="margin" w:xAlign="right" w:y="1"/>
    </w:pPr>
    <w:r>
      <w:fldChar w:fldCharType="begin"/>
    </w:r>
    <w:r>
      <w:instrText xml:space="preserve">PAGE  </w:instrText>
    </w:r>
    <w:r>
      <w:fldChar w:fldCharType="separate"/>
    </w:r>
    <w:r>
      <w:t>1</w:t>
    </w:r>
    <w:r>
      <w:fldChar w:fldCharType="end"/>
    </w:r>
  </w:p>
  <w:p w14:paraId="233FF4CB" w14:textId="167648E9" w:rsidR="00FA0B9F" w:rsidRDefault="00F74E5A" w:rsidP="00FA0B9F">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5CA381" w14:textId="77777777" w:rsidR="00E311C9" w:rsidRDefault="00CB3455" w:rsidP="00CF5C82">
    <w:pPr>
      <w:framePr w:wrap="around" w:vAnchor="text" w:hAnchor="margin" w:xAlign="right" w:y="1"/>
    </w:pPr>
    <w:r>
      <w:fldChar w:fldCharType="begin"/>
    </w:r>
    <w:r>
      <w:instrText xml:space="preserve">PAGE  </w:instrText>
    </w:r>
    <w:r>
      <w:fldChar w:fldCharType="separate"/>
    </w:r>
    <w:r>
      <w:t>3</w:t>
    </w:r>
    <w:r>
      <w:fldChar w:fldCharType="end"/>
    </w:r>
  </w:p>
  <w:p w14:paraId="00F976DD" w14:textId="77777777" w:rsidR="00E311C9" w:rsidRDefault="00F74E5A"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819677" w14:textId="77777777" w:rsidR="00C76733" w:rsidRDefault="00CB3455">
      <w:r>
        <w:separator/>
      </w:r>
    </w:p>
  </w:footnote>
  <w:footnote w:type="continuationSeparator" w:id="0">
    <w:p w14:paraId="3ED6CFC3" w14:textId="77777777" w:rsidR="00C76733" w:rsidRDefault="00CB34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342" w:type="dxa"/>
      <w:jc w:val="center"/>
      <w:tblLook w:val="01E0" w:firstRow="1" w:lastRow="1" w:firstColumn="1" w:lastColumn="1" w:noHBand="0" w:noVBand="0"/>
    </w:tblPr>
    <w:tblGrid>
      <w:gridCol w:w="5671"/>
      <w:gridCol w:w="3232"/>
      <w:gridCol w:w="839"/>
      <w:gridCol w:w="991"/>
      <w:gridCol w:w="609"/>
    </w:tblGrid>
    <w:tr w:rsidR="007D740B" w14:paraId="007005DD" w14:textId="77777777" w:rsidTr="002169D4">
      <w:trPr>
        <w:trHeight w:val="354"/>
        <w:jc w:val="center"/>
      </w:trPr>
      <w:tc>
        <w:tcPr>
          <w:tcW w:w="5672" w:type="dxa"/>
        </w:tcPr>
        <w:p w14:paraId="69E8ADE2" w14:textId="77777777" w:rsidR="00C449BA" w:rsidRDefault="00F74E5A" w:rsidP="002A07BC"/>
      </w:tc>
      <w:tc>
        <w:tcPr>
          <w:tcW w:w="4071" w:type="dxa"/>
          <w:gridSpan w:val="2"/>
        </w:tcPr>
        <w:p w14:paraId="1E63A7B9" w14:textId="43E92AFC" w:rsidR="00C449BA" w:rsidRPr="000A4CD7" w:rsidRDefault="00CA7FE2" w:rsidP="002A07BC">
          <w:pPr>
            <w:jc w:val="right"/>
            <w:rPr>
              <w:b/>
              <w:sz w:val="32"/>
              <w:szCs w:val="32"/>
            </w:rPr>
          </w:pPr>
          <w:r>
            <w:rPr>
              <w:b/>
              <w:sz w:val="32"/>
            </w:rPr>
            <w:t>IP</w:t>
          </w:r>
        </w:p>
      </w:tc>
      <w:tc>
        <w:tcPr>
          <w:tcW w:w="1599" w:type="dxa"/>
          <w:gridSpan w:val="2"/>
        </w:tcPr>
        <w:p w14:paraId="702617E8" w14:textId="17351325" w:rsidR="00C449BA" w:rsidRPr="000A4CD7" w:rsidRDefault="00CA7FE2" w:rsidP="002A07BC">
          <w:pPr>
            <w:rPr>
              <w:b/>
              <w:sz w:val="32"/>
              <w:szCs w:val="32"/>
            </w:rPr>
          </w:pPr>
          <w:r>
            <w:rPr>
              <w:b/>
              <w:sz w:val="32"/>
            </w:rPr>
            <w:t>40</w:t>
          </w:r>
        </w:p>
      </w:tc>
    </w:tr>
    <w:tr w:rsidR="007D740B" w14:paraId="3A7E0908" w14:textId="77777777" w:rsidTr="002169D4">
      <w:trPr>
        <w:trHeight w:val="2244"/>
        <w:jc w:val="center"/>
      </w:trPr>
      <w:tc>
        <w:tcPr>
          <w:tcW w:w="5671" w:type="dxa"/>
        </w:tcPr>
        <w:p w14:paraId="649D9605" w14:textId="77777777" w:rsidR="002169D4" w:rsidRPr="00550FDE" w:rsidRDefault="00CB3455" w:rsidP="002A07BC">
          <w:pPr>
            <w:rPr>
              <w:b/>
              <w:sz w:val="28"/>
              <w:szCs w:val="28"/>
            </w:rPr>
          </w:pPr>
          <w:r>
            <w:rPr>
              <w:noProof/>
            </w:rPr>
            <w:drawing>
              <wp:inline distT="0" distB="0" distL="0" distR="0" wp14:anchorId="6920A216" wp14:editId="23F7163D">
                <wp:extent cx="2519680" cy="1439545"/>
                <wp:effectExtent l="0" t="0" r="0" b="8255"/>
                <wp:docPr id="1"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925129" name="Imagen 1" descr="Imagen que contiene Diagrama&#10;&#10;Descripción generada automáticamente"/>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519680" cy="1439545"/>
                        </a:xfrm>
                        <a:prstGeom prst="rect">
                          <a:avLst/>
                        </a:prstGeom>
                      </pic:spPr>
                    </pic:pic>
                  </a:graphicData>
                </a:graphic>
              </wp:inline>
            </w:drawing>
          </w:r>
        </w:p>
      </w:tc>
      <w:tc>
        <w:tcPr>
          <w:tcW w:w="5671" w:type="dxa"/>
          <w:gridSpan w:val="4"/>
          <w:vAlign w:val="center"/>
        </w:tcPr>
        <w:p w14:paraId="0C913A80" w14:textId="77777777" w:rsidR="002169D4" w:rsidRPr="002169D4" w:rsidRDefault="00CB3455" w:rsidP="002169D4">
          <w:pPr>
            <w:jc w:val="right"/>
            <w:rPr>
              <w:sz w:val="144"/>
              <w:szCs w:val="144"/>
            </w:rPr>
          </w:pPr>
          <w:r>
            <w:rPr>
              <w:sz w:val="144"/>
            </w:rPr>
            <w:t>ENG</w:t>
          </w:r>
        </w:p>
      </w:tc>
    </w:tr>
    <w:tr w:rsidR="007D740B" w14:paraId="411E7A7D" w14:textId="77777777" w:rsidTr="002169D4">
      <w:trPr>
        <w:trHeight w:val="420"/>
        <w:jc w:val="center"/>
      </w:trPr>
      <w:tc>
        <w:tcPr>
          <w:tcW w:w="8904" w:type="dxa"/>
          <w:gridSpan w:val="2"/>
        </w:tcPr>
        <w:p w14:paraId="102D4B28" w14:textId="77777777" w:rsidR="000A4CD7" w:rsidRDefault="00CB3455" w:rsidP="008D2157">
          <w:pPr>
            <w:jc w:val="right"/>
          </w:pPr>
          <w:r>
            <w:t>Agenda Item:</w:t>
          </w:r>
        </w:p>
      </w:tc>
      <w:tc>
        <w:tcPr>
          <w:tcW w:w="1830" w:type="dxa"/>
          <w:gridSpan w:val="2"/>
        </w:tcPr>
        <w:p w14:paraId="34A8E971" w14:textId="77777777" w:rsidR="000A4CD7" w:rsidRDefault="00CB3455" w:rsidP="008D2157">
          <w:pPr>
            <w:jc w:val="right"/>
          </w:pPr>
          <w:bookmarkStart w:id="2" w:name="agenda"/>
          <w:r>
            <w:t>CEP 8b</w:t>
          </w:r>
          <w:bookmarkEnd w:id="2"/>
        </w:p>
      </w:tc>
      <w:tc>
        <w:tcPr>
          <w:tcW w:w="608" w:type="dxa"/>
        </w:tcPr>
        <w:p w14:paraId="4F105876" w14:textId="77777777" w:rsidR="000A4CD7" w:rsidRDefault="00F74E5A" w:rsidP="00387A65">
          <w:pPr>
            <w:jc w:val="right"/>
          </w:pPr>
        </w:p>
      </w:tc>
    </w:tr>
    <w:tr w:rsidR="007D740B" w14:paraId="52FE61D7" w14:textId="77777777" w:rsidTr="002169D4">
      <w:trPr>
        <w:trHeight w:val="408"/>
        <w:jc w:val="center"/>
      </w:trPr>
      <w:tc>
        <w:tcPr>
          <w:tcW w:w="8904" w:type="dxa"/>
          <w:gridSpan w:val="2"/>
        </w:tcPr>
        <w:p w14:paraId="494DDC29" w14:textId="77777777" w:rsidR="000A4CD7" w:rsidRDefault="00CB3455" w:rsidP="008D2157">
          <w:pPr>
            <w:jc w:val="right"/>
          </w:pPr>
          <w:r>
            <w:t>Submitted by:</w:t>
          </w:r>
        </w:p>
      </w:tc>
      <w:tc>
        <w:tcPr>
          <w:tcW w:w="1830" w:type="dxa"/>
          <w:gridSpan w:val="2"/>
        </w:tcPr>
        <w:p w14:paraId="4B03E710" w14:textId="77777777" w:rsidR="000A4CD7" w:rsidRDefault="00CB3455" w:rsidP="008D2157">
          <w:pPr>
            <w:jc w:val="right"/>
          </w:pPr>
          <w:bookmarkStart w:id="3" w:name="party"/>
          <w:r>
            <w:t>Argentina</w:t>
          </w:r>
          <w:bookmarkEnd w:id="3"/>
        </w:p>
      </w:tc>
      <w:tc>
        <w:tcPr>
          <w:tcW w:w="608" w:type="dxa"/>
        </w:tcPr>
        <w:p w14:paraId="6FC4264E" w14:textId="77777777" w:rsidR="000A4CD7" w:rsidRDefault="00F74E5A" w:rsidP="00387A65">
          <w:pPr>
            <w:jc w:val="right"/>
          </w:pPr>
        </w:p>
      </w:tc>
    </w:tr>
    <w:tr w:rsidR="007D740B" w14:paraId="62A0ED09" w14:textId="77777777" w:rsidTr="002169D4">
      <w:trPr>
        <w:trHeight w:val="420"/>
        <w:jc w:val="center"/>
      </w:trPr>
      <w:tc>
        <w:tcPr>
          <w:tcW w:w="8904" w:type="dxa"/>
          <w:gridSpan w:val="2"/>
        </w:tcPr>
        <w:p w14:paraId="03FC5757" w14:textId="77777777" w:rsidR="000A4CD7" w:rsidRDefault="00CB3455" w:rsidP="008D2157">
          <w:pPr>
            <w:jc w:val="right"/>
          </w:pPr>
          <w:r>
            <w:t>Original:</w:t>
          </w:r>
        </w:p>
      </w:tc>
      <w:tc>
        <w:tcPr>
          <w:tcW w:w="1830" w:type="dxa"/>
          <w:gridSpan w:val="2"/>
        </w:tcPr>
        <w:p w14:paraId="02AF5D1B" w14:textId="77777777" w:rsidR="000A4CD7" w:rsidRDefault="00CB3455" w:rsidP="008D2157">
          <w:pPr>
            <w:jc w:val="right"/>
          </w:pPr>
          <w:bookmarkStart w:id="4" w:name="language"/>
          <w:r>
            <w:t>Spanish</w:t>
          </w:r>
          <w:bookmarkEnd w:id="4"/>
        </w:p>
      </w:tc>
      <w:tc>
        <w:tcPr>
          <w:tcW w:w="608" w:type="dxa"/>
        </w:tcPr>
        <w:p w14:paraId="1C9386A3" w14:textId="77777777" w:rsidR="000A4CD7" w:rsidRDefault="00F74E5A" w:rsidP="00387A65">
          <w:pPr>
            <w:jc w:val="right"/>
          </w:pPr>
        </w:p>
      </w:tc>
    </w:tr>
    <w:tr w:rsidR="007D740B" w14:paraId="105F2AE6" w14:textId="77777777" w:rsidTr="002169D4">
      <w:trPr>
        <w:trHeight w:val="420"/>
        <w:jc w:val="center"/>
      </w:trPr>
      <w:tc>
        <w:tcPr>
          <w:tcW w:w="8904" w:type="dxa"/>
          <w:gridSpan w:val="2"/>
        </w:tcPr>
        <w:p w14:paraId="52B27099" w14:textId="77777777" w:rsidR="00965EDE" w:rsidRDefault="00CB3455" w:rsidP="008D2157">
          <w:pPr>
            <w:jc w:val="right"/>
          </w:pPr>
          <w:r>
            <w:t>Submitted:</w:t>
          </w:r>
        </w:p>
      </w:tc>
      <w:tc>
        <w:tcPr>
          <w:tcW w:w="1830" w:type="dxa"/>
          <w:gridSpan w:val="2"/>
        </w:tcPr>
        <w:p w14:paraId="229680DD" w14:textId="77777777" w:rsidR="00965EDE" w:rsidRDefault="00CB3455" w:rsidP="008D2157">
          <w:pPr>
            <w:jc w:val="right"/>
          </w:pPr>
          <w:bookmarkStart w:id="5" w:name="date_submission"/>
          <w:r>
            <w:t>8/4/2022</w:t>
          </w:r>
          <w:bookmarkEnd w:id="5"/>
        </w:p>
      </w:tc>
      <w:tc>
        <w:tcPr>
          <w:tcW w:w="608" w:type="dxa"/>
        </w:tcPr>
        <w:p w14:paraId="02DA6B9D" w14:textId="77777777" w:rsidR="00965EDE" w:rsidRDefault="00F74E5A" w:rsidP="00387A65">
          <w:pPr>
            <w:jc w:val="right"/>
          </w:pPr>
        </w:p>
      </w:tc>
    </w:tr>
  </w:tbl>
  <w:p w14:paraId="2DFD6A43" w14:textId="77777777" w:rsidR="00AE5DD0" w:rsidRDefault="00F74E5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7D740B" w14:paraId="5E0DA0C3" w14:textId="77777777">
      <w:trPr>
        <w:trHeight w:val="354"/>
        <w:jc w:val="center"/>
      </w:trPr>
      <w:tc>
        <w:tcPr>
          <w:tcW w:w="9694" w:type="dxa"/>
        </w:tcPr>
        <w:p w14:paraId="54F8823C" w14:textId="68B94113" w:rsidR="00AE5DD0" w:rsidRPr="000A4CD7" w:rsidRDefault="00CA7FE2" w:rsidP="00C26F2D">
          <w:pPr>
            <w:jc w:val="right"/>
            <w:rPr>
              <w:b/>
              <w:sz w:val="32"/>
              <w:szCs w:val="32"/>
            </w:rPr>
          </w:pPr>
          <w:r>
            <w:rPr>
              <w:b/>
              <w:sz w:val="32"/>
            </w:rPr>
            <w:t>IP</w:t>
          </w:r>
        </w:p>
      </w:tc>
      <w:tc>
        <w:tcPr>
          <w:tcW w:w="1332" w:type="dxa"/>
        </w:tcPr>
        <w:p w14:paraId="5CA91814" w14:textId="03298075" w:rsidR="00AE5DD0" w:rsidRPr="000A4CD7" w:rsidRDefault="00CA7FE2" w:rsidP="00080F4C">
          <w:pPr>
            <w:rPr>
              <w:b/>
              <w:sz w:val="32"/>
              <w:szCs w:val="32"/>
            </w:rPr>
          </w:pPr>
          <w:r>
            <w:rPr>
              <w:b/>
              <w:sz w:val="32"/>
            </w:rPr>
            <w:t>40</w:t>
          </w:r>
        </w:p>
      </w:tc>
    </w:tr>
  </w:tbl>
  <w:p w14:paraId="4BDD4F73" w14:textId="77777777" w:rsidR="00AE5DD0" w:rsidRDefault="00F74E5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6577EA"/>
    <w:multiLevelType w:val="hybridMultilevel"/>
    <w:tmpl w:val="21A63D98"/>
    <w:lvl w:ilvl="0" w:tplc="FA368130">
      <w:start w:val="1"/>
      <w:numFmt w:val="bullet"/>
      <w:pStyle w:val="ATSBullet1"/>
      <w:lvlText w:val=""/>
      <w:lvlJc w:val="left"/>
      <w:pPr>
        <w:tabs>
          <w:tab w:val="num" w:pos="360"/>
        </w:tabs>
        <w:ind w:left="360" w:hanging="360"/>
      </w:pPr>
      <w:rPr>
        <w:rFonts w:ascii="Symbol" w:hAnsi="Symbol" w:hint="default"/>
        <w:color w:val="auto"/>
      </w:rPr>
    </w:lvl>
    <w:lvl w:ilvl="1" w:tplc="8E5E0D36" w:tentative="1">
      <w:start w:val="1"/>
      <w:numFmt w:val="bullet"/>
      <w:lvlText w:val="o"/>
      <w:lvlJc w:val="left"/>
      <w:pPr>
        <w:tabs>
          <w:tab w:val="num" w:pos="1440"/>
        </w:tabs>
        <w:ind w:left="1440" w:hanging="360"/>
      </w:pPr>
      <w:rPr>
        <w:rFonts w:ascii="Courier New" w:hAnsi="Courier New" w:cs="Courier New" w:hint="default"/>
      </w:rPr>
    </w:lvl>
    <w:lvl w:ilvl="2" w:tplc="52B6A86A" w:tentative="1">
      <w:start w:val="1"/>
      <w:numFmt w:val="bullet"/>
      <w:lvlText w:val=""/>
      <w:lvlJc w:val="left"/>
      <w:pPr>
        <w:tabs>
          <w:tab w:val="num" w:pos="2160"/>
        </w:tabs>
        <w:ind w:left="2160" w:hanging="360"/>
      </w:pPr>
      <w:rPr>
        <w:rFonts w:ascii="Wingdings" w:hAnsi="Wingdings" w:hint="default"/>
      </w:rPr>
    </w:lvl>
    <w:lvl w:ilvl="3" w:tplc="8BCE0A2E" w:tentative="1">
      <w:start w:val="1"/>
      <w:numFmt w:val="bullet"/>
      <w:lvlText w:val=""/>
      <w:lvlJc w:val="left"/>
      <w:pPr>
        <w:tabs>
          <w:tab w:val="num" w:pos="2880"/>
        </w:tabs>
        <w:ind w:left="2880" w:hanging="360"/>
      </w:pPr>
      <w:rPr>
        <w:rFonts w:ascii="Symbol" w:hAnsi="Symbol" w:hint="default"/>
      </w:rPr>
    </w:lvl>
    <w:lvl w:ilvl="4" w:tplc="C2446160" w:tentative="1">
      <w:start w:val="1"/>
      <w:numFmt w:val="bullet"/>
      <w:lvlText w:val="o"/>
      <w:lvlJc w:val="left"/>
      <w:pPr>
        <w:tabs>
          <w:tab w:val="num" w:pos="3600"/>
        </w:tabs>
        <w:ind w:left="3600" w:hanging="360"/>
      </w:pPr>
      <w:rPr>
        <w:rFonts w:ascii="Courier New" w:hAnsi="Courier New" w:cs="Courier New" w:hint="default"/>
      </w:rPr>
    </w:lvl>
    <w:lvl w:ilvl="5" w:tplc="3404E6C0" w:tentative="1">
      <w:start w:val="1"/>
      <w:numFmt w:val="bullet"/>
      <w:lvlText w:val=""/>
      <w:lvlJc w:val="left"/>
      <w:pPr>
        <w:tabs>
          <w:tab w:val="num" w:pos="4320"/>
        </w:tabs>
        <w:ind w:left="4320" w:hanging="360"/>
      </w:pPr>
      <w:rPr>
        <w:rFonts w:ascii="Wingdings" w:hAnsi="Wingdings" w:hint="default"/>
      </w:rPr>
    </w:lvl>
    <w:lvl w:ilvl="6" w:tplc="08DA10EA" w:tentative="1">
      <w:start w:val="1"/>
      <w:numFmt w:val="bullet"/>
      <w:lvlText w:val=""/>
      <w:lvlJc w:val="left"/>
      <w:pPr>
        <w:tabs>
          <w:tab w:val="num" w:pos="5040"/>
        </w:tabs>
        <w:ind w:left="5040" w:hanging="360"/>
      </w:pPr>
      <w:rPr>
        <w:rFonts w:ascii="Symbol" w:hAnsi="Symbol" w:hint="default"/>
      </w:rPr>
    </w:lvl>
    <w:lvl w:ilvl="7" w:tplc="61B01EB0" w:tentative="1">
      <w:start w:val="1"/>
      <w:numFmt w:val="bullet"/>
      <w:lvlText w:val="o"/>
      <w:lvlJc w:val="left"/>
      <w:pPr>
        <w:tabs>
          <w:tab w:val="num" w:pos="5760"/>
        </w:tabs>
        <w:ind w:left="5760" w:hanging="360"/>
      </w:pPr>
      <w:rPr>
        <w:rFonts w:ascii="Courier New" w:hAnsi="Courier New" w:cs="Courier New" w:hint="default"/>
      </w:rPr>
    </w:lvl>
    <w:lvl w:ilvl="8" w:tplc="9D648BF8"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9D35C15"/>
    <w:multiLevelType w:val="hybridMultilevel"/>
    <w:tmpl w:val="A8A2E45C"/>
    <w:lvl w:ilvl="0" w:tplc="7FB0F87C">
      <w:start w:val="1"/>
      <w:numFmt w:val="decimal"/>
      <w:lvlText w:val="%1)"/>
      <w:lvlJc w:val="left"/>
      <w:pPr>
        <w:tabs>
          <w:tab w:val="num" w:pos="340"/>
        </w:tabs>
        <w:ind w:left="340" w:hanging="340"/>
      </w:pPr>
      <w:rPr>
        <w:rFonts w:hint="default"/>
      </w:rPr>
    </w:lvl>
    <w:lvl w:ilvl="1" w:tplc="3A705152" w:tentative="1">
      <w:start w:val="1"/>
      <w:numFmt w:val="lowerLetter"/>
      <w:lvlText w:val="%2."/>
      <w:lvlJc w:val="left"/>
      <w:pPr>
        <w:tabs>
          <w:tab w:val="num" w:pos="1440"/>
        </w:tabs>
        <w:ind w:left="1440" w:hanging="360"/>
      </w:pPr>
    </w:lvl>
    <w:lvl w:ilvl="2" w:tplc="4C18CAB2" w:tentative="1">
      <w:start w:val="1"/>
      <w:numFmt w:val="lowerRoman"/>
      <w:lvlText w:val="%3."/>
      <w:lvlJc w:val="right"/>
      <w:pPr>
        <w:tabs>
          <w:tab w:val="num" w:pos="2160"/>
        </w:tabs>
        <w:ind w:left="2160" w:hanging="180"/>
      </w:pPr>
    </w:lvl>
    <w:lvl w:ilvl="3" w:tplc="BFAA9404" w:tentative="1">
      <w:start w:val="1"/>
      <w:numFmt w:val="decimal"/>
      <w:lvlText w:val="%4."/>
      <w:lvlJc w:val="left"/>
      <w:pPr>
        <w:tabs>
          <w:tab w:val="num" w:pos="2880"/>
        </w:tabs>
        <w:ind w:left="2880" w:hanging="360"/>
      </w:pPr>
    </w:lvl>
    <w:lvl w:ilvl="4" w:tplc="DC6E2998" w:tentative="1">
      <w:start w:val="1"/>
      <w:numFmt w:val="lowerLetter"/>
      <w:lvlText w:val="%5."/>
      <w:lvlJc w:val="left"/>
      <w:pPr>
        <w:tabs>
          <w:tab w:val="num" w:pos="3600"/>
        </w:tabs>
        <w:ind w:left="3600" w:hanging="360"/>
      </w:pPr>
    </w:lvl>
    <w:lvl w:ilvl="5" w:tplc="302A0B1C" w:tentative="1">
      <w:start w:val="1"/>
      <w:numFmt w:val="lowerRoman"/>
      <w:lvlText w:val="%6."/>
      <w:lvlJc w:val="right"/>
      <w:pPr>
        <w:tabs>
          <w:tab w:val="num" w:pos="4320"/>
        </w:tabs>
        <w:ind w:left="4320" w:hanging="180"/>
      </w:pPr>
    </w:lvl>
    <w:lvl w:ilvl="6" w:tplc="8B0A7250" w:tentative="1">
      <w:start w:val="1"/>
      <w:numFmt w:val="decimal"/>
      <w:lvlText w:val="%7."/>
      <w:lvlJc w:val="left"/>
      <w:pPr>
        <w:tabs>
          <w:tab w:val="num" w:pos="5040"/>
        </w:tabs>
        <w:ind w:left="5040" w:hanging="360"/>
      </w:pPr>
    </w:lvl>
    <w:lvl w:ilvl="7" w:tplc="CCCE73C2" w:tentative="1">
      <w:start w:val="1"/>
      <w:numFmt w:val="lowerLetter"/>
      <w:lvlText w:val="%8."/>
      <w:lvlJc w:val="left"/>
      <w:pPr>
        <w:tabs>
          <w:tab w:val="num" w:pos="5760"/>
        </w:tabs>
        <w:ind w:left="5760" w:hanging="360"/>
      </w:pPr>
    </w:lvl>
    <w:lvl w:ilvl="8" w:tplc="485C8924" w:tentative="1">
      <w:start w:val="1"/>
      <w:numFmt w:val="lowerRoman"/>
      <w:lvlText w:val="%9."/>
      <w:lvlJc w:val="right"/>
      <w:pPr>
        <w:tabs>
          <w:tab w:val="num" w:pos="6480"/>
        </w:tabs>
        <w:ind w:left="6480" w:hanging="180"/>
      </w:pPr>
    </w:lvl>
  </w:abstractNum>
  <w:abstractNum w:abstractNumId="13" w15:restartNumberingAfterBreak="0">
    <w:nsid w:val="642F3AFA"/>
    <w:multiLevelType w:val="hybridMultilevel"/>
    <w:tmpl w:val="9DF09BE6"/>
    <w:lvl w:ilvl="0" w:tplc="04BE304A">
      <w:start w:val="1"/>
      <w:numFmt w:val="decimal"/>
      <w:lvlText w:val="%1."/>
      <w:lvlJc w:val="left"/>
      <w:pPr>
        <w:tabs>
          <w:tab w:val="num" w:pos="1057"/>
        </w:tabs>
        <w:ind w:left="1057" w:hanging="360"/>
      </w:pPr>
      <w:rPr>
        <w:rFonts w:hint="default"/>
      </w:rPr>
    </w:lvl>
    <w:lvl w:ilvl="1" w:tplc="E99E0982" w:tentative="1">
      <w:start w:val="1"/>
      <w:numFmt w:val="lowerLetter"/>
      <w:lvlText w:val="%2."/>
      <w:lvlJc w:val="left"/>
      <w:pPr>
        <w:tabs>
          <w:tab w:val="num" w:pos="2137"/>
        </w:tabs>
        <w:ind w:left="2137" w:hanging="360"/>
      </w:pPr>
    </w:lvl>
    <w:lvl w:ilvl="2" w:tplc="2B362B14" w:tentative="1">
      <w:start w:val="1"/>
      <w:numFmt w:val="lowerRoman"/>
      <w:lvlText w:val="%3."/>
      <w:lvlJc w:val="right"/>
      <w:pPr>
        <w:tabs>
          <w:tab w:val="num" w:pos="2857"/>
        </w:tabs>
        <w:ind w:left="2857" w:hanging="180"/>
      </w:pPr>
    </w:lvl>
    <w:lvl w:ilvl="3" w:tplc="E3886E8E" w:tentative="1">
      <w:start w:val="1"/>
      <w:numFmt w:val="decimal"/>
      <w:lvlText w:val="%4."/>
      <w:lvlJc w:val="left"/>
      <w:pPr>
        <w:tabs>
          <w:tab w:val="num" w:pos="3577"/>
        </w:tabs>
        <w:ind w:left="3577" w:hanging="360"/>
      </w:pPr>
    </w:lvl>
    <w:lvl w:ilvl="4" w:tplc="D70C997E" w:tentative="1">
      <w:start w:val="1"/>
      <w:numFmt w:val="lowerLetter"/>
      <w:lvlText w:val="%5."/>
      <w:lvlJc w:val="left"/>
      <w:pPr>
        <w:tabs>
          <w:tab w:val="num" w:pos="4297"/>
        </w:tabs>
        <w:ind w:left="4297" w:hanging="360"/>
      </w:pPr>
    </w:lvl>
    <w:lvl w:ilvl="5" w:tplc="025AB2E8" w:tentative="1">
      <w:start w:val="1"/>
      <w:numFmt w:val="lowerRoman"/>
      <w:lvlText w:val="%6."/>
      <w:lvlJc w:val="right"/>
      <w:pPr>
        <w:tabs>
          <w:tab w:val="num" w:pos="5017"/>
        </w:tabs>
        <w:ind w:left="5017" w:hanging="180"/>
      </w:pPr>
    </w:lvl>
    <w:lvl w:ilvl="6" w:tplc="EB06F378" w:tentative="1">
      <w:start w:val="1"/>
      <w:numFmt w:val="decimal"/>
      <w:lvlText w:val="%7."/>
      <w:lvlJc w:val="left"/>
      <w:pPr>
        <w:tabs>
          <w:tab w:val="num" w:pos="5737"/>
        </w:tabs>
        <w:ind w:left="5737" w:hanging="360"/>
      </w:pPr>
    </w:lvl>
    <w:lvl w:ilvl="7" w:tplc="D8EA0ACE" w:tentative="1">
      <w:start w:val="1"/>
      <w:numFmt w:val="lowerLetter"/>
      <w:lvlText w:val="%8."/>
      <w:lvlJc w:val="left"/>
      <w:pPr>
        <w:tabs>
          <w:tab w:val="num" w:pos="6457"/>
        </w:tabs>
        <w:ind w:left="6457" w:hanging="360"/>
      </w:pPr>
    </w:lvl>
    <w:lvl w:ilvl="8" w:tplc="CE1A4B90" w:tentative="1">
      <w:start w:val="1"/>
      <w:numFmt w:val="lowerRoman"/>
      <w:lvlText w:val="%9."/>
      <w:lvlJc w:val="right"/>
      <w:pPr>
        <w:tabs>
          <w:tab w:val="num" w:pos="7177"/>
        </w:tabs>
        <w:ind w:left="7177" w:hanging="180"/>
      </w:pPr>
    </w:lvl>
  </w:abstractNum>
  <w:abstractNum w:abstractNumId="14" w15:restartNumberingAfterBreak="0">
    <w:nsid w:val="668B3FE2"/>
    <w:multiLevelType w:val="hybridMultilevel"/>
    <w:tmpl w:val="033A470C"/>
    <w:lvl w:ilvl="0" w:tplc="2C0A000B">
      <w:start w:val="1"/>
      <w:numFmt w:val="bullet"/>
      <w:lvlText w:val=""/>
      <w:lvlJc w:val="left"/>
      <w:pPr>
        <w:ind w:left="720" w:hanging="360"/>
      </w:pPr>
      <w:rPr>
        <w:rFonts w:ascii="Wingdings" w:hAnsi="Wingdings"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7212657C"/>
    <w:multiLevelType w:val="hybridMultilevel"/>
    <w:tmpl w:val="0A8E2A84"/>
    <w:lvl w:ilvl="0" w:tplc="AC40AA92">
      <w:start w:val="1"/>
      <w:numFmt w:val="decimal"/>
      <w:pStyle w:val="ATSNumber1"/>
      <w:lvlText w:val="%1)"/>
      <w:lvlJc w:val="left"/>
      <w:pPr>
        <w:tabs>
          <w:tab w:val="num" w:pos="720"/>
        </w:tabs>
        <w:ind w:left="720" w:hanging="360"/>
      </w:pPr>
    </w:lvl>
    <w:lvl w:ilvl="1" w:tplc="2A7EAFF2" w:tentative="1">
      <w:start w:val="1"/>
      <w:numFmt w:val="lowerLetter"/>
      <w:lvlText w:val="%2."/>
      <w:lvlJc w:val="left"/>
      <w:pPr>
        <w:tabs>
          <w:tab w:val="num" w:pos="1440"/>
        </w:tabs>
        <w:ind w:left="1440" w:hanging="360"/>
      </w:pPr>
    </w:lvl>
    <w:lvl w:ilvl="2" w:tplc="8AA0951A" w:tentative="1">
      <w:start w:val="1"/>
      <w:numFmt w:val="lowerRoman"/>
      <w:lvlText w:val="%3."/>
      <w:lvlJc w:val="right"/>
      <w:pPr>
        <w:tabs>
          <w:tab w:val="num" w:pos="2160"/>
        </w:tabs>
        <w:ind w:left="2160" w:hanging="180"/>
      </w:pPr>
    </w:lvl>
    <w:lvl w:ilvl="3" w:tplc="8D883B9C" w:tentative="1">
      <w:start w:val="1"/>
      <w:numFmt w:val="decimal"/>
      <w:lvlText w:val="%4."/>
      <w:lvlJc w:val="left"/>
      <w:pPr>
        <w:tabs>
          <w:tab w:val="num" w:pos="2880"/>
        </w:tabs>
        <w:ind w:left="2880" w:hanging="360"/>
      </w:pPr>
    </w:lvl>
    <w:lvl w:ilvl="4" w:tplc="421452C4" w:tentative="1">
      <w:start w:val="1"/>
      <w:numFmt w:val="lowerLetter"/>
      <w:lvlText w:val="%5."/>
      <w:lvlJc w:val="left"/>
      <w:pPr>
        <w:tabs>
          <w:tab w:val="num" w:pos="3600"/>
        </w:tabs>
        <w:ind w:left="3600" w:hanging="360"/>
      </w:pPr>
    </w:lvl>
    <w:lvl w:ilvl="5" w:tplc="A12CAC9C" w:tentative="1">
      <w:start w:val="1"/>
      <w:numFmt w:val="lowerRoman"/>
      <w:lvlText w:val="%6."/>
      <w:lvlJc w:val="right"/>
      <w:pPr>
        <w:tabs>
          <w:tab w:val="num" w:pos="4320"/>
        </w:tabs>
        <w:ind w:left="4320" w:hanging="180"/>
      </w:pPr>
    </w:lvl>
    <w:lvl w:ilvl="6" w:tplc="76B0CB8A" w:tentative="1">
      <w:start w:val="1"/>
      <w:numFmt w:val="decimal"/>
      <w:lvlText w:val="%7."/>
      <w:lvlJc w:val="left"/>
      <w:pPr>
        <w:tabs>
          <w:tab w:val="num" w:pos="5040"/>
        </w:tabs>
        <w:ind w:left="5040" w:hanging="360"/>
      </w:pPr>
    </w:lvl>
    <w:lvl w:ilvl="7" w:tplc="0DE6754C" w:tentative="1">
      <w:start w:val="1"/>
      <w:numFmt w:val="lowerLetter"/>
      <w:lvlText w:val="%8."/>
      <w:lvlJc w:val="left"/>
      <w:pPr>
        <w:tabs>
          <w:tab w:val="num" w:pos="5760"/>
        </w:tabs>
        <w:ind w:left="5760" w:hanging="360"/>
      </w:pPr>
    </w:lvl>
    <w:lvl w:ilvl="8" w:tplc="428ECA40" w:tentative="1">
      <w:start w:val="1"/>
      <w:numFmt w:val="lowerRoman"/>
      <w:lvlText w:val="%9."/>
      <w:lvlJc w:val="right"/>
      <w:pPr>
        <w:tabs>
          <w:tab w:val="num" w:pos="6480"/>
        </w:tabs>
        <w:ind w:left="6480" w:hanging="180"/>
      </w:pPr>
    </w:lvl>
  </w:abstractNum>
  <w:abstractNum w:abstractNumId="16" w15:restartNumberingAfterBreak="0">
    <w:nsid w:val="743D2161"/>
    <w:multiLevelType w:val="hybridMultilevel"/>
    <w:tmpl w:val="B0868D9E"/>
    <w:lvl w:ilvl="0" w:tplc="2C96E5A8">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F920F6EC" w:tentative="1">
      <w:start w:val="1"/>
      <w:numFmt w:val="bullet"/>
      <w:lvlText w:val="o"/>
      <w:lvlJc w:val="left"/>
      <w:pPr>
        <w:tabs>
          <w:tab w:val="num" w:pos="2517"/>
        </w:tabs>
        <w:ind w:left="2517" w:hanging="360"/>
      </w:pPr>
      <w:rPr>
        <w:rFonts w:ascii="Courier New" w:hAnsi="Courier New" w:cs="Courier New" w:hint="default"/>
      </w:rPr>
    </w:lvl>
    <w:lvl w:ilvl="2" w:tplc="5E3EE552" w:tentative="1">
      <w:start w:val="1"/>
      <w:numFmt w:val="bullet"/>
      <w:lvlText w:val=""/>
      <w:lvlJc w:val="left"/>
      <w:pPr>
        <w:tabs>
          <w:tab w:val="num" w:pos="3237"/>
        </w:tabs>
        <w:ind w:left="3237" w:hanging="360"/>
      </w:pPr>
      <w:rPr>
        <w:rFonts w:ascii="Wingdings" w:hAnsi="Wingdings" w:hint="default"/>
      </w:rPr>
    </w:lvl>
    <w:lvl w:ilvl="3" w:tplc="13FC1BD0" w:tentative="1">
      <w:start w:val="1"/>
      <w:numFmt w:val="bullet"/>
      <w:lvlText w:val=""/>
      <w:lvlJc w:val="left"/>
      <w:pPr>
        <w:tabs>
          <w:tab w:val="num" w:pos="3957"/>
        </w:tabs>
        <w:ind w:left="3957" w:hanging="360"/>
      </w:pPr>
      <w:rPr>
        <w:rFonts w:ascii="Symbol" w:hAnsi="Symbol" w:hint="default"/>
      </w:rPr>
    </w:lvl>
    <w:lvl w:ilvl="4" w:tplc="7464ACDC" w:tentative="1">
      <w:start w:val="1"/>
      <w:numFmt w:val="bullet"/>
      <w:lvlText w:val="o"/>
      <w:lvlJc w:val="left"/>
      <w:pPr>
        <w:tabs>
          <w:tab w:val="num" w:pos="4677"/>
        </w:tabs>
        <w:ind w:left="4677" w:hanging="360"/>
      </w:pPr>
      <w:rPr>
        <w:rFonts w:ascii="Courier New" w:hAnsi="Courier New" w:cs="Courier New" w:hint="default"/>
      </w:rPr>
    </w:lvl>
    <w:lvl w:ilvl="5" w:tplc="27D8007E" w:tentative="1">
      <w:start w:val="1"/>
      <w:numFmt w:val="bullet"/>
      <w:lvlText w:val=""/>
      <w:lvlJc w:val="left"/>
      <w:pPr>
        <w:tabs>
          <w:tab w:val="num" w:pos="5397"/>
        </w:tabs>
        <w:ind w:left="5397" w:hanging="360"/>
      </w:pPr>
      <w:rPr>
        <w:rFonts w:ascii="Wingdings" w:hAnsi="Wingdings" w:hint="default"/>
      </w:rPr>
    </w:lvl>
    <w:lvl w:ilvl="6" w:tplc="347A84D0" w:tentative="1">
      <w:start w:val="1"/>
      <w:numFmt w:val="bullet"/>
      <w:lvlText w:val=""/>
      <w:lvlJc w:val="left"/>
      <w:pPr>
        <w:tabs>
          <w:tab w:val="num" w:pos="6117"/>
        </w:tabs>
        <w:ind w:left="6117" w:hanging="360"/>
      </w:pPr>
      <w:rPr>
        <w:rFonts w:ascii="Symbol" w:hAnsi="Symbol" w:hint="default"/>
      </w:rPr>
    </w:lvl>
    <w:lvl w:ilvl="7" w:tplc="A9B056E6" w:tentative="1">
      <w:start w:val="1"/>
      <w:numFmt w:val="bullet"/>
      <w:lvlText w:val="o"/>
      <w:lvlJc w:val="left"/>
      <w:pPr>
        <w:tabs>
          <w:tab w:val="num" w:pos="6837"/>
        </w:tabs>
        <w:ind w:left="6837" w:hanging="360"/>
      </w:pPr>
      <w:rPr>
        <w:rFonts w:ascii="Courier New" w:hAnsi="Courier New" w:cs="Courier New" w:hint="default"/>
      </w:rPr>
    </w:lvl>
    <w:lvl w:ilvl="8" w:tplc="1B76C034" w:tentative="1">
      <w:start w:val="1"/>
      <w:numFmt w:val="bullet"/>
      <w:lvlText w:val=""/>
      <w:lvlJc w:val="left"/>
      <w:pPr>
        <w:tabs>
          <w:tab w:val="num" w:pos="7557"/>
        </w:tabs>
        <w:ind w:left="7557" w:hanging="360"/>
      </w:pPr>
      <w:rPr>
        <w:rFonts w:ascii="Wingdings" w:hAnsi="Wingdings" w:hint="default"/>
      </w:rPr>
    </w:lvl>
  </w:abstractNum>
  <w:abstractNum w:abstractNumId="17" w15:restartNumberingAfterBreak="0">
    <w:nsid w:val="7C866FC0"/>
    <w:multiLevelType w:val="hybridMultilevel"/>
    <w:tmpl w:val="57EA2900"/>
    <w:lvl w:ilvl="0" w:tplc="8B444BDA">
      <w:start w:val="1"/>
      <w:numFmt w:val="decimal"/>
      <w:pStyle w:val="ATSNumber2"/>
      <w:lvlText w:val="%1."/>
      <w:lvlJc w:val="left"/>
      <w:pPr>
        <w:tabs>
          <w:tab w:val="num" w:pos="720"/>
        </w:tabs>
        <w:ind w:left="720" w:hanging="360"/>
      </w:pPr>
      <w:rPr>
        <w:rFonts w:hint="default"/>
      </w:rPr>
    </w:lvl>
    <w:lvl w:ilvl="1" w:tplc="566E4BAE" w:tentative="1">
      <w:start w:val="1"/>
      <w:numFmt w:val="lowerLetter"/>
      <w:lvlText w:val="%2."/>
      <w:lvlJc w:val="left"/>
      <w:pPr>
        <w:tabs>
          <w:tab w:val="num" w:pos="1440"/>
        </w:tabs>
        <w:ind w:left="1440" w:hanging="360"/>
      </w:pPr>
    </w:lvl>
    <w:lvl w:ilvl="2" w:tplc="AF12EE3C" w:tentative="1">
      <w:start w:val="1"/>
      <w:numFmt w:val="lowerRoman"/>
      <w:lvlText w:val="%3."/>
      <w:lvlJc w:val="right"/>
      <w:pPr>
        <w:tabs>
          <w:tab w:val="num" w:pos="2160"/>
        </w:tabs>
        <w:ind w:left="2160" w:hanging="180"/>
      </w:pPr>
    </w:lvl>
    <w:lvl w:ilvl="3" w:tplc="1CC291B4" w:tentative="1">
      <w:start w:val="1"/>
      <w:numFmt w:val="decimal"/>
      <w:lvlText w:val="%4."/>
      <w:lvlJc w:val="left"/>
      <w:pPr>
        <w:tabs>
          <w:tab w:val="num" w:pos="2880"/>
        </w:tabs>
        <w:ind w:left="2880" w:hanging="360"/>
      </w:pPr>
    </w:lvl>
    <w:lvl w:ilvl="4" w:tplc="3C587AA4" w:tentative="1">
      <w:start w:val="1"/>
      <w:numFmt w:val="lowerLetter"/>
      <w:lvlText w:val="%5."/>
      <w:lvlJc w:val="left"/>
      <w:pPr>
        <w:tabs>
          <w:tab w:val="num" w:pos="3600"/>
        </w:tabs>
        <w:ind w:left="3600" w:hanging="360"/>
      </w:pPr>
    </w:lvl>
    <w:lvl w:ilvl="5" w:tplc="84AE9BB0" w:tentative="1">
      <w:start w:val="1"/>
      <w:numFmt w:val="lowerRoman"/>
      <w:lvlText w:val="%6."/>
      <w:lvlJc w:val="right"/>
      <w:pPr>
        <w:tabs>
          <w:tab w:val="num" w:pos="4320"/>
        </w:tabs>
        <w:ind w:left="4320" w:hanging="180"/>
      </w:pPr>
    </w:lvl>
    <w:lvl w:ilvl="6" w:tplc="572C9120" w:tentative="1">
      <w:start w:val="1"/>
      <w:numFmt w:val="decimal"/>
      <w:lvlText w:val="%7."/>
      <w:lvlJc w:val="left"/>
      <w:pPr>
        <w:tabs>
          <w:tab w:val="num" w:pos="5040"/>
        </w:tabs>
        <w:ind w:left="5040" w:hanging="360"/>
      </w:pPr>
    </w:lvl>
    <w:lvl w:ilvl="7" w:tplc="E9E829E4" w:tentative="1">
      <w:start w:val="1"/>
      <w:numFmt w:val="lowerLetter"/>
      <w:lvlText w:val="%8."/>
      <w:lvlJc w:val="left"/>
      <w:pPr>
        <w:tabs>
          <w:tab w:val="num" w:pos="5760"/>
        </w:tabs>
        <w:ind w:left="5760" w:hanging="360"/>
      </w:pPr>
    </w:lvl>
    <w:lvl w:ilvl="8" w:tplc="8F62154A" w:tentative="1">
      <w:start w:val="1"/>
      <w:numFmt w:val="lowerRoman"/>
      <w:lvlText w:val="%9."/>
      <w:lvlJc w:val="right"/>
      <w:pPr>
        <w:tabs>
          <w:tab w:val="num" w:pos="6480"/>
        </w:tabs>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6"/>
  </w:num>
  <w:num w:numId="13">
    <w:abstractNumId w:val="15"/>
  </w:num>
  <w:num w:numId="14">
    <w:abstractNumId w:val="12"/>
  </w:num>
  <w:num w:numId="15">
    <w:abstractNumId w:val="13"/>
  </w:num>
  <w:num w:numId="16">
    <w:abstractNumId w:val="10"/>
  </w:num>
  <w:num w:numId="17">
    <w:abstractNumId w:val="11"/>
  </w:num>
  <w:num w:numId="18">
    <w:abstractNumId w:val="16"/>
  </w:num>
  <w:num w:numId="19">
    <w:abstractNumId w:val="15"/>
  </w:num>
  <w:num w:numId="20">
    <w:abstractNumId w:val="17"/>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40B"/>
    <w:rsid w:val="007D740B"/>
    <w:rsid w:val="00B865BE"/>
    <w:rsid w:val="00C76733"/>
    <w:rsid w:val="00CA7FE2"/>
    <w:rsid w:val="00CB3455"/>
    <w:rsid w:val="00F74E5A"/>
  </w:rsids>
  <m:mathPr>
    <m:mathFont m:val="Cambria Math"/>
    <m:brkBin m:val="before"/>
    <m:brkBinSub m:val="--"/>
    <m:smallFrac m:val="0"/>
    <m:dispDef/>
    <m:lMargin m:val="0"/>
    <m:rMargin m:val="0"/>
    <m:defJc m:val="centerGroup"/>
    <m:wrapIndent m:val="1440"/>
    <m:intLim m:val="subSup"/>
    <m:naryLim m:val="undOvr"/>
  </m:mathPr>
  <w:themeFontLang w:val="es-A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CC596C"/>
  <w15:chartTrackingRefBased/>
  <w15:docId w15:val="{F8030140-168B-414B-ABE3-4F4786AEB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s-A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eastAsia="en-US"/>
    </w:rPr>
  </w:style>
  <w:style w:type="paragraph" w:styleId="Heading1">
    <w:name w:val="heading 1"/>
    <w:basedOn w:val="Normal"/>
    <w:next w:val="Normal"/>
    <w:qFormat/>
    <w:rsid w:val="001B789F"/>
    <w:pPr>
      <w:keepNext/>
      <w:spacing w:before="180" w:after="360"/>
      <w:jc w:val="center"/>
      <w:outlineLvl w:val="0"/>
    </w:pPr>
    <w:rPr>
      <w:rFonts w:ascii="Arial" w:hAnsi="Arial"/>
      <w:b/>
      <w:kern w:val="28"/>
      <w:sz w:val="32"/>
      <w:szCs w:val="20"/>
    </w:rPr>
  </w:style>
  <w:style w:type="paragraph" w:styleId="Heading2">
    <w:name w:val="heading 2"/>
    <w:basedOn w:val="Normal"/>
    <w:next w:val="Normal"/>
    <w:qFormat/>
    <w:rsid w:val="001B789F"/>
    <w:pPr>
      <w:keepNext/>
      <w:spacing w:before="120" w:after="240"/>
      <w:outlineLvl w:val="1"/>
    </w:pPr>
    <w:rPr>
      <w:b/>
      <w:i/>
      <w:sz w:val="28"/>
      <w:szCs w:val="20"/>
    </w:rPr>
  </w:style>
  <w:style w:type="paragraph" w:styleId="Heading3">
    <w:name w:val="heading 3"/>
    <w:basedOn w:val="Normal"/>
    <w:next w:val="Normal"/>
    <w:qFormat/>
    <w:rsid w:val="001B789F"/>
    <w:pPr>
      <w:keepNext/>
      <w:spacing w:before="120" w:after="180"/>
      <w:outlineLvl w:val="2"/>
    </w:pPr>
    <w:rPr>
      <w:rFonts w:eastAsia="SimSun"/>
      <w:b/>
      <w:sz w:val="24"/>
      <w:szCs w:val="20"/>
      <w:lang w:eastAsia="zh-CN"/>
    </w:rPr>
  </w:style>
  <w:style w:type="paragraph" w:styleId="Heading4">
    <w:name w:val="heading 4"/>
    <w:basedOn w:val="Normal"/>
    <w:next w:val="Normal"/>
    <w:qFormat/>
    <w:rsid w:val="001B789F"/>
    <w:pPr>
      <w:keepNext/>
      <w:spacing w:before="60" w:after="120"/>
      <w:outlineLvl w:val="3"/>
    </w:pPr>
    <w:rPr>
      <w:b/>
      <w:bCs/>
      <w:i/>
      <w:szCs w:val="28"/>
    </w:rPr>
  </w:style>
  <w:style w:type="paragraph" w:styleId="Heading5">
    <w:name w:val="heading 5"/>
    <w:basedOn w:val="Normal"/>
    <w:next w:val="Normal"/>
    <w:qFormat/>
    <w:rsid w:val="001B789F"/>
    <w:pPr>
      <w:spacing w:before="240" w:after="60"/>
      <w:outlineLvl w:val="4"/>
    </w:pPr>
    <w:rPr>
      <w:b/>
      <w:bCs/>
      <w:i/>
      <w:iCs/>
      <w:sz w:val="26"/>
      <w:szCs w:val="26"/>
    </w:rPr>
  </w:style>
  <w:style w:type="paragraph" w:styleId="Heading6">
    <w:name w:val="heading 6"/>
    <w:basedOn w:val="Normal"/>
    <w:next w:val="Normal"/>
    <w:qFormat/>
    <w:rsid w:val="001B789F"/>
    <w:pPr>
      <w:spacing w:before="240" w:after="60"/>
      <w:outlineLvl w:val="5"/>
    </w:pPr>
    <w:rPr>
      <w:b/>
      <w:bCs/>
      <w:szCs w:val="22"/>
    </w:rPr>
  </w:style>
  <w:style w:type="paragraph" w:styleId="Heading7">
    <w:name w:val="heading 7"/>
    <w:basedOn w:val="Normal"/>
    <w:next w:val="Normal"/>
    <w:qFormat/>
    <w:rsid w:val="001B789F"/>
    <w:pPr>
      <w:spacing w:before="240" w:after="60"/>
      <w:outlineLvl w:val="6"/>
    </w:pPr>
    <w:rPr>
      <w:sz w:val="24"/>
    </w:rPr>
  </w:style>
  <w:style w:type="paragraph" w:styleId="Heading8">
    <w:name w:val="heading 8"/>
    <w:basedOn w:val="Normal"/>
    <w:next w:val="Normal"/>
    <w:qFormat/>
    <w:rsid w:val="001B789F"/>
    <w:pPr>
      <w:spacing w:before="240" w:after="60"/>
      <w:outlineLvl w:val="7"/>
    </w:pPr>
    <w:rPr>
      <w:i/>
      <w:iCs/>
      <w:sz w:val="24"/>
    </w:rPr>
  </w:style>
  <w:style w:type="paragraph" w:styleId="Heading9">
    <w:name w:val="heading 9"/>
    <w:basedOn w:val="Normal"/>
    <w:next w:val="Normal"/>
    <w:qFormat/>
    <w:rsid w:val="001B789F"/>
    <w:p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TSNormal">
    <w:name w:val="ATS Normal"/>
    <w:basedOn w:val="Normal"/>
    <w:rsid w:val="001B789F"/>
    <w:pPr>
      <w:spacing w:before="120" w:after="120"/>
    </w:pPr>
    <w:rPr>
      <w:lang w:eastAsia="en-GB"/>
    </w:rPr>
  </w:style>
  <w:style w:type="paragraph" w:customStyle="1" w:styleId="ATSBullet1">
    <w:name w:val="ATS Bullet 1"/>
    <w:basedOn w:val="ATSNormal"/>
    <w:rsid w:val="001B789F"/>
    <w:pPr>
      <w:numPr>
        <w:numId w:val="17"/>
      </w:numPr>
      <w:spacing w:before="60" w:after="0"/>
    </w:pPr>
  </w:style>
  <w:style w:type="paragraph" w:customStyle="1" w:styleId="ATSBullet2">
    <w:name w:val="ATS Bullet 2"/>
    <w:basedOn w:val="ATSNormal"/>
    <w:rsid w:val="001B789F"/>
    <w:pPr>
      <w:numPr>
        <w:numId w:val="18"/>
      </w:numPr>
      <w:tabs>
        <w:tab w:val="left" w:pos="720"/>
      </w:tabs>
      <w:spacing w:before="60" w:after="0"/>
    </w:pPr>
  </w:style>
  <w:style w:type="paragraph" w:customStyle="1" w:styleId="ATSCompact">
    <w:name w:val="ATS Compact"/>
    <w:basedOn w:val="ATSNormal"/>
    <w:rsid w:val="001B789F"/>
    <w:pPr>
      <w:spacing w:before="0" w:after="0"/>
    </w:pPr>
  </w:style>
  <w:style w:type="paragraph" w:customStyle="1" w:styleId="ATSHeading1">
    <w:name w:val="ATS Heading 1"/>
    <w:basedOn w:val="ATSNormal"/>
    <w:next w:val="ATSNormal"/>
    <w:rsid w:val="001B789F"/>
    <w:pPr>
      <w:spacing w:before="360" w:after="360"/>
      <w:jc w:val="center"/>
    </w:pPr>
    <w:rPr>
      <w:rFonts w:ascii="Arial" w:hAnsi="Arial"/>
      <w:b/>
      <w:sz w:val="32"/>
    </w:rPr>
  </w:style>
  <w:style w:type="paragraph" w:customStyle="1" w:styleId="ATSHeading2">
    <w:name w:val="ATS Heading 2"/>
    <w:basedOn w:val="ATSNormal"/>
    <w:next w:val="ATSNormal"/>
    <w:rsid w:val="001B789F"/>
    <w:pPr>
      <w:spacing w:before="480"/>
      <w:jc w:val="both"/>
    </w:pPr>
    <w:rPr>
      <w:rFonts w:ascii="Arial" w:hAnsi="Arial"/>
      <w:b/>
      <w:i/>
      <w:sz w:val="24"/>
      <w:szCs w:val="22"/>
    </w:rPr>
  </w:style>
  <w:style w:type="paragraph" w:customStyle="1" w:styleId="ATSHeading3">
    <w:name w:val="ATS Heading 3"/>
    <w:basedOn w:val="ATSNormal"/>
    <w:next w:val="ATSNormal"/>
    <w:rsid w:val="001B789F"/>
    <w:pPr>
      <w:spacing w:before="240" w:after="60"/>
    </w:pPr>
    <w:rPr>
      <w:b/>
    </w:rPr>
  </w:style>
  <w:style w:type="paragraph" w:customStyle="1" w:styleId="ATSHeading4">
    <w:name w:val="ATS Heading 4"/>
    <w:basedOn w:val="ATSNormal"/>
    <w:next w:val="ATSNormal"/>
    <w:rsid w:val="001B789F"/>
    <w:pPr>
      <w:spacing w:before="240" w:after="60"/>
    </w:pPr>
    <w:rPr>
      <w:i/>
    </w:rPr>
  </w:style>
  <w:style w:type="paragraph" w:customStyle="1" w:styleId="AtsNumber">
    <w:name w:val="Ats Number"/>
    <w:basedOn w:val="ATSNormal"/>
    <w:rsid w:val="001B789F"/>
    <w:pPr>
      <w:spacing w:before="60" w:after="0"/>
    </w:pPr>
  </w:style>
  <w:style w:type="paragraph" w:customStyle="1" w:styleId="ATSNumber1">
    <w:name w:val="ATS Number 1"/>
    <w:basedOn w:val="ATSNormal"/>
    <w:rsid w:val="001B789F"/>
    <w:pPr>
      <w:numPr>
        <w:numId w:val="19"/>
      </w:numPr>
      <w:spacing w:before="60" w:after="0"/>
    </w:pPr>
  </w:style>
  <w:style w:type="paragraph" w:customStyle="1" w:styleId="ATSNumber2">
    <w:name w:val="ATS Number 2"/>
    <w:basedOn w:val="ATSNormal"/>
    <w:autoRedefine/>
    <w:rsid w:val="001B789F"/>
    <w:pPr>
      <w:numPr>
        <w:numId w:val="20"/>
      </w:numPr>
      <w:spacing w:after="0"/>
      <w:jc w:val="both"/>
    </w:pPr>
  </w:style>
  <w:style w:type="paragraph" w:customStyle="1" w:styleId="ATSQuote">
    <w:name w:val="ATS Quote"/>
    <w:basedOn w:val="Normal"/>
    <w:rsid w:val="001B789F"/>
    <w:pPr>
      <w:ind w:left="357"/>
    </w:pPr>
    <w:rPr>
      <w:i/>
      <w:szCs w:val="18"/>
    </w:rPr>
  </w:style>
  <w:style w:type="paragraph" w:customStyle="1" w:styleId="ATSTitle">
    <w:name w:val="ATS Title"/>
    <w:basedOn w:val="Normal"/>
    <w:rsid w:val="001B789F"/>
    <w:pPr>
      <w:spacing w:before="360" w:after="360"/>
      <w:contextualSpacing/>
      <w:jc w:val="center"/>
    </w:pPr>
    <w:rPr>
      <w:rFonts w:ascii="Arial" w:hAnsi="Arial"/>
      <w:b/>
      <w:sz w:val="48"/>
    </w:rPr>
  </w:style>
  <w:style w:type="paragraph" w:styleId="BalloonText">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GB"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DocumentMap">
    <w:name w:val="Document Map"/>
    <w:basedOn w:val="Normal"/>
    <w:semiHidden/>
    <w:rsid w:val="001B789F"/>
    <w:pPr>
      <w:shd w:val="clear" w:color="auto" w:fill="000080"/>
    </w:pPr>
    <w:rPr>
      <w:rFonts w:ascii="Tahoma" w:hAnsi="Tahoma" w:cs="Tahoma"/>
      <w:sz w:val="20"/>
      <w:szCs w:val="20"/>
    </w:rPr>
  </w:style>
  <w:style w:type="character" w:styleId="EndnoteReference">
    <w:name w:val="endnote reference"/>
    <w:semiHidden/>
    <w:rsid w:val="001B789F"/>
    <w:rPr>
      <w:vertAlign w:val="superscript"/>
    </w:rPr>
  </w:style>
  <w:style w:type="paragraph" w:styleId="EndnoteText">
    <w:name w:val="endnote text"/>
    <w:basedOn w:val="Normal"/>
    <w:semiHidden/>
    <w:rsid w:val="001B789F"/>
    <w:rPr>
      <w:sz w:val="20"/>
      <w:szCs w:val="20"/>
    </w:rPr>
  </w:style>
  <w:style w:type="character" w:styleId="FollowedHyperlink">
    <w:name w:val="FollowedHyperlink"/>
    <w:semiHidden/>
    <w:rsid w:val="001B789F"/>
    <w:rPr>
      <w:color w:val="800080"/>
      <w:u w:val="single"/>
    </w:rPr>
  </w:style>
  <w:style w:type="paragraph" w:styleId="Footer">
    <w:name w:val="footer"/>
    <w:basedOn w:val="Normal"/>
    <w:semiHidden/>
    <w:rsid w:val="001B789F"/>
    <w:pPr>
      <w:tabs>
        <w:tab w:val="center" w:pos="4419"/>
        <w:tab w:val="right" w:pos="8838"/>
      </w:tabs>
    </w:pPr>
  </w:style>
  <w:style w:type="character" w:styleId="FootnoteReference">
    <w:name w:val="footnote reference"/>
    <w:rsid w:val="001B789F"/>
    <w:rPr>
      <w:vertAlign w:val="superscript"/>
    </w:rPr>
  </w:style>
  <w:style w:type="paragraph" w:styleId="FootnoteText">
    <w:name w:val="footnote text"/>
    <w:basedOn w:val="Normal"/>
    <w:rsid w:val="001B789F"/>
    <w:rPr>
      <w:szCs w:val="22"/>
    </w:rPr>
  </w:style>
  <w:style w:type="paragraph" w:styleId="Header">
    <w:name w:val="header"/>
    <w:basedOn w:val="Normal"/>
    <w:semiHidden/>
    <w:rsid w:val="001B789F"/>
    <w:pPr>
      <w:tabs>
        <w:tab w:val="center" w:pos="4419"/>
        <w:tab w:val="right" w:pos="8838"/>
      </w:tabs>
    </w:pPr>
  </w:style>
  <w:style w:type="character" w:styleId="Hyperlink">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eastAsia="en-AU"/>
    </w:rPr>
  </w:style>
  <w:style w:type="character" w:styleId="PageNumber">
    <w:name w:val="page number"/>
    <w:basedOn w:val="DefaultParagraphFont"/>
    <w:semiHidden/>
    <w:rsid w:val="001B789F"/>
  </w:style>
  <w:style w:type="character" w:styleId="Strong">
    <w:name w:val="Strong"/>
    <w:qFormat/>
    <w:rsid w:val="001B789F"/>
    <w:rPr>
      <w:b/>
      <w:bCs/>
    </w:rPr>
  </w:style>
  <w:style w:type="table" w:styleId="TableGrid">
    <w:name w:val="Table Grid"/>
    <w:basedOn w:val="Table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eastAsia="es-ES"/>
    </w:rPr>
  </w:style>
  <w:style w:type="paragraph" w:styleId="TOC1">
    <w:name w:val="toc 1"/>
    <w:basedOn w:val="Normal"/>
    <w:next w:val="Normal"/>
    <w:autoRedefine/>
    <w:semiHidden/>
    <w:rsid w:val="001B789F"/>
    <w:rPr>
      <w:b/>
      <w:bCs/>
      <w:i/>
      <w:iCs/>
      <w:sz w:val="24"/>
    </w:rPr>
  </w:style>
  <w:style w:type="paragraph" w:styleId="TOC2">
    <w:name w:val="toc 2"/>
    <w:basedOn w:val="Normal"/>
    <w:next w:val="Normal"/>
    <w:autoRedefine/>
    <w:semiHidden/>
    <w:rsid w:val="001B789F"/>
    <w:pPr>
      <w:ind w:left="220"/>
    </w:pPr>
    <w:rPr>
      <w:b/>
      <w:bCs/>
      <w:szCs w:val="22"/>
    </w:rPr>
  </w:style>
  <w:style w:type="paragraph" w:styleId="TOC3">
    <w:name w:val="toc 3"/>
    <w:basedOn w:val="Normal"/>
    <w:next w:val="Normal"/>
    <w:autoRedefine/>
    <w:semiHidden/>
    <w:rsid w:val="001B789F"/>
    <w:pPr>
      <w:ind w:left="440"/>
    </w:pPr>
    <w:rPr>
      <w:sz w:val="20"/>
      <w:szCs w:val="20"/>
    </w:rPr>
  </w:style>
  <w:style w:type="paragraph" w:styleId="TOC4">
    <w:name w:val="toc 4"/>
    <w:basedOn w:val="Normal"/>
    <w:next w:val="Normal"/>
    <w:autoRedefine/>
    <w:semiHidden/>
    <w:rsid w:val="001B789F"/>
    <w:pPr>
      <w:ind w:left="660"/>
    </w:pPr>
    <w:rPr>
      <w:sz w:val="20"/>
      <w:szCs w:val="20"/>
    </w:rPr>
  </w:style>
  <w:style w:type="paragraph" w:styleId="TOC5">
    <w:name w:val="toc 5"/>
    <w:basedOn w:val="Normal"/>
    <w:next w:val="Normal"/>
    <w:autoRedefine/>
    <w:semiHidden/>
    <w:rsid w:val="001B789F"/>
    <w:pPr>
      <w:ind w:left="880"/>
    </w:pPr>
    <w:rPr>
      <w:sz w:val="20"/>
      <w:szCs w:val="20"/>
    </w:rPr>
  </w:style>
  <w:style w:type="paragraph" w:styleId="TOC6">
    <w:name w:val="toc 6"/>
    <w:basedOn w:val="Normal"/>
    <w:next w:val="Normal"/>
    <w:autoRedefine/>
    <w:semiHidden/>
    <w:rsid w:val="001B789F"/>
    <w:pPr>
      <w:ind w:left="1100"/>
    </w:pPr>
    <w:rPr>
      <w:sz w:val="20"/>
      <w:szCs w:val="20"/>
    </w:rPr>
  </w:style>
  <w:style w:type="paragraph" w:styleId="TOC7">
    <w:name w:val="toc 7"/>
    <w:basedOn w:val="Normal"/>
    <w:next w:val="Normal"/>
    <w:autoRedefine/>
    <w:semiHidden/>
    <w:rsid w:val="001B789F"/>
    <w:pPr>
      <w:ind w:left="1320"/>
    </w:pPr>
    <w:rPr>
      <w:sz w:val="20"/>
      <w:szCs w:val="20"/>
    </w:rPr>
  </w:style>
  <w:style w:type="paragraph" w:styleId="TOC8">
    <w:name w:val="toc 8"/>
    <w:basedOn w:val="Normal"/>
    <w:next w:val="Normal"/>
    <w:autoRedefine/>
    <w:semiHidden/>
    <w:rsid w:val="001B789F"/>
    <w:pPr>
      <w:ind w:left="1540"/>
    </w:pPr>
    <w:rPr>
      <w:sz w:val="20"/>
      <w:szCs w:val="20"/>
    </w:rPr>
  </w:style>
  <w:style w:type="paragraph" w:styleId="TO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Caption">
    <w:name w:val="caption"/>
    <w:basedOn w:val="Normal"/>
    <w:qFormat/>
    <w:rsid w:val="00CB3455"/>
    <w:pPr>
      <w:suppressLineNumbers/>
      <w:suppressAutoHyphens/>
      <w:spacing w:before="120" w:after="120" w:line="360" w:lineRule="auto"/>
    </w:pPr>
    <w:rPr>
      <w:rFonts w:ascii="Liberation Sans" w:eastAsia="Noto Sans CJK SC" w:hAnsi="Liberation Sans" w:cs="Lohit Devanagari"/>
      <w:i/>
      <w:iCs/>
      <w:kern w:val="2"/>
      <w:sz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6</Pages>
  <Words>1362</Words>
  <Characters>7817</Characters>
  <Application>Microsoft Office Word</Application>
  <DocSecurity>0</DocSecurity>
  <Lines>65</Lines>
  <Paragraphs>18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template español</vt:lpstr>
      <vt:lpstr>paper template español</vt:lpstr>
    </vt:vector>
  </TitlesOfParts>
  <Company>ATS</Company>
  <LinksUpToDate>false</LinksUpToDate>
  <CharactersWithSpaces>9161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template español</dc:title>
  <dc:creator>Pepe Agraz</dc:creator>
  <cp:lastModifiedBy>SeproTec</cp:lastModifiedBy>
  <cp:revision>7</cp:revision>
  <cp:lastPrinted>1900-01-01T03:00:00Z</cp:lastPrinted>
  <dcterms:created xsi:type="dcterms:W3CDTF">2020-11-26T16:56:00Z</dcterms:created>
  <dcterms:modified xsi:type="dcterms:W3CDTF">2022-05-23T07:37:00Z</dcterms:modified>
</cp:coreProperties>
</file>