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9FDB2" w14:textId="77777777" w:rsidR="00C26F2D" w:rsidRPr="00BF077B" w:rsidRDefault="00721314" w:rsidP="00BF077B">
      <w:pPr>
        <w:pStyle w:val="ATSNormal"/>
        <w:rPr>
          <w:rStyle w:val="Ttulodellibro"/>
        </w:rPr>
      </w:pPr>
    </w:p>
    <w:p w14:paraId="255656C7" w14:textId="77777777" w:rsidR="002F0A13" w:rsidRDefault="00721314" w:rsidP="004B4A60">
      <w:pPr>
        <w:rPr>
          <w:b/>
          <w:u w:val="single"/>
          <w:lang w:val="es-ES_tradnl"/>
        </w:rPr>
      </w:pPr>
    </w:p>
    <w:p w14:paraId="7C4BE436" w14:textId="77777777" w:rsidR="002F0A13" w:rsidRDefault="00721314" w:rsidP="004B4A60">
      <w:pPr>
        <w:rPr>
          <w:b/>
          <w:u w:val="single"/>
          <w:lang w:val="es-ES_tradnl"/>
        </w:rPr>
      </w:pPr>
    </w:p>
    <w:p w14:paraId="067ED63E" w14:textId="77777777" w:rsidR="002F0A13" w:rsidRDefault="00721314" w:rsidP="004B4A60">
      <w:pPr>
        <w:rPr>
          <w:b/>
          <w:u w:val="single"/>
          <w:lang w:val="es-ES_tradnl"/>
        </w:rPr>
      </w:pPr>
    </w:p>
    <w:p w14:paraId="4AEDCE48" w14:textId="77777777" w:rsidR="002F0A13" w:rsidRDefault="00721314" w:rsidP="004B4A60">
      <w:pPr>
        <w:rPr>
          <w:b/>
          <w:u w:val="single"/>
          <w:lang w:val="es-ES_tradnl"/>
        </w:rPr>
      </w:pPr>
    </w:p>
    <w:p w14:paraId="200F7E1E" w14:textId="77777777" w:rsidR="00C26F2D" w:rsidRDefault="00721314" w:rsidP="004B4A60">
      <w:pPr>
        <w:rPr>
          <w:b/>
          <w:u w:val="single"/>
          <w:lang w:val="es-ES_tradnl"/>
        </w:rPr>
      </w:pPr>
    </w:p>
    <w:p w14:paraId="0D661633" w14:textId="77777777" w:rsidR="004B4A60" w:rsidRPr="0057246E" w:rsidRDefault="006C5AB7" w:rsidP="001B789F">
      <w:pPr>
        <w:pStyle w:val="ATSTitle"/>
      </w:pPr>
      <w:bookmarkStart w:id="0" w:name="name"/>
      <w:r>
        <w:t>Report of the International Association of Antarctica Tour Operators 2021-22</w:t>
      </w:r>
      <w:bookmarkEnd w:id="0"/>
    </w:p>
    <w:p w14:paraId="206E5914" w14:textId="77777777" w:rsidR="004B4A60" w:rsidRPr="0057246E" w:rsidRDefault="00721314" w:rsidP="00F75424">
      <w:pPr>
        <w:jc w:val="center"/>
      </w:pPr>
    </w:p>
    <w:p w14:paraId="445C10BC" w14:textId="77777777" w:rsidR="004B4A60" w:rsidRPr="002F0A13" w:rsidRDefault="00721314" w:rsidP="002F0A13"/>
    <w:p w14:paraId="1AFAC62E" w14:textId="77777777" w:rsidR="004B4A60" w:rsidRDefault="00721314" w:rsidP="00F75424">
      <w:pPr>
        <w:jc w:val="center"/>
      </w:pPr>
      <w:bookmarkStart w:id="1" w:name="memo"/>
      <w:bookmarkEnd w:id="1"/>
    </w:p>
    <w:p w14:paraId="219189EF" w14:textId="77777777" w:rsidR="0097629D" w:rsidRDefault="00721314" w:rsidP="00F75424">
      <w:pPr>
        <w:jc w:val="center"/>
      </w:pPr>
    </w:p>
    <w:p w14:paraId="67656AA4" w14:textId="77777777" w:rsidR="0097629D" w:rsidRDefault="00721314" w:rsidP="00F75424">
      <w:pPr>
        <w:jc w:val="center"/>
      </w:pPr>
    </w:p>
    <w:p w14:paraId="38B90718" w14:textId="77777777" w:rsidR="0097629D" w:rsidRDefault="00721314" w:rsidP="00F75424">
      <w:pPr>
        <w:jc w:val="center"/>
      </w:pPr>
    </w:p>
    <w:p w14:paraId="2D5204AD" w14:textId="77777777" w:rsidR="0097629D" w:rsidRPr="00C26F2D" w:rsidRDefault="00721314" w:rsidP="00F75424">
      <w:pPr>
        <w:jc w:val="center"/>
      </w:pPr>
    </w:p>
    <w:p w14:paraId="3E8A3C56" w14:textId="77777777" w:rsidR="004B4A60" w:rsidRPr="0057246E" w:rsidRDefault="00721314" w:rsidP="004B4A60"/>
    <w:p w14:paraId="583980C3" w14:textId="77777777" w:rsidR="00C26F2D" w:rsidRDefault="0072131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10DAAA8" w14:textId="141287BC" w:rsidR="004B4A60" w:rsidRDefault="00721314" w:rsidP="00952E9F"/>
    <w:p w14:paraId="34A1F09A" w14:textId="77777777" w:rsidR="00B83CFC" w:rsidRDefault="00B83CFC" w:rsidP="00B83CFC">
      <w:pPr>
        <w:pStyle w:val="ATSHeading1"/>
        <w:rPr>
          <w:szCs w:val="20"/>
          <w:lang w:eastAsia="en-US"/>
        </w:rPr>
      </w:pPr>
      <w:r>
        <w:t>Report of the International Association of Antarctica Tour Operators 2021-22</w:t>
      </w:r>
    </w:p>
    <w:p w14:paraId="43980BA7" w14:textId="77777777" w:rsidR="00B83CFC" w:rsidRDefault="00B83CFC" w:rsidP="00B83CFC">
      <w:pPr>
        <w:pStyle w:val="ATSHeading2"/>
        <w:jc w:val="center"/>
        <w:rPr>
          <w:rFonts w:ascii="Times New Roman" w:hAnsi="Times New Roman"/>
        </w:rPr>
      </w:pPr>
      <w:r>
        <w:t>Under Article III (2) of the Antarctic Treaty</w:t>
      </w:r>
    </w:p>
    <w:p w14:paraId="3B03D8FD" w14:textId="77777777" w:rsidR="00B83CFC" w:rsidRPr="00E5330E" w:rsidRDefault="00B83CFC" w:rsidP="00B83CFC">
      <w:pPr>
        <w:pStyle w:val="ATSHeading2"/>
        <w:rPr>
          <w:rFonts w:ascii="Times New Roman" w:hAnsi="Times New Roman"/>
          <w:szCs w:val="24"/>
        </w:rPr>
      </w:pPr>
      <w:r w:rsidRPr="00E5330E">
        <w:rPr>
          <w:rFonts w:ascii="Times New Roman" w:hAnsi="Times New Roman"/>
          <w:szCs w:val="24"/>
        </w:rPr>
        <w:t>Introduction</w:t>
      </w:r>
    </w:p>
    <w:p w14:paraId="1DA83B27" w14:textId="77777777" w:rsidR="00B83CFC" w:rsidRPr="008C0CA7" w:rsidRDefault="00B83CFC" w:rsidP="00B83CFC">
      <w:pPr>
        <w:tabs>
          <w:tab w:val="left" w:pos="1260"/>
        </w:tabs>
        <w:suppressAutoHyphens/>
        <w:rPr>
          <w:szCs w:val="22"/>
        </w:rPr>
      </w:pPr>
      <w:r w:rsidRPr="008C0CA7">
        <w:rPr>
          <w:szCs w:val="22"/>
        </w:rPr>
        <w:t>The International Association of Antarctica Tour Operators (IAATO) is pleased to report its activities to ATCM XLI</w:t>
      </w:r>
      <w:r>
        <w:rPr>
          <w:szCs w:val="22"/>
        </w:rPr>
        <w:t>V</w:t>
      </w:r>
      <w:r w:rsidRPr="008C0CA7">
        <w:rPr>
          <w:szCs w:val="22"/>
        </w:rPr>
        <w:t>.</w:t>
      </w:r>
    </w:p>
    <w:p w14:paraId="59F20775" w14:textId="77777777" w:rsidR="00B83CFC" w:rsidRPr="008C0CA7" w:rsidRDefault="00B83CFC" w:rsidP="00B83CFC">
      <w:pPr>
        <w:tabs>
          <w:tab w:val="left" w:pos="1260"/>
        </w:tabs>
        <w:suppressAutoHyphens/>
        <w:rPr>
          <w:szCs w:val="22"/>
        </w:rPr>
      </w:pPr>
    </w:p>
    <w:p w14:paraId="3514E780" w14:textId="77777777" w:rsidR="00B83CFC" w:rsidRPr="008C0CA7" w:rsidRDefault="00B83CFC" w:rsidP="00B83CFC">
      <w:pPr>
        <w:tabs>
          <w:tab w:val="left" w:pos="1260"/>
        </w:tabs>
        <w:suppressAutoHyphens/>
      </w:pPr>
      <w:r>
        <w:t xml:space="preserve">IAATO focuses activities in support of its mission to advocate and promote the practice of safe and environmentally responsible private sector travel to Antarctica. Further information on IAATO, its mission, primary activities and recent developments can be found at: </w:t>
      </w:r>
      <w:hyperlink r:id="rId14">
        <w:r w:rsidRPr="396E904C">
          <w:rPr>
            <w:rStyle w:val="Hipervnculo"/>
          </w:rPr>
          <w:t>www.iaato.org</w:t>
        </w:r>
      </w:hyperlink>
      <w:r>
        <w:t>.</w:t>
      </w:r>
    </w:p>
    <w:p w14:paraId="7E01E4B9" w14:textId="77777777" w:rsidR="00B83CFC" w:rsidRPr="00E5330E" w:rsidRDefault="00B83CFC" w:rsidP="00B83CFC">
      <w:pPr>
        <w:pStyle w:val="ATSHeading2"/>
        <w:rPr>
          <w:rFonts w:ascii="Times New Roman" w:hAnsi="Times New Roman"/>
          <w:szCs w:val="24"/>
        </w:rPr>
      </w:pPr>
      <w:r w:rsidRPr="00E5330E">
        <w:rPr>
          <w:rFonts w:ascii="Times New Roman" w:hAnsi="Times New Roman"/>
          <w:szCs w:val="24"/>
        </w:rPr>
        <w:t>Overview</w:t>
      </w:r>
    </w:p>
    <w:p w14:paraId="29B09B7F" w14:textId="77777777" w:rsidR="00B83CFC" w:rsidRDefault="00B83CFC" w:rsidP="00B83CFC">
      <w:pPr>
        <w:pStyle w:val="ATSNormal"/>
        <w:rPr>
          <w:szCs w:val="22"/>
          <w:lang w:val="en-US"/>
        </w:rPr>
      </w:pPr>
      <w:r w:rsidRPr="00125C20">
        <w:rPr>
          <w:szCs w:val="22"/>
          <w:lang w:val="en-US"/>
        </w:rPr>
        <w:t>Over the last three decades, IAATO has been committed to the promotion of safe and environmentally responsible private sector travel.  This commitment has been unwavering through t</w:t>
      </w:r>
      <w:r>
        <w:rPr>
          <w:szCs w:val="22"/>
          <w:lang w:val="en-US"/>
        </w:rPr>
        <w:t>wo</w:t>
      </w:r>
      <w:r w:rsidRPr="00125C20">
        <w:rPr>
          <w:szCs w:val="22"/>
          <w:lang w:val="en-US"/>
        </w:rPr>
        <w:t xml:space="preserve"> </w:t>
      </w:r>
      <w:r>
        <w:rPr>
          <w:szCs w:val="22"/>
          <w:lang w:val="en-US"/>
        </w:rPr>
        <w:t xml:space="preserve">previous </w:t>
      </w:r>
      <w:r w:rsidRPr="00125C20">
        <w:rPr>
          <w:szCs w:val="22"/>
          <w:lang w:val="en-US"/>
        </w:rPr>
        <w:t xml:space="preserve">major growth periods and, recently, </w:t>
      </w:r>
      <w:r>
        <w:rPr>
          <w:szCs w:val="22"/>
          <w:lang w:val="en-US"/>
        </w:rPr>
        <w:t xml:space="preserve">the SARS-CoV-2 (COVID-19) </w:t>
      </w:r>
      <w:r w:rsidRPr="00125C20">
        <w:rPr>
          <w:szCs w:val="22"/>
          <w:lang w:val="en-US"/>
        </w:rPr>
        <w:t>pandemic</w:t>
      </w:r>
      <w:r>
        <w:rPr>
          <w:szCs w:val="22"/>
          <w:lang w:val="en-US"/>
        </w:rPr>
        <w:t>.</w:t>
      </w:r>
      <w:r w:rsidRPr="00125C20">
        <w:rPr>
          <w:szCs w:val="22"/>
          <w:lang w:val="en-US"/>
        </w:rPr>
        <w:t xml:space="preserve"> </w:t>
      </w:r>
    </w:p>
    <w:p w14:paraId="774A2E93" w14:textId="77777777" w:rsidR="00B83CFC" w:rsidRDefault="00B83CFC" w:rsidP="00B83CFC">
      <w:pPr>
        <w:pStyle w:val="ATSNormal"/>
        <w:rPr>
          <w:szCs w:val="22"/>
          <w:lang w:val="en-US"/>
        </w:rPr>
      </w:pPr>
      <w:r>
        <w:rPr>
          <w:szCs w:val="22"/>
          <w:lang w:val="en-US"/>
        </w:rPr>
        <w:t xml:space="preserve">IAATO’s membership totals </w:t>
      </w:r>
      <w:r w:rsidRPr="009C46F1">
        <w:rPr>
          <w:szCs w:val="22"/>
          <w:lang w:val="en-US"/>
        </w:rPr>
        <w:t>106 Members, comprised of 55 Operators and Provisional Operators and 51 Associates.</w:t>
      </w:r>
      <w:r>
        <w:rPr>
          <w:szCs w:val="22"/>
          <w:lang w:val="en-US"/>
        </w:rPr>
        <w:t xml:space="preserve">  </w:t>
      </w:r>
      <w:r w:rsidRPr="00125C20">
        <w:rPr>
          <w:szCs w:val="22"/>
          <w:lang w:val="en-US"/>
        </w:rPr>
        <w:t xml:space="preserve">IAATO’s strength </w:t>
      </w:r>
      <w:r>
        <w:rPr>
          <w:szCs w:val="22"/>
          <w:lang w:val="en-US"/>
        </w:rPr>
        <w:t>has been and continues to be its</w:t>
      </w:r>
      <w:r w:rsidRPr="00125C20">
        <w:rPr>
          <w:szCs w:val="22"/>
          <w:lang w:val="en-US"/>
        </w:rPr>
        <w:t xml:space="preserve"> membership</w:t>
      </w:r>
      <w:r>
        <w:rPr>
          <w:szCs w:val="22"/>
          <w:lang w:val="en-US"/>
        </w:rPr>
        <w:t>’s</w:t>
      </w:r>
      <w:r w:rsidRPr="00125C20">
        <w:rPr>
          <w:szCs w:val="22"/>
          <w:lang w:val="en-US"/>
        </w:rPr>
        <w:t xml:space="preserve"> ability to draw upon their own experience and the advice from other stakeholders to address </w:t>
      </w:r>
      <w:r>
        <w:rPr>
          <w:szCs w:val="22"/>
          <w:lang w:val="en-US"/>
        </w:rPr>
        <w:t>emerging</w:t>
      </w:r>
      <w:r w:rsidRPr="00125C20">
        <w:rPr>
          <w:szCs w:val="22"/>
          <w:lang w:val="en-US"/>
        </w:rPr>
        <w:t xml:space="preserve"> challenges and evolve its procedures and management</w:t>
      </w:r>
      <w:r>
        <w:rPr>
          <w:szCs w:val="22"/>
          <w:lang w:val="en-US"/>
        </w:rPr>
        <w:t xml:space="preserve"> when necessary</w:t>
      </w:r>
      <w:r w:rsidRPr="00125C20">
        <w:rPr>
          <w:szCs w:val="22"/>
          <w:lang w:val="en-US"/>
        </w:rPr>
        <w:t>.</w:t>
      </w:r>
    </w:p>
    <w:p w14:paraId="73E9BCA1" w14:textId="77777777" w:rsidR="00B83CFC" w:rsidRPr="00301DB6" w:rsidRDefault="00B83CFC" w:rsidP="00B83CFC">
      <w:pPr>
        <w:rPr>
          <w:highlight w:val="yellow"/>
        </w:rPr>
      </w:pPr>
      <w:r w:rsidRPr="396E904C">
        <w:rPr>
          <w:lang w:val="en-US"/>
        </w:rPr>
        <w:t xml:space="preserve">After experiencing minimal activity in </w:t>
      </w:r>
      <w:r>
        <w:rPr>
          <w:lang w:val="en-US"/>
        </w:rPr>
        <w:t xml:space="preserve">the </w:t>
      </w:r>
      <w:r w:rsidRPr="396E904C">
        <w:rPr>
          <w:lang w:val="en-US"/>
        </w:rPr>
        <w:t xml:space="preserve">2020-21 season, the 2021-22 season saw a </w:t>
      </w:r>
      <w:r>
        <w:rPr>
          <w:lang w:val="en-US"/>
        </w:rPr>
        <w:t>moderate</w:t>
      </w:r>
      <w:r w:rsidRPr="396E904C">
        <w:rPr>
          <w:lang w:val="en-US"/>
        </w:rPr>
        <w:t xml:space="preserve"> resumption of operations though </w:t>
      </w:r>
      <w:r>
        <w:rPr>
          <w:lang w:val="en-US"/>
        </w:rPr>
        <w:t xml:space="preserve">COVID-19 </w:t>
      </w:r>
      <w:r w:rsidRPr="396E904C">
        <w:rPr>
          <w:lang w:val="en-US"/>
        </w:rPr>
        <w:t xml:space="preserve">challenges persisted.  This modest restart did allow Operators to </w:t>
      </w:r>
      <w:r>
        <w:rPr>
          <w:lang w:val="en-US"/>
        </w:rPr>
        <w:t>deploy</w:t>
      </w:r>
      <w:r w:rsidRPr="396E904C">
        <w:rPr>
          <w:lang w:val="en-US"/>
        </w:rPr>
        <w:t xml:space="preserve"> some new vessels; however, </w:t>
      </w:r>
      <w:r>
        <w:rPr>
          <w:lang w:val="en-US"/>
        </w:rPr>
        <w:t>most</w:t>
      </w:r>
      <w:r w:rsidRPr="396E904C">
        <w:rPr>
          <w:lang w:val="en-US"/>
        </w:rPr>
        <w:t xml:space="preserve"> Operators did not run at full capacity.</w:t>
      </w:r>
    </w:p>
    <w:p w14:paraId="68F656CF" w14:textId="77777777" w:rsidR="00B83CFC" w:rsidRPr="008C0CA7" w:rsidRDefault="00B83CFC" w:rsidP="00B83CFC">
      <w:pPr>
        <w:pStyle w:val="ATSNormal"/>
        <w:rPr>
          <w:lang w:val="en-US"/>
        </w:rPr>
      </w:pPr>
      <w:r w:rsidRPr="396E904C">
        <w:rPr>
          <w:lang w:val="en-US"/>
        </w:rPr>
        <w:t xml:space="preserve">IAATO’s Members expect the upcoming season will look very different, with visitor numbers reaching a record level.  IAATO has invested in various tools during its history that will be further leveraged to manage the challenges this growth may present.  Additional new measures, further detailed below, were </w:t>
      </w:r>
      <w:r>
        <w:rPr>
          <w:lang w:val="en-US"/>
        </w:rPr>
        <w:t xml:space="preserve">recently </w:t>
      </w:r>
      <w:r w:rsidRPr="396E904C">
        <w:rPr>
          <w:lang w:val="en-US"/>
        </w:rPr>
        <w:t xml:space="preserve">agreed during </w:t>
      </w:r>
      <w:r>
        <w:rPr>
          <w:lang w:val="en-US"/>
        </w:rPr>
        <w:t>IAATO’s</w:t>
      </w:r>
      <w:r w:rsidRPr="396E904C">
        <w:rPr>
          <w:lang w:val="en-US"/>
        </w:rPr>
        <w:t xml:space="preserve"> </w:t>
      </w:r>
      <w:r>
        <w:rPr>
          <w:lang w:val="en-US"/>
        </w:rPr>
        <w:t xml:space="preserve">2022 </w:t>
      </w:r>
      <w:r w:rsidRPr="396E904C">
        <w:rPr>
          <w:lang w:val="en-US"/>
        </w:rPr>
        <w:t xml:space="preserve">Annual Meeting </w:t>
      </w:r>
      <w:r>
        <w:rPr>
          <w:lang w:val="en-US"/>
        </w:rPr>
        <w:t xml:space="preserve">and will </w:t>
      </w:r>
      <w:r w:rsidRPr="396E904C">
        <w:rPr>
          <w:lang w:val="en-US"/>
        </w:rPr>
        <w:t>continue to enable IAATO and its membership to fulfill their commitment to the promotion of safe and environmentally responsible private sector travel to Antarctica</w:t>
      </w:r>
      <w:r>
        <w:rPr>
          <w:lang w:val="en-US"/>
        </w:rPr>
        <w:t>, and to ensure activities have no more than a minor or transitory environmental impact</w:t>
      </w:r>
      <w:r w:rsidRPr="396E904C">
        <w:rPr>
          <w:lang w:val="en-US"/>
        </w:rPr>
        <w:t xml:space="preserve">. </w:t>
      </w:r>
    </w:p>
    <w:p w14:paraId="4D6D39CF" w14:textId="77777777" w:rsidR="00B83CFC" w:rsidRPr="008C0CA7" w:rsidRDefault="00B83CFC" w:rsidP="00B83CFC">
      <w:pPr>
        <w:pStyle w:val="ATSNormal"/>
        <w:rPr>
          <w:lang w:val="en-US"/>
        </w:rPr>
      </w:pPr>
      <w:r>
        <w:t xml:space="preserve">Further information on IAATO Operators’ activities can be found in </w:t>
      </w:r>
      <w:r w:rsidRPr="00AF1DA9">
        <w:t>ATCM XLIV IPxx</w:t>
      </w:r>
      <w:r w:rsidRPr="396E904C">
        <w:rPr>
          <w:i/>
          <w:iCs/>
        </w:rPr>
        <w:t xml:space="preserve"> IAATO Overview of Antarctic Tourism: A Historical Review of Growth, the 2021-22 Season and Preliminary Estimates for 2022-23.</w:t>
      </w:r>
    </w:p>
    <w:p w14:paraId="724FA8A4" w14:textId="77777777" w:rsidR="00B83CFC" w:rsidRPr="00E5330E" w:rsidRDefault="00B83CFC" w:rsidP="00B83CFC">
      <w:pPr>
        <w:pStyle w:val="ATSHeading2"/>
      </w:pPr>
      <w:r w:rsidRPr="00E5330E">
        <w:rPr>
          <w:rFonts w:ascii="Times New Roman" w:hAnsi="Times New Roman"/>
          <w:szCs w:val="24"/>
        </w:rPr>
        <w:t xml:space="preserve">COVID-19 and </w:t>
      </w:r>
      <w:r>
        <w:rPr>
          <w:rFonts w:ascii="Times New Roman" w:hAnsi="Times New Roman"/>
          <w:szCs w:val="24"/>
        </w:rPr>
        <w:t>the 2021-22 Season</w:t>
      </w:r>
    </w:p>
    <w:p w14:paraId="750591BD" w14:textId="77777777" w:rsidR="00B83CFC" w:rsidRPr="008C0CA7" w:rsidRDefault="00B83CFC" w:rsidP="00B83CFC">
      <w:pPr>
        <w:spacing w:line="259" w:lineRule="auto"/>
        <w:rPr>
          <w:lang w:val="en-US"/>
        </w:rPr>
      </w:pPr>
      <w:r w:rsidRPr="396E904C">
        <w:rPr>
          <w:lang w:val="en-US"/>
        </w:rPr>
        <w:t xml:space="preserve">When the 2019-20 season was curtailed due to global concerns around COVID-19, IAATO responded by forming the IAATO COVID-19 Steering Group (now the IAATO COVID-19 Advisory Group).  The purpose of this Advisory Group was to </w:t>
      </w:r>
      <w:r>
        <w:rPr>
          <w:lang w:val="en-US"/>
        </w:rPr>
        <w:t xml:space="preserve">seek updates from </w:t>
      </w:r>
      <w:r w:rsidRPr="007A79D3">
        <w:rPr>
          <w:lang w:val="en-US"/>
        </w:rPr>
        <w:t>gateway ports</w:t>
      </w:r>
      <w:r>
        <w:rPr>
          <w:lang w:val="en-US"/>
        </w:rPr>
        <w:t>, COMNAP, SCAR and other stakeholders and to</w:t>
      </w:r>
      <w:r w:rsidRPr="007A79D3">
        <w:rPr>
          <w:lang w:val="en-US"/>
        </w:rPr>
        <w:t xml:space="preserve"> </w:t>
      </w:r>
      <w:r w:rsidRPr="396E904C">
        <w:rPr>
          <w:lang w:val="en-US"/>
        </w:rPr>
        <w:t xml:space="preserve">share </w:t>
      </w:r>
      <w:r>
        <w:rPr>
          <w:lang w:val="en-US"/>
        </w:rPr>
        <w:t xml:space="preserve">this </w:t>
      </w:r>
      <w:r w:rsidRPr="396E904C">
        <w:rPr>
          <w:lang w:val="en-US"/>
        </w:rPr>
        <w:t xml:space="preserve">information regularly with the membership. During the past two years, virtual Town Halls and informal virtual discussions were hosted by IAATO to allow the membership to share perspectives and lessons learned in order to develop industry best practice in this new </w:t>
      </w:r>
      <w:r>
        <w:rPr>
          <w:lang w:val="en-US"/>
        </w:rPr>
        <w:t xml:space="preserve">and unprecedented </w:t>
      </w:r>
      <w:r w:rsidRPr="396E904C">
        <w:rPr>
          <w:lang w:val="en-US"/>
        </w:rPr>
        <w:t xml:space="preserve">environment. </w:t>
      </w:r>
    </w:p>
    <w:p w14:paraId="71B4EABB" w14:textId="77777777" w:rsidR="00B83CFC" w:rsidRDefault="00B83CFC" w:rsidP="00B83CFC">
      <w:pPr>
        <w:rPr>
          <w:szCs w:val="22"/>
        </w:rPr>
      </w:pPr>
    </w:p>
    <w:p w14:paraId="449DF780" w14:textId="77777777" w:rsidR="00B83CFC" w:rsidRDefault="00B83CFC" w:rsidP="00B83CFC">
      <w:pPr>
        <w:rPr>
          <w:szCs w:val="22"/>
        </w:rPr>
      </w:pPr>
      <w:r w:rsidRPr="00385F84">
        <w:rPr>
          <w:szCs w:val="22"/>
        </w:rPr>
        <w:t xml:space="preserve">In July 2021, IAATO announced the following recommendations for the </w:t>
      </w:r>
      <w:r>
        <w:rPr>
          <w:szCs w:val="22"/>
        </w:rPr>
        <w:t xml:space="preserve">2021-22 </w:t>
      </w:r>
      <w:r w:rsidRPr="00385F84">
        <w:rPr>
          <w:szCs w:val="22"/>
        </w:rPr>
        <w:t>season</w:t>
      </w:r>
      <w:r>
        <w:rPr>
          <w:szCs w:val="22"/>
        </w:rPr>
        <w:t>, which received overwhelming support from the membership</w:t>
      </w:r>
      <w:r w:rsidRPr="00385F84">
        <w:rPr>
          <w:szCs w:val="22"/>
        </w:rPr>
        <w:t xml:space="preserve">: </w:t>
      </w:r>
    </w:p>
    <w:p w14:paraId="7B2CD52B" w14:textId="77777777" w:rsidR="00B83CFC" w:rsidRPr="00385F84" w:rsidRDefault="00B83CFC" w:rsidP="00B83CFC">
      <w:pPr>
        <w:pStyle w:val="Prrafodelista"/>
        <w:numPr>
          <w:ilvl w:val="0"/>
          <w:numId w:val="23"/>
        </w:numPr>
        <w:rPr>
          <w:szCs w:val="22"/>
        </w:rPr>
      </w:pPr>
      <w:r w:rsidRPr="00385F84">
        <w:rPr>
          <w:szCs w:val="22"/>
        </w:rPr>
        <w:t xml:space="preserve">Passengers </w:t>
      </w:r>
      <w:r>
        <w:rPr>
          <w:szCs w:val="22"/>
        </w:rPr>
        <w:t>should be</w:t>
      </w:r>
      <w:r w:rsidRPr="00385F84">
        <w:rPr>
          <w:szCs w:val="22"/>
        </w:rPr>
        <w:t xml:space="preserve"> fully vaccinated before embarking from their gateway departure point; </w:t>
      </w:r>
    </w:p>
    <w:p w14:paraId="01FAD380" w14:textId="77777777" w:rsidR="00B83CFC" w:rsidRPr="00385F84" w:rsidRDefault="00B83CFC" w:rsidP="00B83CFC">
      <w:pPr>
        <w:pStyle w:val="Prrafodelista"/>
        <w:numPr>
          <w:ilvl w:val="0"/>
          <w:numId w:val="23"/>
        </w:numPr>
        <w:rPr>
          <w:szCs w:val="22"/>
        </w:rPr>
      </w:pPr>
      <w:r w:rsidRPr="00385F84">
        <w:rPr>
          <w:szCs w:val="22"/>
        </w:rPr>
        <w:t xml:space="preserve">Crew members and staff </w:t>
      </w:r>
      <w:r>
        <w:rPr>
          <w:szCs w:val="22"/>
        </w:rPr>
        <w:t>should be</w:t>
      </w:r>
      <w:r w:rsidRPr="00385F84">
        <w:rPr>
          <w:szCs w:val="22"/>
        </w:rPr>
        <w:t xml:space="preserve"> fully vaccinated before embarkation;</w:t>
      </w:r>
    </w:p>
    <w:p w14:paraId="0E90992A" w14:textId="77777777" w:rsidR="00B83CFC" w:rsidRPr="00385F84" w:rsidRDefault="00B83CFC" w:rsidP="00B83CFC">
      <w:pPr>
        <w:pStyle w:val="Prrafodelista"/>
        <w:numPr>
          <w:ilvl w:val="0"/>
          <w:numId w:val="23"/>
        </w:numPr>
        <w:rPr>
          <w:szCs w:val="22"/>
        </w:rPr>
      </w:pPr>
      <w:r w:rsidRPr="00385F84">
        <w:rPr>
          <w:szCs w:val="22"/>
        </w:rPr>
        <w:t xml:space="preserve">In some circumstances, if vaccination is not feasible or applicable, individuals </w:t>
      </w:r>
      <w:r>
        <w:rPr>
          <w:szCs w:val="22"/>
        </w:rPr>
        <w:t xml:space="preserve">should </w:t>
      </w:r>
      <w:r w:rsidRPr="00385F84">
        <w:rPr>
          <w:szCs w:val="22"/>
        </w:rPr>
        <w:t xml:space="preserve">have appropriate documentation regarding recovery from COVID-19 or are quarantined following most recent medical advice and/or relevant national requirements; </w:t>
      </w:r>
    </w:p>
    <w:p w14:paraId="5C50948F" w14:textId="77777777" w:rsidR="00B83CFC" w:rsidRPr="00385F84" w:rsidRDefault="00B83CFC" w:rsidP="00B83CFC">
      <w:pPr>
        <w:pStyle w:val="Prrafodelista"/>
        <w:numPr>
          <w:ilvl w:val="0"/>
          <w:numId w:val="23"/>
        </w:numPr>
        <w:rPr>
          <w:szCs w:val="22"/>
        </w:rPr>
      </w:pPr>
      <w:r w:rsidRPr="00385F84">
        <w:rPr>
          <w:szCs w:val="22"/>
        </w:rPr>
        <w:t xml:space="preserve">In addition to the steps listed above, operators </w:t>
      </w:r>
      <w:r>
        <w:rPr>
          <w:szCs w:val="22"/>
        </w:rPr>
        <w:t xml:space="preserve">should </w:t>
      </w:r>
      <w:r w:rsidRPr="00385F84">
        <w:rPr>
          <w:szCs w:val="22"/>
        </w:rPr>
        <w:t xml:space="preserve">adopt an effective testing scheme to detect the presence of COVID-19 and take the necessary steps to reduce potential spread. </w:t>
      </w:r>
    </w:p>
    <w:p w14:paraId="1A601A8D" w14:textId="77777777" w:rsidR="00B83CFC" w:rsidRDefault="00B83CFC" w:rsidP="00B83CFC">
      <w:pPr>
        <w:jc w:val="both"/>
        <w:rPr>
          <w:szCs w:val="22"/>
          <w:lang w:val="en-US"/>
        </w:rPr>
      </w:pPr>
    </w:p>
    <w:p w14:paraId="73E75C93" w14:textId="77777777" w:rsidR="00B83CFC" w:rsidRDefault="00B83CFC" w:rsidP="00B83CFC">
      <w:pPr>
        <w:rPr>
          <w:lang w:val="en-US"/>
        </w:rPr>
      </w:pPr>
      <w:r>
        <w:rPr>
          <w:lang w:val="en-US"/>
        </w:rPr>
        <w:t xml:space="preserve">More than 65% </w:t>
      </w:r>
      <w:r w:rsidRPr="396E904C">
        <w:rPr>
          <w:lang w:val="en-US"/>
        </w:rPr>
        <w:t xml:space="preserve">of IAATO Operators </w:t>
      </w:r>
      <w:r>
        <w:rPr>
          <w:lang w:val="en-US"/>
        </w:rPr>
        <w:t>and</w:t>
      </w:r>
      <w:r w:rsidRPr="396E904C">
        <w:rPr>
          <w:lang w:val="en-US"/>
        </w:rPr>
        <w:t xml:space="preserve"> Provisional Operators</w:t>
      </w:r>
      <w:r>
        <w:rPr>
          <w:lang w:val="en-US"/>
        </w:rPr>
        <w:t xml:space="preserve"> </w:t>
      </w:r>
      <w:r w:rsidRPr="396E904C">
        <w:rPr>
          <w:lang w:val="en-US"/>
        </w:rPr>
        <w:t>operate</w:t>
      </w:r>
      <w:r>
        <w:rPr>
          <w:lang w:val="en-US"/>
        </w:rPr>
        <w:t>d</w:t>
      </w:r>
      <w:r w:rsidRPr="396E904C">
        <w:rPr>
          <w:lang w:val="en-US"/>
        </w:rPr>
        <w:t xml:space="preserve"> during the 2021-22 season.  </w:t>
      </w:r>
      <w:r>
        <w:rPr>
          <w:lang w:val="en-US"/>
        </w:rPr>
        <w:t>H</w:t>
      </w:r>
      <w:r w:rsidRPr="396E904C">
        <w:rPr>
          <w:lang w:val="en-US"/>
        </w:rPr>
        <w:t>owever</w:t>
      </w:r>
      <w:r>
        <w:rPr>
          <w:lang w:val="en-US"/>
        </w:rPr>
        <w:t>, ship operators often ran</w:t>
      </w:r>
      <w:r w:rsidRPr="396E904C">
        <w:rPr>
          <w:lang w:val="en-US"/>
        </w:rPr>
        <w:t xml:space="preserve"> at reduced capacity</w:t>
      </w:r>
      <w:r>
        <w:rPr>
          <w:lang w:val="en-US"/>
        </w:rPr>
        <w:t>,</w:t>
      </w:r>
      <w:r w:rsidRPr="396E904C">
        <w:rPr>
          <w:lang w:val="en-US"/>
        </w:rPr>
        <w:t xml:space="preserve"> and many </w:t>
      </w:r>
      <w:r>
        <w:rPr>
          <w:lang w:val="en-US"/>
        </w:rPr>
        <w:t xml:space="preserve">had to </w:t>
      </w:r>
      <w:r w:rsidRPr="396E904C">
        <w:rPr>
          <w:lang w:val="en-US"/>
        </w:rPr>
        <w:t xml:space="preserve">cancel trips due to the challenges presented by the Omicron variant.  </w:t>
      </w:r>
    </w:p>
    <w:p w14:paraId="0DD76CF0" w14:textId="77777777" w:rsidR="00B83CFC" w:rsidRDefault="00B83CFC" w:rsidP="00B83CFC">
      <w:pPr>
        <w:jc w:val="both"/>
        <w:rPr>
          <w:szCs w:val="22"/>
          <w:lang w:val="en-US"/>
        </w:rPr>
      </w:pPr>
    </w:p>
    <w:p w14:paraId="1C7AFEA5" w14:textId="77777777" w:rsidR="00B83CFC" w:rsidRDefault="00B83CFC" w:rsidP="00B83CFC">
      <w:pPr>
        <w:jc w:val="both"/>
        <w:rPr>
          <w:szCs w:val="22"/>
          <w:lang w:val="en-US"/>
        </w:rPr>
      </w:pPr>
      <w:r>
        <w:rPr>
          <w:szCs w:val="22"/>
          <w:lang w:val="en-US"/>
        </w:rPr>
        <w:t>The total number of visitors in the 2021-22 season was 23,</w:t>
      </w:r>
      <w:r w:rsidRPr="00821810">
        <w:rPr>
          <w:szCs w:val="22"/>
          <w:lang w:val="en-US"/>
        </w:rPr>
        <w:t>597</w:t>
      </w:r>
      <w:r>
        <w:rPr>
          <w:szCs w:val="22"/>
          <w:lang w:val="en-US"/>
        </w:rPr>
        <w:t xml:space="preserve">.  </w:t>
      </w:r>
    </w:p>
    <w:p w14:paraId="3587B00C" w14:textId="77777777" w:rsidR="00B83CFC" w:rsidRDefault="00B83CFC" w:rsidP="00B83CFC">
      <w:pPr>
        <w:jc w:val="both"/>
        <w:rPr>
          <w:szCs w:val="22"/>
          <w:lang w:val="en-US"/>
        </w:rPr>
      </w:pPr>
    </w:p>
    <w:p w14:paraId="3179875D" w14:textId="77777777" w:rsidR="00B83CFC" w:rsidRPr="008C0CA7" w:rsidRDefault="00B83CFC" w:rsidP="00B83CFC">
      <w:pPr>
        <w:rPr>
          <w:szCs w:val="22"/>
        </w:rPr>
      </w:pPr>
      <w:r>
        <w:rPr>
          <w:szCs w:val="22"/>
          <w:lang w:val="en-US"/>
        </w:rPr>
        <w:t>F</w:t>
      </w:r>
      <w:r w:rsidRPr="008C0CA7">
        <w:rPr>
          <w:szCs w:val="22"/>
        </w:rPr>
        <w:t xml:space="preserve">urther information on IAATO </w:t>
      </w:r>
      <w:r>
        <w:rPr>
          <w:szCs w:val="22"/>
        </w:rPr>
        <w:t xml:space="preserve">tourism statistics, including activities and nationalities, </w:t>
      </w:r>
      <w:r w:rsidRPr="008C0CA7">
        <w:rPr>
          <w:szCs w:val="22"/>
        </w:rPr>
        <w:t xml:space="preserve">can be found in </w:t>
      </w:r>
      <w:r w:rsidRPr="00AF1DA9">
        <w:rPr>
          <w:szCs w:val="22"/>
        </w:rPr>
        <w:t>ATCM XLIV IPxx</w:t>
      </w:r>
      <w:r w:rsidRPr="008C0CA7">
        <w:rPr>
          <w:i/>
          <w:iCs/>
          <w:szCs w:val="22"/>
        </w:rPr>
        <w:t xml:space="preserve"> IAATO </w:t>
      </w:r>
      <w:r>
        <w:rPr>
          <w:i/>
          <w:iCs/>
          <w:szCs w:val="22"/>
        </w:rPr>
        <w:t xml:space="preserve">Overview of Antarctic Tourism: A Historical Review of Growth, the 2021-22 Season and Preliminary Estimates for 2022-23.  </w:t>
      </w:r>
      <w:r w:rsidRPr="008C0CA7">
        <w:rPr>
          <w:szCs w:val="22"/>
        </w:rPr>
        <w:t xml:space="preserve">The Membership Directory can be found at </w:t>
      </w:r>
      <w:hyperlink r:id="rId15" w:history="1">
        <w:r w:rsidRPr="008C0CA7">
          <w:rPr>
            <w:rStyle w:val="Hipervnculo"/>
            <w:szCs w:val="22"/>
          </w:rPr>
          <w:t>www.iaato.org</w:t>
        </w:r>
      </w:hyperlink>
      <w:r w:rsidRPr="008C0CA7">
        <w:rPr>
          <w:szCs w:val="22"/>
        </w:rPr>
        <w:t xml:space="preserve">. </w:t>
      </w:r>
    </w:p>
    <w:p w14:paraId="1E4ACDCF" w14:textId="77777777" w:rsidR="00B83CFC" w:rsidRPr="008C0CA7" w:rsidRDefault="00B83CFC" w:rsidP="00B83CFC">
      <w:pPr>
        <w:rPr>
          <w:b/>
          <w:bCs/>
          <w:szCs w:val="22"/>
          <w:u w:val="single"/>
        </w:rPr>
      </w:pPr>
    </w:p>
    <w:p w14:paraId="36C63B91" w14:textId="77777777" w:rsidR="00B83CFC" w:rsidRPr="00BA13BC" w:rsidRDefault="00B83CFC" w:rsidP="00B83CFC">
      <w:pPr>
        <w:rPr>
          <w:b/>
          <w:bCs/>
          <w:i/>
          <w:iCs/>
        </w:rPr>
      </w:pPr>
      <w:r w:rsidRPr="00BA13BC">
        <w:rPr>
          <w:b/>
          <w:bCs/>
          <w:i/>
          <w:iCs/>
        </w:rPr>
        <w:t>IAATO Annual Meeting</w:t>
      </w:r>
    </w:p>
    <w:p w14:paraId="6DE7FA72" w14:textId="77777777" w:rsidR="00B83CFC" w:rsidRPr="00E5330E" w:rsidRDefault="00B83CFC" w:rsidP="00B83CFC"/>
    <w:p w14:paraId="777FE045" w14:textId="77777777" w:rsidR="00B83CFC" w:rsidRDefault="00B83CFC" w:rsidP="00B83CFC">
      <w:pPr>
        <w:rPr>
          <w:szCs w:val="22"/>
        </w:rPr>
      </w:pPr>
      <w:r w:rsidRPr="008C0CA7">
        <w:rPr>
          <w:szCs w:val="22"/>
        </w:rPr>
        <w:t>IAATO’s 202</w:t>
      </w:r>
      <w:r>
        <w:rPr>
          <w:szCs w:val="22"/>
        </w:rPr>
        <w:t>2</w:t>
      </w:r>
      <w:r w:rsidRPr="008C0CA7">
        <w:rPr>
          <w:szCs w:val="22"/>
        </w:rPr>
        <w:t xml:space="preserve"> Annual Meeting was held </w:t>
      </w:r>
      <w:r>
        <w:rPr>
          <w:szCs w:val="22"/>
        </w:rPr>
        <w:t>as a hybrid meeting,</w:t>
      </w:r>
      <w:r w:rsidRPr="008C0CA7">
        <w:rPr>
          <w:szCs w:val="22"/>
        </w:rPr>
        <w:t xml:space="preserve"> </w:t>
      </w:r>
      <w:r>
        <w:rPr>
          <w:szCs w:val="22"/>
        </w:rPr>
        <w:t>25</w:t>
      </w:r>
      <w:r w:rsidRPr="008C0CA7">
        <w:rPr>
          <w:szCs w:val="22"/>
        </w:rPr>
        <w:t>-</w:t>
      </w:r>
      <w:r>
        <w:rPr>
          <w:szCs w:val="22"/>
        </w:rPr>
        <w:t>28</w:t>
      </w:r>
      <w:r w:rsidRPr="008C0CA7">
        <w:rPr>
          <w:szCs w:val="22"/>
        </w:rPr>
        <w:t xml:space="preserve"> </w:t>
      </w:r>
      <w:r>
        <w:rPr>
          <w:szCs w:val="22"/>
        </w:rPr>
        <w:t>April</w:t>
      </w:r>
      <w:r w:rsidRPr="008C0CA7">
        <w:rPr>
          <w:szCs w:val="22"/>
        </w:rPr>
        <w:t xml:space="preserve"> 202</w:t>
      </w:r>
      <w:r>
        <w:rPr>
          <w:szCs w:val="22"/>
        </w:rPr>
        <w:t>2</w:t>
      </w:r>
      <w:r w:rsidRPr="008C0CA7">
        <w:rPr>
          <w:szCs w:val="22"/>
        </w:rPr>
        <w:t xml:space="preserve">.  </w:t>
      </w:r>
      <w:r>
        <w:rPr>
          <w:szCs w:val="22"/>
        </w:rPr>
        <w:t>This hybrid meeting allowed members to attend either live in Providence, Rhode Island, US or virtually.  Actions</w:t>
      </w:r>
      <w:r w:rsidRPr="008C0CA7">
        <w:rPr>
          <w:szCs w:val="22"/>
        </w:rPr>
        <w:t xml:space="preserve"> at the Annual Meeting included:    </w:t>
      </w:r>
    </w:p>
    <w:p w14:paraId="7FCBB6D1" w14:textId="77777777" w:rsidR="00B83CFC" w:rsidRPr="008C0CA7" w:rsidRDefault="00B83CFC" w:rsidP="00B83CFC">
      <w:pPr>
        <w:rPr>
          <w:szCs w:val="22"/>
        </w:rPr>
      </w:pPr>
    </w:p>
    <w:p w14:paraId="45316497" w14:textId="77777777" w:rsidR="00B83CFC" w:rsidRDefault="00B83CFC" w:rsidP="00B83CFC">
      <w:pPr>
        <w:pStyle w:val="ATSBullet1"/>
        <w:numPr>
          <w:ilvl w:val="0"/>
          <w:numId w:val="11"/>
        </w:numPr>
        <w:rPr>
          <w:szCs w:val="22"/>
        </w:rPr>
      </w:pPr>
      <w:r>
        <w:rPr>
          <w:szCs w:val="22"/>
        </w:rPr>
        <w:t>Committing to a Climate Change pledge, which included:</w:t>
      </w:r>
    </w:p>
    <w:p w14:paraId="12ECC7A8" w14:textId="77777777" w:rsidR="00B83CFC" w:rsidRPr="00593E0B" w:rsidRDefault="00B83CFC" w:rsidP="00B83CFC">
      <w:pPr>
        <w:pStyle w:val="ATSBullet1"/>
        <w:numPr>
          <w:ilvl w:val="1"/>
          <w:numId w:val="11"/>
        </w:numPr>
        <w:rPr>
          <w:sz w:val="24"/>
          <w:lang w:val="en-US"/>
        </w:rPr>
      </w:pPr>
      <w:r w:rsidRPr="00593E0B">
        <w:rPr>
          <w:lang w:val="en-US"/>
        </w:rPr>
        <w:t>Taking</w:t>
      </w:r>
      <w:r>
        <w:rPr>
          <w:lang w:val="en-US"/>
        </w:rPr>
        <w:t xml:space="preserve"> </w:t>
      </w:r>
      <w:r w:rsidRPr="00593E0B">
        <w:rPr>
          <w:lang w:val="en-US"/>
        </w:rPr>
        <w:t>the necessary steps to account for our greenhouse gas emissions.</w:t>
      </w:r>
    </w:p>
    <w:p w14:paraId="20B4207F" w14:textId="77777777" w:rsidR="00B83CFC" w:rsidRPr="00593E0B" w:rsidRDefault="00B83CFC" w:rsidP="00B83CFC">
      <w:pPr>
        <w:pStyle w:val="ATSBullet1"/>
        <w:numPr>
          <w:ilvl w:val="1"/>
          <w:numId w:val="11"/>
        </w:numPr>
        <w:rPr>
          <w:sz w:val="24"/>
          <w:lang w:val="en-US"/>
        </w:rPr>
      </w:pPr>
      <w:r w:rsidRPr="396E904C">
        <w:rPr>
          <w:lang w:val="en-US"/>
        </w:rPr>
        <w:t>Reducing our greenhouse gas emissions by at least 50% by 2050 compared with 2008</w:t>
      </w:r>
    </w:p>
    <w:p w14:paraId="394F5EE9" w14:textId="77777777" w:rsidR="00B83CFC" w:rsidRPr="00593E0B" w:rsidRDefault="00B83CFC" w:rsidP="00B83CFC">
      <w:pPr>
        <w:pStyle w:val="ATSBullet1"/>
        <w:numPr>
          <w:ilvl w:val="1"/>
          <w:numId w:val="11"/>
        </w:numPr>
        <w:rPr>
          <w:sz w:val="24"/>
          <w:lang w:val="en-US"/>
        </w:rPr>
      </w:pPr>
      <w:r w:rsidRPr="00593E0B">
        <w:rPr>
          <w:lang w:val="en-US"/>
        </w:rPr>
        <w:t>Implementing</w:t>
      </w:r>
      <w:r>
        <w:rPr>
          <w:lang w:val="en-US"/>
        </w:rPr>
        <w:t xml:space="preserve"> </w:t>
      </w:r>
      <w:r w:rsidRPr="00593E0B">
        <w:rPr>
          <w:lang w:val="en-US"/>
        </w:rPr>
        <w:t>a meaningful climate strategy that includes target setting and allocating resources.</w:t>
      </w:r>
    </w:p>
    <w:p w14:paraId="34F8E205" w14:textId="77777777" w:rsidR="00B83CFC" w:rsidRPr="00593E0B" w:rsidRDefault="00B83CFC" w:rsidP="00B83CFC">
      <w:pPr>
        <w:pStyle w:val="ATSBullet1"/>
        <w:numPr>
          <w:ilvl w:val="1"/>
          <w:numId w:val="11"/>
        </w:numPr>
        <w:rPr>
          <w:sz w:val="24"/>
          <w:lang w:val="en-US"/>
        </w:rPr>
      </w:pPr>
      <w:r w:rsidRPr="00593E0B">
        <w:rPr>
          <w:lang w:val="en-US"/>
        </w:rPr>
        <w:t>Reaching Net Zero</w:t>
      </w:r>
      <w:r>
        <w:rPr>
          <w:lang w:val="en-US"/>
        </w:rPr>
        <w:t xml:space="preserve"> </w:t>
      </w:r>
      <w:r w:rsidRPr="00593E0B">
        <w:rPr>
          <w:lang w:val="en-US"/>
        </w:rPr>
        <w:t>as soon as possible before 2050.</w:t>
      </w:r>
    </w:p>
    <w:p w14:paraId="4B039755" w14:textId="77777777" w:rsidR="00B83CFC" w:rsidRPr="008C0CA7" w:rsidRDefault="00B83CFC" w:rsidP="00B83CFC">
      <w:pPr>
        <w:pStyle w:val="ATSBullet1"/>
        <w:numPr>
          <w:ilvl w:val="0"/>
          <w:numId w:val="11"/>
        </w:numPr>
        <w:rPr>
          <w:szCs w:val="22"/>
        </w:rPr>
      </w:pPr>
      <w:r>
        <w:rPr>
          <w:szCs w:val="22"/>
        </w:rPr>
        <w:t>Strengthening the guidelines for submersible (HOV)</w:t>
      </w:r>
      <w:r w:rsidRPr="008C0CA7">
        <w:rPr>
          <w:szCs w:val="22"/>
        </w:rPr>
        <w:t xml:space="preserve"> </w:t>
      </w:r>
      <w:r>
        <w:rPr>
          <w:szCs w:val="22"/>
        </w:rPr>
        <w:t>activities</w:t>
      </w:r>
    </w:p>
    <w:p w14:paraId="63D17696" w14:textId="77777777" w:rsidR="00B83CFC" w:rsidRPr="008C0CA7" w:rsidRDefault="00B83CFC" w:rsidP="00B83CFC">
      <w:pPr>
        <w:pStyle w:val="ATSBullet1"/>
        <w:numPr>
          <w:ilvl w:val="0"/>
          <w:numId w:val="11"/>
        </w:numPr>
      </w:pPr>
      <w:r>
        <w:t xml:space="preserve">Establishing the requirement that additional office and field personnel, including captains and certain senior officers, take and pass the relevant IAATO Online Assessment.  </w:t>
      </w:r>
    </w:p>
    <w:p w14:paraId="75BF491B" w14:textId="77777777" w:rsidR="00B83CFC" w:rsidRPr="00B43D45" w:rsidRDefault="00B83CFC" w:rsidP="00B83CFC">
      <w:pPr>
        <w:pStyle w:val="ATSBullet1"/>
        <w:numPr>
          <w:ilvl w:val="0"/>
          <w:numId w:val="11"/>
        </w:numPr>
        <w:rPr>
          <w:szCs w:val="22"/>
        </w:rPr>
      </w:pPr>
      <w:r>
        <w:t xml:space="preserve">Approving updates and enhancements to guidelines including operations in the vicinity of fast and other ice and helicopter guidelines following discussions with National Antarctic Programs; and in line with previous decisions on RPAS and jet skis, the meeting agreed to explicitly recommend against certain water activities, including surf, kite, skim and wind boards.  </w:t>
      </w:r>
    </w:p>
    <w:p w14:paraId="4664913C" w14:textId="77777777" w:rsidR="00B83CFC" w:rsidRDefault="00B83CFC" w:rsidP="00B83CFC">
      <w:pPr>
        <w:pStyle w:val="ATSBullet1"/>
        <w:numPr>
          <w:ilvl w:val="0"/>
          <w:numId w:val="0"/>
        </w:numPr>
        <w:rPr>
          <w:szCs w:val="22"/>
        </w:rPr>
      </w:pPr>
    </w:p>
    <w:p w14:paraId="1B249187" w14:textId="77777777" w:rsidR="00B83CFC" w:rsidRPr="008C0CA7" w:rsidRDefault="00B83CFC" w:rsidP="00B83CFC">
      <w:pPr>
        <w:pStyle w:val="ATSBullet1"/>
        <w:numPr>
          <w:ilvl w:val="0"/>
          <w:numId w:val="0"/>
        </w:numPr>
        <w:rPr>
          <w:szCs w:val="22"/>
        </w:rPr>
      </w:pPr>
      <w:r>
        <w:rPr>
          <w:szCs w:val="22"/>
        </w:rPr>
        <w:t>It was also agreed that the Managing for Growth Working Group will be broken into five subgroups that will focus on client expectations, assessment of new activities, short-term and long-term site management and IAATO’s mandatory observation scheme.  These subgroups will address immediate considerations for the upcoming season and also strategic planning around anticipated continued growth.</w:t>
      </w:r>
    </w:p>
    <w:p w14:paraId="64EF9CA4" w14:textId="77777777" w:rsidR="00B83CFC" w:rsidRPr="008C0CA7" w:rsidRDefault="00B83CFC" w:rsidP="00B83CFC">
      <w:pPr>
        <w:pStyle w:val="ATSBullet1"/>
        <w:numPr>
          <w:ilvl w:val="0"/>
          <w:numId w:val="0"/>
        </w:numPr>
        <w:ind w:left="360"/>
        <w:rPr>
          <w:szCs w:val="22"/>
        </w:rPr>
      </w:pPr>
    </w:p>
    <w:p w14:paraId="57592D0C" w14:textId="77777777" w:rsidR="00B83CFC" w:rsidRPr="006C0BC8" w:rsidRDefault="00B83CFC" w:rsidP="00B83CFC">
      <w:pPr>
        <w:pStyle w:val="ATSBullet1"/>
        <w:keepNext/>
        <w:numPr>
          <w:ilvl w:val="0"/>
          <w:numId w:val="0"/>
        </w:numPr>
        <w:spacing w:after="120"/>
        <w:ind w:left="357" w:hanging="357"/>
        <w:rPr>
          <w:b/>
          <w:bCs/>
          <w:i/>
          <w:iCs/>
          <w:sz w:val="24"/>
        </w:rPr>
      </w:pPr>
      <w:r w:rsidRPr="006C0BC8">
        <w:rPr>
          <w:b/>
          <w:bCs/>
          <w:i/>
          <w:iCs/>
          <w:sz w:val="24"/>
        </w:rPr>
        <w:lastRenderedPageBreak/>
        <w:t xml:space="preserve">IAATO Support of Research &amp; Conservation </w:t>
      </w:r>
    </w:p>
    <w:p w14:paraId="13220DAA" w14:textId="77777777" w:rsidR="00B83CFC" w:rsidRPr="008C0CA7" w:rsidRDefault="00B83CFC" w:rsidP="00B83CFC">
      <w:pPr>
        <w:rPr>
          <w:b/>
          <w:bCs/>
          <w:szCs w:val="22"/>
        </w:rPr>
      </w:pPr>
      <w:r w:rsidRPr="008C0CA7">
        <w:rPr>
          <w:szCs w:val="22"/>
        </w:rPr>
        <w:t>IAATO encourages collaborative opportunities with scientific organisations particularly where these enhance the Antarctic community’s understanding of human activities in the region. Projects include(d):</w:t>
      </w:r>
    </w:p>
    <w:p w14:paraId="1C72E03E" w14:textId="77777777" w:rsidR="00B83CFC" w:rsidRPr="00E17F15" w:rsidRDefault="00B83CFC" w:rsidP="00B83CFC"/>
    <w:p w14:paraId="7E1167D0" w14:textId="77777777" w:rsidR="00B83CFC" w:rsidRPr="00E17F15" w:rsidRDefault="00B83CFC" w:rsidP="00B83CFC">
      <w:pPr>
        <w:pStyle w:val="ATSBullet1"/>
        <w:numPr>
          <w:ilvl w:val="0"/>
          <w:numId w:val="11"/>
        </w:numPr>
        <w:spacing w:after="120"/>
        <w:rPr>
          <w:szCs w:val="22"/>
        </w:rPr>
      </w:pPr>
      <w:r w:rsidRPr="00E17F15">
        <w:rPr>
          <w:szCs w:val="22"/>
          <w:u w:val="single"/>
        </w:rPr>
        <w:t>IAATO/COMNAP Fellowships</w:t>
      </w:r>
      <w:r w:rsidRPr="00E17F15">
        <w:rPr>
          <w:szCs w:val="22"/>
        </w:rPr>
        <w:t xml:space="preserve"> – IAATO, in </w:t>
      </w:r>
      <w:r>
        <w:rPr>
          <w:szCs w:val="22"/>
        </w:rPr>
        <w:t>collaboration</w:t>
      </w:r>
      <w:r w:rsidRPr="00E17F15">
        <w:rPr>
          <w:szCs w:val="22"/>
        </w:rPr>
        <w:t xml:space="preserve"> with COMNAP, will </w:t>
      </w:r>
      <w:r>
        <w:rPr>
          <w:szCs w:val="22"/>
        </w:rPr>
        <w:t xml:space="preserve">continue to </w:t>
      </w:r>
      <w:r w:rsidRPr="00E17F15">
        <w:rPr>
          <w:szCs w:val="22"/>
        </w:rPr>
        <w:t>invest in the development of early-career</w:t>
      </w:r>
      <w:r w:rsidRPr="008C0CA7">
        <w:rPr>
          <w:szCs w:val="22"/>
        </w:rPr>
        <w:t xml:space="preserve"> researchers by awarding its </w:t>
      </w:r>
      <w:r>
        <w:rPr>
          <w:szCs w:val="22"/>
        </w:rPr>
        <w:t>fourth</w:t>
      </w:r>
      <w:r w:rsidRPr="008C0CA7">
        <w:rPr>
          <w:szCs w:val="22"/>
        </w:rPr>
        <w:t xml:space="preserve"> </w:t>
      </w:r>
      <w:r>
        <w:rPr>
          <w:szCs w:val="22"/>
        </w:rPr>
        <w:t>US</w:t>
      </w:r>
      <w:r w:rsidRPr="008C0CA7">
        <w:rPr>
          <w:szCs w:val="22"/>
        </w:rPr>
        <w:t>$15,000 Fellowship in 202</w:t>
      </w:r>
      <w:r>
        <w:rPr>
          <w:szCs w:val="22"/>
        </w:rPr>
        <w:t>2</w:t>
      </w:r>
      <w:r w:rsidRPr="008C0CA7">
        <w:rPr>
          <w:szCs w:val="22"/>
        </w:rPr>
        <w:t xml:space="preserve">. </w:t>
      </w:r>
      <w:r>
        <w:rPr>
          <w:szCs w:val="22"/>
        </w:rPr>
        <w:t xml:space="preserve">Suitable candidates are encouraged to </w:t>
      </w:r>
      <w:hyperlink r:id="rId16" w:history="1">
        <w:r w:rsidRPr="005C5150">
          <w:rPr>
            <w:rStyle w:val="Hipervnculo"/>
            <w:szCs w:val="22"/>
          </w:rPr>
          <w:t>apply</w:t>
        </w:r>
      </w:hyperlink>
      <w:r>
        <w:rPr>
          <w:szCs w:val="22"/>
        </w:rPr>
        <w:t xml:space="preserve">.  </w:t>
      </w:r>
      <w:r w:rsidRPr="008C0CA7">
        <w:rPr>
          <w:szCs w:val="22"/>
        </w:rPr>
        <w:t xml:space="preserve">IAATO awarded </w:t>
      </w:r>
      <w:r>
        <w:rPr>
          <w:szCs w:val="22"/>
        </w:rPr>
        <w:t xml:space="preserve">a </w:t>
      </w:r>
      <w:hyperlink r:id="rId17" w:history="1">
        <w:r w:rsidRPr="00A931C9">
          <w:rPr>
            <w:rStyle w:val="Hipervnculo"/>
            <w:szCs w:val="22"/>
          </w:rPr>
          <w:t>2021 fellowship</w:t>
        </w:r>
      </w:hyperlink>
      <w:r>
        <w:rPr>
          <w:szCs w:val="22"/>
        </w:rPr>
        <w:t xml:space="preserve"> </w:t>
      </w:r>
      <w:r w:rsidRPr="008C0CA7">
        <w:rPr>
          <w:szCs w:val="22"/>
        </w:rPr>
        <w:t xml:space="preserve">to early career researcher </w:t>
      </w:r>
      <w:r>
        <w:rPr>
          <w:szCs w:val="22"/>
        </w:rPr>
        <w:t xml:space="preserve">Ross Nichols </w:t>
      </w:r>
      <w:r w:rsidRPr="008C0CA7">
        <w:rPr>
          <w:szCs w:val="22"/>
        </w:rPr>
        <w:t>fr</w:t>
      </w:r>
      <w:r w:rsidRPr="00E17F15">
        <w:rPr>
          <w:szCs w:val="22"/>
        </w:rPr>
        <w:t>om the University of California, Santa Cruz</w:t>
      </w:r>
      <w:r>
        <w:rPr>
          <w:szCs w:val="22"/>
        </w:rPr>
        <w:t>,</w:t>
      </w:r>
      <w:r w:rsidRPr="00E17F15">
        <w:rPr>
          <w:szCs w:val="22"/>
        </w:rPr>
        <w:t xml:space="preserve"> for work on whale activity around the Antarctic Peninsula. </w:t>
      </w:r>
      <w:r>
        <w:rPr>
          <w:szCs w:val="22"/>
        </w:rPr>
        <w:t xml:space="preserve">See also </w:t>
      </w:r>
      <w:r w:rsidRPr="00AF1DA9">
        <w:rPr>
          <w:szCs w:val="22"/>
        </w:rPr>
        <w:t>ATCM XLIV- IP005</w:t>
      </w:r>
      <w:r w:rsidRPr="00D451ED">
        <w:rPr>
          <w:i/>
          <w:iCs/>
          <w:szCs w:val="22"/>
        </w:rPr>
        <w:t xml:space="preserve"> Early Career Opportunities: Antarctic Fellowships &amp; Scholarships</w:t>
      </w:r>
      <w:r>
        <w:rPr>
          <w:szCs w:val="22"/>
        </w:rPr>
        <w:t>.</w:t>
      </w:r>
    </w:p>
    <w:p w14:paraId="7CC886BA" w14:textId="77777777" w:rsidR="00B83CFC" w:rsidRPr="000E36B0" w:rsidRDefault="00B83CFC" w:rsidP="00B83CFC">
      <w:pPr>
        <w:pStyle w:val="ATSBullet1"/>
        <w:numPr>
          <w:ilvl w:val="0"/>
          <w:numId w:val="11"/>
        </w:numPr>
        <w:rPr>
          <w:szCs w:val="22"/>
          <w:lang w:bidi="he-IL"/>
        </w:rPr>
      </w:pPr>
      <w:r w:rsidRPr="396E904C">
        <w:rPr>
          <w:u w:val="single"/>
        </w:rPr>
        <w:t>IAATO/SCAR Systematic Conservation Plan</w:t>
      </w:r>
      <w:r w:rsidRPr="396E904C">
        <w:t xml:space="preserve"> – SCAR and IAATO are undertaking a collaborative project to develop a systematic conservation plan for the Antarctic Peninsula, aimed at facilitating the concurrent management of biodiversity, science and tourism (ATCM XLII - IP24; ATCM XL - IP166). Following the finalization of stakeholder engagement workshops, initial analyses and scenarios were created.  During the review, it was identified that further clarification on certain site-related data sets needed to be incorporated. Dr Jasmine Lee was contracted on a short-term basis by IAATO in late 2021 to address these. Upon finalization, IAATO will discuss the results with its </w:t>
      </w:r>
      <w:r>
        <w:t>m</w:t>
      </w:r>
      <w:r w:rsidRPr="396E904C">
        <w:t>embers and SCAR and report to</w:t>
      </w:r>
      <w:r>
        <w:t xml:space="preserve"> </w:t>
      </w:r>
      <w:r w:rsidRPr="396E904C">
        <w:t>stakeholders, including the CEP.</w:t>
      </w:r>
    </w:p>
    <w:p w14:paraId="33E58AA0" w14:textId="77777777" w:rsidR="00B83CFC" w:rsidRPr="00E17F15" w:rsidRDefault="00B83CFC" w:rsidP="00B83CFC">
      <w:pPr>
        <w:pStyle w:val="ATSBullet1"/>
        <w:numPr>
          <w:ilvl w:val="0"/>
          <w:numId w:val="11"/>
        </w:numPr>
        <w:rPr>
          <w:szCs w:val="22"/>
          <w:lang w:bidi="he-IL"/>
        </w:rPr>
      </w:pPr>
      <w:r w:rsidRPr="00E17F15">
        <w:rPr>
          <w:szCs w:val="22"/>
          <w:u w:val="single"/>
        </w:rPr>
        <w:t>SOOS DueSouth</w:t>
      </w:r>
      <w:r w:rsidRPr="00E17F15">
        <w:rPr>
          <w:szCs w:val="22"/>
        </w:rPr>
        <w:t xml:space="preserve"> – Execution of the SOOS DueSouth and IAATO collaboration to provide historical information regarding routes and sites visited by IAATO Operators.  This data will assist the scientific community in determining future collaboration opportunities with operators as well as possible transport assistance.</w:t>
      </w:r>
      <w:r w:rsidRPr="00E17F15">
        <w:rPr>
          <w:szCs w:val="22"/>
          <w:lang w:bidi="he-IL"/>
        </w:rPr>
        <w:t xml:space="preserve"> </w:t>
      </w:r>
    </w:p>
    <w:p w14:paraId="0803FC1D" w14:textId="77777777" w:rsidR="00B83CFC" w:rsidRPr="000E36B0" w:rsidRDefault="00B83CFC" w:rsidP="00B83CFC">
      <w:pPr>
        <w:pStyle w:val="ATSBullet1"/>
        <w:numPr>
          <w:ilvl w:val="0"/>
          <w:numId w:val="11"/>
        </w:numPr>
        <w:rPr>
          <w:szCs w:val="22"/>
        </w:rPr>
      </w:pPr>
      <w:r w:rsidRPr="000E36B0">
        <w:rPr>
          <w:szCs w:val="22"/>
          <w:u w:val="single"/>
        </w:rPr>
        <w:t>UN Southern Ocean Decade</w:t>
      </w:r>
      <w:r>
        <w:rPr>
          <w:szCs w:val="22"/>
        </w:rPr>
        <w:t xml:space="preserve"> – IAATO is a member of the Southern Ocean Task Force, coordinated by SCAR, which used a community driven process to create an Action Plan in support of the UN Decade of Ocean Science for Sustainable Development.  See also </w:t>
      </w:r>
      <w:r w:rsidRPr="00AF1DA9">
        <w:rPr>
          <w:szCs w:val="22"/>
        </w:rPr>
        <w:t>ATCM XLIV IP107</w:t>
      </w:r>
      <w:r w:rsidRPr="00D451ED">
        <w:rPr>
          <w:i/>
          <w:iCs/>
          <w:szCs w:val="22"/>
        </w:rPr>
        <w:t xml:space="preserve"> The Southern Ocean Contribution to the United Nations Decade of Ocean Science for Sustainable Development</w:t>
      </w:r>
      <w:r>
        <w:rPr>
          <w:szCs w:val="22"/>
        </w:rPr>
        <w:t>.</w:t>
      </w:r>
    </w:p>
    <w:p w14:paraId="1BEB8BCD" w14:textId="77777777" w:rsidR="00B83CFC" w:rsidRPr="00A876C9" w:rsidRDefault="00B83CFC" w:rsidP="00B83CFC">
      <w:pPr>
        <w:pStyle w:val="ATSBullet1"/>
        <w:numPr>
          <w:ilvl w:val="0"/>
          <w:numId w:val="11"/>
        </w:numPr>
        <w:rPr>
          <w:szCs w:val="22"/>
        </w:rPr>
      </w:pPr>
      <w:r w:rsidRPr="00E17F15">
        <w:rPr>
          <w:szCs w:val="22"/>
          <w:u w:val="single"/>
        </w:rPr>
        <w:t>Support in Antarctica</w:t>
      </w:r>
      <w:r w:rsidRPr="00E17F15">
        <w:rPr>
          <w:szCs w:val="22"/>
        </w:rPr>
        <w:t xml:space="preserve"> – </w:t>
      </w:r>
      <w:r w:rsidRPr="00E17F15">
        <w:rPr>
          <w:szCs w:val="22"/>
          <w:lang w:val="en-US"/>
        </w:rPr>
        <w:t>IAATO Operator expeditions during the 2021-22 s</w:t>
      </w:r>
      <w:r w:rsidRPr="00A876C9">
        <w:rPr>
          <w:szCs w:val="22"/>
          <w:lang w:val="en-US"/>
        </w:rPr>
        <w:t>eason were able to provide support for various scientific pro</w:t>
      </w:r>
      <w:r>
        <w:rPr>
          <w:szCs w:val="22"/>
          <w:lang w:val="en-US"/>
        </w:rPr>
        <w:t>jects, such as the Antarctic Site Inventory - Oceanites and Penguin Watch.</w:t>
      </w:r>
      <w:r w:rsidRPr="00A876C9">
        <w:rPr>
          <w:szCs w:val="22"/>
          <w:lang w:val="en-US"/>
        </w:rPr>
        <w:t xml:space="preserve"> </w:t>
      </w:r>
      <w:r>
        <w:rPr>
          <w:szCs w:val="22"/>
          <w:lang w:val="en-US"/>
        </w:rPr>
        <w:t>Five</w:t>
      </w:r>
      <w:r w:rsidRPr="00A876C9">
        <w:rPr>
          <w:szCs w:val="22"/>
          <w:lang w:val="en-US"/>
        </w:rPr>
        <w:t xml:space="preserve"> IAATO Operators also provided air or vessel support to National Antarctic Programs. </w:t>
      </w:r>
    </w:p>
    <w:p w14:paraId="365EF1D8" w14:textId="77777777" w:rsidR="00B83CFC" w:rsidRPr="006C0BC8" w:rsidRDefault="00B83CFC" w:rsidP="00B83CFC">
      <w:pPr>
        <w:pStyle w:val="ATSBullet1"/>
        <w:numPr>
          <w:ilvl w:val="0"/>
          <w:numId w:val="0"/>
        </w:numPr>
        <w:rPr>
          <w:sz w:val="24"/>
        </w:rPr>
      </w:pPr>
    </w:p>
    <w:p w14:paraId="7370B20C" w14:textId="77777777" w:rsidR="00B83CFC" w:rsidRDefault="00B83CFC" w:rsidP="00B83CFC">
      <w:pPr>
        <w:pStyle w:val="ATSNormal"/>
        <w:rPr>
          <w:b/>
          <w:bCs/>
          <w:i/>
          <w:iCs/>
          <w:sz w:val="24"/>
        </w:rPr>
      </w:pPr>
      <w:r>
        <w:rPr>
          <w:b/>
          <w:bCs/>
          <w:i/>
          <w:iCs/>
          <w:sz w:val="24"/>
        </w:rPr>
        <w:t>Other Work and Activities</w:t>
      </w:r>
    </w:p>
    <w:p w14:paraId="456B7A9C" w14:textId="77777777" w:rsidR="00B83CFC" w:rsidRPr="00D246AA" w:rsidRDefault="00B83CFC" w:rsidP="00B83CFC">
      <w:pPr>
        <w:pStyle w:val="ATSNormal"/>
        <w:rPr>
          <w:szCs w:val="22"/>
        </w:rPr>
      </w:pPr>
      <w:r>
        <w:t xml:space="preserve">IAATO also continues to prioritise activities that strengthen its institutional structure and help position it as a reputable, valued partner in the wider polar community. In addition to the work described above, over the past year, IAATO has: </w:t>
      </w:r>
    </w:p>
    <w:p w14:paraId="474B7D13" w14:textId="77777777" w:rsidR="00B83CFC" w:rsidRPr="000741E7" w:rsidRDefault="00B83CFC" w:rsidP="00B83CFC">
      <w:pPr>
        <w:pStyle w:val="ATSNormal"/>
        <w:numPr>
          <w:ilvl w:val="0"/>
          <w:numId w:val="21"/>
        </w:numPr>
        <w:rPr>
          <w:szCs w:val="22"/>
        </w:rPr>
      </w:pPr>
      <w:r w:rsidRPr="00D246AA">
        <w:rPr>
          <w:szCs w:val="22"/>
        </w:rPr>
        <w:t>Developed tools to support field staff when delivering t</w:t>
      </w:r>
      <w:r w:rsidRPr="000741E7">
        <w:rPr>
          <w:szCs w:val="22"/>
        </w:rPr>
        <w:t xml:space="preserve">he Antarctic Ambassadors message to </w:t>
      </w:r>
      <w:r>
        <w:rPr>
          <w:szCs w:val="22"/>
        </w:rPr>
        <w:t>client</w:t>
      </w:r>
      <w:r w:rsidRPr="000741E7">
        <w:rPr>
          <w:szCs w:val="22"/>
        </w:rPr>
        <w:t>s and further executed on the Antarctic Ambassadors strategy</w:t>
      </w:r>
      <w:r>
        <w:rPr>
          <w:szCs w:val="22"/>
        </w:rPr>
        <w:t xml:space="preserve"> through public engagement in events such as the inaugural Antarctic Ambassadorship Day.</w:t>
      </w:r>
    </w:p>
    <w:p w14:paraId="360A29E7" w14:textId="77777777" w:rsidR="00B83CFC" w:rsidRDefault="00B83CFC" w:rsidP="00B83CFC">
      <w:pPr>
        <w:pStyle w:val="ATSBullet1"/>
        <w:numPr>
          <w:ilvl w:val="0"/>
          <w:numId w:val="22"/>
        </w:numPr>
        <w:rPr>
          <w:szCs w:val="22"/>
        </w:rPr>
      </w:pPr>
      <w:r w:rsidRPr="000741E7">
        <w:rPr>
          <w:szCs w:val="22"/>
        </w:rPr>
        <w:t>Hosted webinars for Field Staff at the beginning and end of the 2021-22 season to discuss best practices and lessons learned.  Webinars will continue to be delivered to the field staff in advance of the 2022-23 season.</w:t>
      </w:r>
    </w:p>
    <w:p w14:paraId="3EF66141" w14:textId="77777777" w:rsidR="00B83CFC" w:rsidRPr="00BC700D" w:rsidRDefault="00B83CFC" w:rsidP="00B83CFC">
      <w:pPr>
        <w:pStyle w:val="ATSBullet1"/>
        <w:numPr>
          <w:ilvl w:val="0"/>
          <w:numId w:val="22"/>
        </w:numPr>
        <w:rPr>
          <w:szCs w:val="22"/>
        </w:rPr>
      </w:pPr>
      <w:r>
        <w:rPr>
          <w:szCs w:val="22"/>
        </w:rPr>
        <w:t>Facilitated over 3,000 online assessments for field staff, crew &amp; office personnel which were successfully completed for the 2021-22 season.</w:t>
      </w:r>
    </w:p>
    <w:p w14:paraId="0CFDC864" w14:textId="77777777" w:rsidR="00B83CFC" w:rsidRPr="008C0CA7" w:rsidRDefault="00B83CFC" w:rsidP="00B83CFC">
      <w:pPr>
        <w:pStyle w:val="ATSBullet1"/>
        <w:numPr>
          <w:ilvl w:val="0"/>
          <w:numId w:val="0"/>
        </w:numPr>
        <w:ind w:left="720"/>
      </w:pPr>
    </w:p>
    <w:p w14:paraId="7EFD6CA1" w14:textId="77777777" w:rsidR="00B83CFC" w:rsidRPr="00E5330E" w:rsidRDefault="00B83CFC" w:rsidP="00B83CFC">
      <w:pPr>
        <w:pStyle w:val="Textonotaalfinal"/>
        <w:tabs>
          <w:tab w:val="left" w:pos="1260"/>
        </w:tabs>
        <w:rPr>
          <w:sz w:val="24"/>
          <w:szCs w:val="24"/>
        </w:rPr>
      </w:pPr>
      <w:r w:rsidRPr="008C0CA7">
        <w:rPr>
          <w:sz w:val="22"/>
          <w:szCs w:val="22"/>
        </w:rPr>
        <w:t xml:space="preserve">In addition, IAATO Secretariat staff and Operator representatives participated in internal and external meetings, liaising with Treaty Party </w:t>
      </w:r>
      <w:r>
        <w:rPr>
          <w:sz w:val="22"/>
          <w:szCs w:val="22"/>
        </w:rPr>
        <w:t>r</w:t>
      </w:r>
      <w:r w:rsidRPr="008C0CA7">
        <w:rPr>
          <w:sz w:val="22"/>
          <w:szCs w:val="22"/>
        </w:rPr>
        <w:t>epresentatives, National Antarctic Programs personnel, and governmental, scientific, environmental, and industry organisations, including but not limited to:</w:t>
      </w:r>
    </w:p>
    <w:p w14:paraId="5B3D678E" w14:textId="77777777" w:rsidR="00B83CFC" w:rsidRPr="00BA0DCB" w:rsidRDefault="00B83CFC" w:rsidP="00B83CFC">
      <w:pPr>
        <w:pStyle w:val="ATSBullet1"/>
        <w:numPr>
          <w:ilvl w:val="0"/>
          <w:numId w:val="11"/>
        </w:numPr>
        <w:rPr>
          <w:szCs w:val="22"/>
        </w:rPr>
      </w:pPr>
      <w:r w:rsidRPr="000741E7">
        <w:rPr>
          <w:b/>
          <w:szCs w:val="22"/>
        </w:rPr>
        <w:lastRenderedPageBreak/>
        <w:t>COMNAP Annual Meeting</w:t>
      </w:r>
      <w:r w:rsidRPr="000741E7">
        <w:rPr>
          <w:szCs w:val="22"/>
        </w:rPr>
        <w:t xml:space="preserve">, Online, </w:t>
      </w:r>
      <w:r>
        <w:rPr>
          <w:szCs w:val="22"/>
        </w:rPr>
        <w:t>July</w:t>
      </w:r>
      <w:r w:rsidRPr="000741E7">
        <w:rPr>
          <w:szCs w:val="22"/>
        </w:rPr>
        <w:t xml:space="preserve"> 2020 and </w:t>
      </w:r>
      <w:r>
        <w:rPr>
          <w:szCs w:val="22"/>
        </w:rPr>
        <w:t>July</w:t>
      </w:r>
      <w:r w:rsidRPr="000741E7">
        <w:rPr>
          <w:szCs w:val="22"/>
        </w:rPr>
        <w:t xml:space="preserve"> 2021</w:t>
      </w:r>
      <w:r w:rsidRPr="000741E7">
        <w:rPr>
          <w:b/>
          <w:szCs w:val="22"/>
        </w:rPr>
        <w:t xml:space="preserve"> </w:t>
      </w:r>
    </w:p>
    <w:p w14:paraId="5DBA9138" w14:textId="77777777" w:rsidR="00B83CFC" w:rsidRPr="008C0CA7" w:rsidRDefault="00B83CFC" w:rsidP="00B83CFC">
      <w:pPr>
        <w:pStyle w:val="ATSBullet1"/>
        <w:numPr>
          <w:ilvl w:val="0"/>
          <w:numId w:val="11"/>
        </w:numPr>
        <w:rPr>
          <w:szCs w:val="22"/>
        </w:rPr>
      </w:pPr>
      <w:r w:rsidRPr="008C0CA7">
        <w:rPr>
          <w:b/>
          <w:bCs/>
          <w:szCs w:val="22"/>
        </w:rPr>
        <w:t>Association of Arctic Expedition Cruise Operators (AECO) Conference &amp; Annual Meeting</w:t>
      </w:r>
      <w:r w:rsidRPr="008C0CA7">
        <w:rPr>
          <w:i/>
          <w:szCs w:val="22"/>
        </w:rPr>
        <w:t xml:space="preserve">, </w:t>
      </w:r>
      <w:r>
        <w:rPr>
          <w:szCs w:val="22"/>
        </w:rPr>
        <w:t>Online</w:t>
      </w:r>
      <w:r w:rsidRPr="008C0CA7">
        <w:rPr>
          <w:szCs w:val="22"/>
        </w:rPr>
        <w:t>,</w:t>
      </w:r>
      <w:r w:rsidRPr="008C0CA7">
        <w:rPr>
          <w:i/>
          <w:szCs w:val="22"/>
        </w:rPr>
        <w:t xml:space="preserve"> </w:t>
      </w:r>
      <w:r w:rsidRPr="008C0CA7">
        <w:rPr>
          <w:szCs w:val="22"/>
        </w:rPr>
        <w:t>October 202</w:t>
      </w:r>
      <w:r>
        <w:rPr>
          <w:szCs w:val="22"/>
        </w:rPr>
        <w:t>1</w:t>
      </w:r>
      <w:r w:rsidRPr="008C0CA7">
        <w:rPr>
          <w:szCs w:val="22"/>
        </w:rPr>
        <w:t xml:space="preserve"> </w:t>
      </w:r>
    </w:p>
    <w:p w14:paraId="5961FAFE" w14:textId="77777777" w:rsidR="00B83CFC" w:rsidRPr="00F0102A" w:rsidRDefault="00B83CFC" w:rsidP="00B83CFC">
      <w:pPr>
        <w:pStyle w:val="ATSHeading2"/>
        <w:spacing w:after="240"/>
        <w:rPr>
          <w:rFonts w:ascii="Times New Roman" w:hAnsi="Times New Roman"/>
          <w:szCs w:val="24"/>
        </w:rPr>
      </w:pPr>
      <w:r w:rsidRPr="00F0102A">
        <w:rPr>
          <w:rFonts w:ascii="Times New Roman" w:hAnsi="Times New Roman"/>
          <w:szCs w:val="24"/>
        </w:rPr>
        <w:t xml:space="preserve">Tourism Incidents </w:t>
      </w:r>
      <w:r>
        <w:rPr>
          <w:rFonts w:ascii="Times New Roman" w:hAnsi="Times New Roman"/>
          <w:szCs w:val="24"/>
        </w:rPr>
        <w:t>2021-22</w:t>
      </w:r>
    </w:p>
    <w:p w14:paraId="1EE6C076" w14:textId="77777777" w:rsidR="00B83CFC" w:rsidRPr="008C0CA7" w:rsidRDefault="00B83CFC" w:rsidP="00B83CFC">
      <w:pPr>
        <w:rPr>
          <w:szCs w:val="22"/>
        </w:rPr>
      </w:pPr>
      <w:r w:rsidRPr="00BC700D">
        <w:rPr>
          <w:szCs w:val="22"/>
        </w:rPr>
        <w:t>IAATO’s policy is to disclose incidents to ensure risks are understood and appropriate lessons are learned for all Antarctic Operators. There were no major incidents involving IAATO Operators during the 2021-22 season.</w:t>
      </w:r>
      <w:r w:rsidRPr="008C0CA7">
        <w:rPr>
          <w:color w:val="000000"/>
          <w:szCs w:val="22"/>
          <w:lang w:bidi="he-IL"/>
        </w:rPr>
        <w:t xml:space="preserve"> </w:t>
      </w:r>
    </w:p>
    <w:p w14:paraId="15722EB6" w14:textId="77777777" w:rsidR="00B83CFC" w:rsidRPr="008C0CA7" w:rsidRDefault="00B83CFC" w:rsidP="00B83CFC">
      <w:pPr>
        <w:pStyle w:val="ATSHeading2"/>
        <w:tabs>
          <w:tab w:val="left" w:pos="6672"/>
        </w:tabs>
        <w:rPr>
          <w:rFonts w:ascii="Times New Roman" w:hAnsi="Times New Roman"/>
          <w:sz w:val="22"/>
        </w:rPr>
      </w:pPr>
      <w:r w:rsidRPr="008C0CA7">
        <w:rPr>
          <w:rFonts w:ascii="Times New Roman" w:hAnsi="Times New Roman"/>
          <w:sz w:val="22"/>
        </w:rPr>
        <w:t xml:space="preserve">With Thanks </w:t>
      </w:r>
      <w:r w:rsidRPr="008C0CA7">
        <w:rPr>
          <w:rFonts w:ascii="Times New Roman" w:hAnsi="Times New Roman"/>
          <w:sz w:val="22"/>
        </w:rPr>
        <w:tab/>
      </w:r>
    </w:p>
    <w:p w14:paraId="5876A64D" w14:textId="77777777" w:rsidR="00B83CFC" w:rsidRPr="008C0CA7" w:rsidRDefault="00B83CFC" w:rsidP="00B83CFC">
      <w:pPr>
        <w:rPr>
          <w:szCs w:val="22"/>
          <w:lang w:eastAsia="es-ES"/>
        </w:rPr>
      </w:pPr>
      <w:r w:rsidRPr="008C0CA7">
        <w:rPr>
          <w:bCs/>
          <w:szCs w:val="22"/>
        </w:rPr>
        <w:t xml:space="preserve">IAATO </w:t>
      </w:r>
      <w:r w:rsidRPr="008C0CA7">
        <w:rPr>
          <w:szCs w:val="22"/>
        </w:rPr>
        <w:t>appreciates the opportunity to work cooperatively with Antarctic Treaty Parties, COMNAP, SCAR, CCAMLR, IHO/HCA, WMO, ASOC and others toward the long-term protection of Antarctica</w:t>
      </w:r>
      <w:r w:rsidRPr="008C0CA7">
        <w:rPr>
          <w:szCs w:val="22"/>
          <w:lang w:eastAsia="es-ES"/>
        </w:rPr>
        <w:t>.</w:t>
      </w:r>
    </w:p>
    <w:p w14:paraId="5AD6BBED" w14:textId="77777777" w:rsidR="00B83CFC" w:rsidRDefault="00B83CFC" w:rsidP="00B83CFC"/>
    <w:p w14:paraId="25EDF377" w14:textId="77777777" w:rsidR="00B83CFC" w:rsidRDefault="00B83CFC" w:rsidP="00952E9F"/>
    <w:sectPr w:rsidR="00B83CFC"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27319" w14:textId="77777777" w:rsidR="00721314" w:rsidRDefault="00721314">
      <w:r>
        <w:separator/>
      </w:r>
    </w:p>
  </w:endnote>
  <w:endnote w:type="continuationSeparator" w:id="0">
    <w:p w14:paraId="673031D5" w14:textId="77777777" w:rsidR="00721314" w:rsidRDefault="0072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F3B08" w14:textId="77777777" w:rsidR="00FA0B9F" w:rsidRDefault="006C5AB7" w:rsidP="00CF5C82">
    <w:pPr>
      <w:framePr w:wrap="around" w:vAnchor="text" w:hAnchor="margin" w:xAlign="right" w:y="1"/>
    </w:pPr>
    <w:r>
      <w:fldChar w:fldCharType="begin"/>
    </w:r>
    <w:r>
      <w:instrText xml:space="preserve">PAGE  </w:instrText>
    </w:r>
    <w:r>
      <w:fldChar w:fldCharType="end"/>
    </w:r>
  </w:p>
  <w:p w14:paraId="24C8790D" w14:textId="77777777" w:rsidR="00FA0B9F" w:rsidRDefault="0072131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3D4C6" w14:textId="273E0980" w:rsidR="00FA0B9F" w:rsidRDefault="006C5AB7" w:rsidP="00CF5C82">
    <w:pPr>
      <w:framePr w:wrap="around" w:vAnchor="text" w:hAnchor="margin" w:xAlign="right" w:y="1"/>
    </w:pPr>
    <w:r>
      <w:fldChar w:fldCharType="begin"/>
    </w:r>
    <w:r>
      <w:instrText xml:space="preserve">PAGE  </w:instrText>
    </w:r>
    <w:r>
      <w:fldChar w:fldCharType="separate"/>
    </w:r>
    <w:r w:rsidR="009F7A89">
      <w:rPr>
        <w:noProof/>
      </w:rPr>
      <w:t>1</w:t>
    </w:r>
    <w:r>
      <w:fldChar w:fldCharType="end"/>
    </w:r>
  </w:p>
  <w:p w14:paraId="2A769708" w14:textId="77777777" w:rsidR="00FA0B9F" w:rsidRDefault="006C5AB7"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B553" w14:textId="77777777" w:rsidR="009F7A89" w:rsidRDefault="009F7A8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3D51B" w14:textId="06364319" w:rsidR="00E311C9" w:rsidRDefault="006C5AB7" w:rsidP="00CF5C82">
    <w:pPr>
      <w:framePr w:wrap="around" w:vAnchor="text" w:hAnchor="margin" w:xAlign="right" w:y="1"/>
    </w:pPr>
    <w:r>
      <w:fldChar w:fldCharType="begin"/>
    </w:r>
    <w:r>
      <w:instrText xml:space="preserve">PAGE  </w:instrText>
    </w:r>
    <w:r>
      <w:fldChar w:fldCharType="separate"/>
    </w:r>
    <w:r w:rsidR="009F7A89">
      <w:rPr>
        <w:noProof/>
      </w:rPr>
      <w:t>3</w:t>
    </w:r>
    <w:r>
      <w:fldChar w:fldCharType="end"/>
    </w:r>
  </w:p>
  <w:p w14:paraId="3F934347" w14:textId="77777777" w:rsidR="00E311C9" w:rsidRDefault="0072131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DDD54" w14:textId="77777777" w:rsidR="00721314" w:rsidRDefault="00721314">
      <w:r>
        <w:separator/>
      </w:r>
    </w:p>
  </w:footnote>
  <w:footnote w:type="continuationSeparator" w:id="0">
    <w:p w14:paraId="42CFBC4C" w14:textId="77777777" w:rsidR="00721314" w:rsidRDefault="0072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5E3D9" w14:textId="77777777" w:rsidR="009F7A89" w:rsidRDefault="009F7A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F4607E" w14:paraId="30A1B9C8" w14:textId="77777777" w:rsidTr="00490760">
      <w:trPr>
        <w:trHeight w:val="344"/>
        <w:jc w:val="center"/>
      </w:trPr>
      <w:tc>
        <w:tcPr>
          <w:tcW w:w="5495" w:type="dxa"/>
        </w:tcPr>
        <w:p w14:paraId="0CA49BED" w14:textId="77777777" w:rsidR="00DB7C09" w:rsidRDefault="00721314" w:rsidP="00F968D4"/>
      </w:tc>
      <w:tc>
        <w:tcPr>
          <w:tcW w:w="4253" w:type="dxa"/>
          <w:gridSpan w:val="2"/>
        </w:tcPr>
        <w:p w14:paraId="21FE8D18" w14:textId="77777777" w:rsidR="00DB7C09" w:rsidRPr="00BD47E4" w:rsidRDefault="006C5AB7" w:rsidP="002A07BC">
          <w:pPr>
            <w:jc w:val="right"/>
            <w:rPr>
              <w:b/>
              <w:sz w:val="32"/>
              <w:szCs w:val="32"/>
            </w:rPr>
          </w:pPr>
          <w:bookmarkStart w:id="2" w:name="type"/>
          <w:r w:rsidRPr="00BD47E4">
            <w:rPr>
              <w:b/>
              <w:sz w:val="32"/>
              <w:szCs w:val="32"/>
            </w:rPr>
            <w:t>IP</w:t>
          </w:r>
          <w:bookmarkEnd w:id="2"/>
        </w:p>
      </w:tc>
      <w:tc>
        <w:tcPr>
          <w:tcW w:w="1524" w:type="dxa"/>
          <w:gridSpan w:val="2"/>
        </w:tcPr>
        <w:p w14:paraId="3D779BD3" w14:textId="77777777" w:rsidR="00DB7C09" w:rsidRPr="00BD47E4" w:rsidRDefault="006C5AB7" w:rsidP="00DB7C09">
          <w:pPr>
            <w:rPr>
              <w:b/>
              <w:sz w:val="32"/>
              <w:szCs w:val="32"/>
            </w:rPr>
          </w:pPr>
          <w:bookmarkStart w:id="3" w:name="number"/>
          <w:r w:rsidRPr="00BD47E4">
            <w:rPr>
              <w:b/>
              <w:sz w:val="32"/>
              <w:szCs w:val="32"/>
            </w:rPr>
            <w:t>41</w:t>
          </w:r>
          <w:bookmarkEnd w:id="3"/>
        </w:p>
      </w:tc>
    </w:tr>
    <w:tr w:rsidR="00F4607E" w14:paraId="267D3BF5" w14:textId="77777777" w:rsidTr="00490760">
      <w:trPr>
        <w:trHeight w:val="2165"/>
        <w:jc w:val="center"/>
      </w:trPr>
      <w:tc>
        <w:tcPr>
          <w:tcW w:w="5495" w:type="dxa"/>
        </w:tcPr>
        <w:p w14:paraId="4760F61D" w14:textId="77777777" w:rsidR="00490760" w:rsidRPr="00EE4D48" w:rsidRDefault="006C5AB7" w:rsidP="002A07BC">
          <w:pPr>
            <w:rPr>
              <w:b/>
              <w:sz w:val="28"/>
              <w:szCs w:val="28"/>
            </w:rPr>
          </w:pPr>
          <w:r>
            <w:rPr>
              <w:noProof/>
              <w:lang w:val="en-US"/>
            </w:rPr>
            <w:drawing>
              <wp:inline distT="0" distB="0" distL="0" distR="0" wp14:anchorId="11A733B9" wp14:editId="5677EA9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272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DCE82CF" w14:textId="77777777" w:rsidR="00490760" w:rsidRPr="00FE5146" w:rsidRDefault="006C5AB7" w:rsidP="00490760">
          <w:pPr>
            <w:jc w:val="right"/>
            <w:rPr>
              <w:sz w:val="144"/>
              <w:szCs w:val="144"/>
            </w:rPr>
          </w:pPr>
          <w:r w:rsidRPr="00FE5146">
            <w:rPr>
              <w:sz w:val="144"/>
              <w:szCs w:val="144"/>
            </w:rPr>
            <w:t>ENG</w:t>
          </w:r>
        </w:p>
      </w:tc>
    </w:tr>
    <w:tr w:rsidR="00F4607E" w14:paraId="0BDD2005" w14:textId="77777777" w:rsidTr="00BD47E4">
      <w:trPr>
        <w:trHeight w:val="409"/>
        <w:jc w:val="center"/>
      </w:trPr>
      <w:tc>
        <w:tcPr>
          <w:tcW w:w="9039" w:type="dxa"/>
          <w:gridSpan w:val="2"/>
        </w:tcPr>
        <w:p w14:paraId="2D71EA1D" w14:textId="77777777" w:rsidR="00BD47E4" w:rsidRDefault="006C5AB7" w:rsidP="002C30DA">
          <w:pPr>
            <w:jc w:val="right"/>
          </w:pPr>
          <w:r>
            <w:t>Agenda Item:</w:t>
          </w:r>
        </w:p>
      </w:tc>
      <w:tc>
        <w:tcPr>
          <w:tcW w:w="1843" w:type="dxa"/>
          <w:gridSpan w:val="2"/>
        </w:tcPr>
        <w:p w14:paraId="4A939672" w14:textId="77777777" w:rsidR="006C5AB7" w:rsidRDefault="006C5AB7" w:rsidP="002C30DA">
          <w:pPr>
            <w:jc w:val="right"/>
          </w:pPr>
          <w:bookmarkStart w:id="4" w:name="agenda"/>
          <w:r>
            <w:t xml:space="preserve">ATCM 4, </w:t>
          </w:r>
        </w:p>
        <w:p w14:paraId="6CBA8722" w14:textId="77777777" w:rsidR="009F7A89" w:rsidRDefault="006C5AB7" w:rsidP="002C30DA">
          <w:pPr>
            <w:jc w:val="right"/>
          </w:pPr>
          <w:r>
            <w:t>ATCM 17</w:t>
          </w:r>
          <w:bookmarkEnd w:id="4"/>
          <w:r w:rsidR="009F7A89">
            <w:t xml:space="preserve">, </w:t>
          </w:r>
        </w:p>
        <w:p w14:paraId="062F38A6" w14:textId="178F3A41" w:rsidR="00BD47E4" w:rsidRDefault="009F7A89" w:rsidP="002C30DA">
          <w:pPr>
            <w:jc w:val="right"/>
          </w:pPr>
          <w:bookmarkStart w:id="5" w:name="_GoBack"/>
          <w:bookmarkEnd w:id="5"/>
          <w:r>
            <w:t>CEP 5</w:t>
          </w:r>
        </w:p>
      </w:tc>
      <w:tc>
        <w:tcPr>
          <w:tcW w:w="390" w:type="dxa"/>
        </w:tcPr>
        <w:p w14:paraId="5C9CF12D" w14:textId="77777777" w:rsidR="00BD47E4" w:rsidRDefault="00721314" w:rsidP="00387A65">
          <w:pPr>
            <w:jc w:val="right"/>
          </w:pPr>
        </w:p>
      </w:tc>
    </w:tr>
    <w:tr w:rsidR="00F4607E" w14:paraId="3E7BEE6D" w14:textId="77777777" w:rsidTr="00BD47E4">
      <w:trPr>
        <w:trHeight w:val="397"/>
        <w:jc w:val="center"/>
      </w:trPr>
      <w:tc>
        <w:tcPr>
          <w:tcW w:w="9039" w:type="dxa"/>
          <w:gridSpan w:val="2"/>
        </w:tcPr>
        <w:p w14:paraId="3D221D09" w14:textId="77777777" w:rsidR="00BD47E4" w:rsidRDefault="006C5AB7" w:rsidP="002C30DA">
          <w:pPr>
            <w:jc w:val="right"/>
          </w:pPr>
          <w:r>
            <w:t>Presented by:</w:t>
          </w:r>
        </w:p>
      </w:tc>
      <w:tc>
        <w:tcPr>
          <w:tcW w:w="1843" w:type="dxa"/>
          <w:gridSpan w:val="2"/>
        </w:tcPr>
        <w:p w14:paraId="60C0A51B" w14:textId="77777777" w:rsidR="00BD47E4" w:rsidRDefault="006C5AB7" w:rsidP="002C30DA">
          <w:pPr>
            <w:jc w:val="right"/>
          </w:pPr>
          <w:bookmarkStart w:id="6" w:name="party"/>
          <w:r>
            <w:t>IAATO</w:t>
          </w:r>
          <w:bookmarkEnd w:id="6"/>
        </w:p>
      </w:tc>
      <w:tc>
        <w:tcPr>
          <w:tcW w:w="390" w:type="dxa"/>
        </w:tcPr>
        <w:p w14:paraId="598AD78C" w14:textId="77777777" w:rsidR="00BD47E4" w:rsidRDefault="00721314" w:rsidP="00387A65">
          <w:pPr>
            <w:jc w:val="right"/>
          </w:pPr>
        </w:p>
      </w:tc>
    </w:tr>
    <w:tr w:rsidR="00F4607E" w14:paraId="2825B790" w14:textId="77777777" w:rsidTr="00BD47E4">
      <w:trPr>
        <w:trHeight w:val="409"/>
        <w:jc w:val="center"/>
      </w:trPr>
      <w:tc>
        <w:tcPr>
          <w:tcW w:w="9039" w:type="dxa"/>
          <w:gridSpan w:val="2"/>
        </w:tcPr>
        <w:p w14:paraId="337699E6" w14:textId="77777777" w:rsidR="00BD47E4" w:rsidRDefault="006C5AB7" w:rsidP="002C30DA">
          <w:pPr>
            <w:jc w:val="right"/>
          </w:pPr>
          <w:r>
            <w:t>Original:</w:t>
          </w:r>
        </w:p>
      </w:tc>
      <w:tc>
        <w:tcPr>
          <w:tcW w:w="1843" w:type="dxa"/>
          <w:gridSpan w:val="2"/>
        </w:tcPr>
        <w:p w14:paraId="67FADF46" w14:textId="77777777" w:rsidR="00BD47E4" w:rsidRDefault="006C5AB7" w:rsidP="002C30DA">
          <w:pPr>
            <w:jc w:val="right"/>
          </w:pPr>
          <w:bookmarkStart w:id="7" w:name="language"/>
          <w:r>
            <w:t>English</w:t>
          </w:r>
          <w:bookmarkEnd w:id="7"/>
        </w:p>
      </w:tc>
      <w:tc>
        <w:tcPr>
          <w:tcW w:w="390" w:type="dxa"/>
        </w:tcPr>
        <w:p w14:paraId="1E546EA7" w14:textId="77777777" w:rsidR="00BD47E4" w:rsidRDefault="00721314" w:rsidP="00387A65">
          <w:pPr>
            <w:jc w:val="right"/>
          </w:pPr>
        </w:p>
      </w:tc>
    </w:tr>
    <w:tr w:rsidR="00F4607E" w14:paraId="304B4983" w14:textId="77777777" w:rsidTr="00BD47E4">
      <w:trPr>
        <w:trHeight w:val="409"/>
        <w:jc w:val="center"/>
      </w:trPr>
      <w:tc>
        <w:tcPr>
          <w:tcW w:w="9039" w:type="dxa"/>
          <w:gridSpan w:val="2"/>
        </w:tcPr>
        <w:p w14:paraId="49FFE04F" w14:textId="77777777" w:rsidR="0097629D" w:rsidRDefault="006C5AB7" w:rsidP="002C30DA">
          <w:pPr>
            <w:jc w:val="right"/>
          </w:pPr>
          <w:r>
            <w:t>Submitted:</w:t>
          </w:r>
        </w:p>
      </w:tc>
      <w:tc>
        <w:tcPr>
          <w:tcW w:w="1843" w:type="dxa"/>
          <w:gridSpan w:val="2"/>
        </w:tcPr>
        <w:p w14:paraId="784D1E19" w14:textId="77777777" w:rsidR="0097629D" w:rsidRDefault="006C5AB7" w:rsidP="0097629D">
          <w:pPr>
            <w:jc w:val="right"/>
          </w:pPr>
          <w:bookmarkStart w:id="8" w:name="date_submission"/>
          <w:r>
            <w:t>13/4/2022</w:t>
          </w:r>
          <w:bookmarkEnd w:id="8"/>
        </w:p>
      </w:tc>
      <w:tc>
        <w:tcPr>
          <w:tcW w:w="390" w:type="dxa"/>
        </w:tcPr>
        <w:p w14:paraId="41889866" w14:textId="77777777" w:rsidR="0097629D" w:rsidRDefault="00721314" w:rsidP="00387A65">
          <w:pPr>
            <w:jc w:val="right"/>
          </w:pPr>
        </w:p>
      </w:tc>
    </w:tr>
  </w:tbl>
  <w:p w14:paraId="534FF2DE" w14:textId="77777777" w:rsidR="00AE5DD0" w:rsidRDefault="0072131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69AD6" w14:textId="77777777" w:rsidR="009F7A89" w:rsidRDefault="009F7A8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F4607E" w14:paraId="24DDF3D8" w14:textId="77777777">
      <w:trPr>
        <w:trHeight w:val="354"/>
        <w:jc w:val="center"/>
      </w:trPr>
      <w:tc>
        <w:tcPr>
          <w:tcW w:w="9694" w:type="dxa"/>
        </w:tcPr>
        <w:p w14:paraId="12476033" w14:textId="2DFE21D6" w:rsidR="00AE5DD0" w:rsidRPr="00BD47E4" w:rsidRDefault="00B83CFC" w:rsidP="00C26F2D">
          <w:pPr>
            <w:jc w:val="right"/>
            <w:rPr>
              <w:b/>
              <w:sz w:val="32"/>
              <w:szCs w:val="32"/>
            </w:rPr>
          </w:pPr>
          <w:r>
            <w:rPr>
              <w:b/>
              <w:sz w:val="32"/>
              <w:szCs w:val="32"/>
            </w:rPr>
            <w:t>IP</w:t>
          </w:r>
        </w:p>
      </w:tc>
      <w:tc>
        <w:tcPr>
          <w:tcW w:w="1332" w:type="dxa"/>
        </w:tcPr>
        <w:p w14:paraId="57424856" w14:textId="401F1CFA" w:rsidR="00AE5DD0" w:rsidRPr="00BD47E4" w:rsidRDefault="00B83CFC" w:rsidP="00080F4C">
          <w:pPr>
            <w:rPr>
              <w:b/>
              <w:sz w:val="32"/>
              <w:szCs w:val="32"/>
            </w:rPr>
          </w:pPr>
          <w:r>
            <w:rPr>
              <w:b/>
              <w:sz w:val="32"/>
              <w:szCs w:val="32"/>
            </w:rPr>
            <w:t>41</w:t>
          </w:r>
        </w:p>
      </w:tc>
    </w:tr>
  </w:tbl>
  <w:p w14:paraId="71E06ED2" w14:textId="77777777" w:rsidR="00AE5DD0" w:rsidRDefault="0072131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22E22"/>
    <w:multiLevelType w:val="hybridMultilevel"/>
    <w:tmpl w:val="D308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24D8E546">
      <w:start w:val="1"/>
      <w:numFmt w:val="bullet"/>
      <w:pStyle w:val="ATSBullet1"/>
      <w:lvlText w:val=""/>
      <w:lvlJc w:val="left"/>
      <w:pPr>
        <w:tabs>
          <w:tab w:val="num" w:pos="360"/>
        </w:tabs>
        <w:ind w:left="360" w:hanging="360"/>
      </w:pPr>
      <w:rPr>
        <w:rFonts w:ascii="Symbol" w:hAnsi="Symbol" w:hint="default"/>
        <w:color w:val="auto"/>
      </w:rPr>
    </w:lvl>
    <w:lvl w:ilvl="1" w:tplc="47B2DF82">
      <w:start w:val="1"/>
      <w:numFmt w:val="bullet"/>
      <w:lvlText w:val="o"/>
      <w:lvlJc w:val="left"/>
      <w:pPr>
        <w:tabs>
          <w:tab w:val="num" w:pos="1440"/>
        </w:tabs>
        <w:ind w:left="1440" w:hanging="360"/>
      </w:pPr>
      <w:rPr>
        <w:rFonts w:ascii="Courier New" w:hAnsi="Courier New" w:cs="Courier New" w:hint="default"/>
      </w:rPr>
    </w:lvl>
    <w:lvl w:ilvl="2" w:tplc="18D894A4" w:tentative="1">
      <w:start w:val="1"/>
      <w:numFmt w:val="bullet"/>
      <w:lvlText w:val=""/>
      <w:lvlJc w:val="left"/>
      <w:pPr>
        <w:tabs>
          <w:tab w:val="num" w:pos="2160"/>
        </w:tabs>
        <w:ind w:left="2160" w:hanging="360"/>
      </w:pPr>
      <w:rPr>
        <w:rFonts w:ascii="Wingdings" w:hAnsi="Wingdings" w:hint="default"/>
      </w:rPr>
    </w:lvl>
    <w:lvl w:ilvl="3" w:tplc="D76E250E" w:tentative="1">
      <w:start w:val="1"/>
      <w:numFmt w:val="bullet"/>
      <w:lvlText w:val=""/>
      <w:lvlJc w:val="left"/>
      <w:pPr>
        <w:tabs>
          <w:tab w:val="num" w:pos="2880"/>
        </w:tabs>
        <w:ind w:left="2880" w:hanging="360"/>
      </w:pPr>
      <w:rPr>
        <w:rFonts w:ascii="Symbol" w:hAnsi="Symbol" w:hint="default"/>
      </w:rPr>
    </w:lvl>
    <w:lvl w:ilvl="4" w:tplc="DC0089D4" w:tentative="1">
      <w:start w:val="1"/>
      <w:numFmt w:val="bullet"/>
      <w:lvlText w:val="o"/>
      <w:lvlJc w:val="left"/>
      <w:pPr>
        <w:tabs>
          <w:tab w:val="num" w:pos="3600"/>
        </w:tabs>
        <w:ind w:left="3600" w:hanging="360"/>
      </w:pPr>
      <w:rPr>
        <w:rFonts w:ascii="Courier New" w:hAnsi="Courier New" w:cs="Courier New" w:hint="default"/>
      </w:rPr>
    </w:lvl>
    <w:lvl w:ilvl="5" w:tplc="32204922" w:tentative="1">
      <w:start w:val="1"/>
      <w:numFmt w:val="bullet"/>
      <w:lvlText w:val=""/>
      <w:lvlJc w:val="left"/>
      <w:pPr>
        <w:tabs>
          <w:tab w:val="num" w:pos="4320"/>
        </w:tabs>
        <w:ind w:left="4320" w:hanging="360"/>
      </w:pPr>
      <w:rPr>
        <w:rFonts w:ascii="Wingdings" w:hAnsi="Wingdings" w:hint="default"/>
      </w:rPr>
    </w:lvl>
    <w:lvl w:ilvl="6" w:tplc="204C558C" w:tentative="1">
      <w:start w:val="1"/>
      <w:numFmt w:val="bullet"/>
      <w:lvlText w:val=""/>
      <w:lvlJc w:val="left"/>
      <w:pPr>
        <w:tabs>
          <w:tab w:val="num" w:pos="5040"/>
        </w:tabs>
        <w:ind w:left="5040" w:hanging="360"/>
      </w:pPr>
      <w:rPr>
        <w:rFonts w:ascii="Symbol" w:hAnsi="Symbol" w:hint="default"/>
      </w:rPr>
    </w:lvl>
    <w:lvl w:ilvl="7" w:tplc="2C8ED34E" w:tentative="1">
      <w:start w:val="1"/>
      <w:numFmt w:val="bullet"/>
      <w:lvlText w:val="o"/>
      <w:lvlJc w:val="left"/>
      <w:pPr>
        <w:tabs>
          <w:tab w:val="num" w:pos="5760"/>
        </w:tabs>
        <w:ind w:left="5760" w:hanging="360"/>
      </w:pPr>
      <w:rPr>
        <w:rFonts w:ascii="Courier New" w:hAnsi="Courier New" w:cs="Courier New" w:hint="default"/>
      </w:rPr>
    </w:lvl>
    <w:lvl w:ilvl="8" w:tplc="F1D628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ED5C22"/>
    <w:multiLevelType w:val="hybridMultilevel"/>
    <w:tmpl w:val="9952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F8543120">
      <w:start w:val="1"/>
      <w:numFmt w:val="decimal"/>
      <w:lvlText w:val="%1)"/>
      <w:lvlJc w:val="left"/>
      <w:pPr>
        <w:tabs>
          <w:tab w:val="num" w:pos="340"/>
        </w:tabs>
        <w:ind w:left="340" w:hanging="340"/>
      </w:pPr>
      <w:rPr>
        <w:rFonts w:hint="default"/>
      </w:rPr>
    </w:lvl>
    <w:lvl w:ilvl="1" w:tplc="1BF61872" w:tentative="1">
      <w:start w:val="1"/>
      <w:numFmt w:val="lowerLetter"/>
      <w:lvlText w:val="%2."/>
      <w:lvlJc w:val="left"/>
      <w:pPr>
        <w:tabs>
          <w:tab w:val="num" w:pos="1440"/>
        </w:tabs>
        <w:ind w:left="1440" w:hanging="360"/>
      </w:pPr>
    </w:lvl>
    <w:lvl w:ilvl="2" w:tplc="138A1616" w:tentative="1">
      <w:start w:val="1"/>
      <w:numFmt w:val="lowerRoman"/>
      <w:lvlText w:val="%3."/>
      <w:lvlJc w:val="right"/>
      <w:pPr>
        <w:tabs>
          <w:tab w:val="num" w:pos="2160"/>
        </w:tabs>
        <w:ind w:left="2160" w:hanging="180"/>
      </w:pPr>
    </w:lvl>
    <w:lvl w:ilvl="3" w:tplc="B2EC90F0" w:tentative="1">
      <w:start w:val="1"/>
      <w:numFmt w:val="decimal"/>
      <w:lvlText w:val="%4."/>
      <w:lvlJc w:val="left"/>
      <w:pPr>
        <w:tabs>
          <w:tab w:val="num" w:pos="2880"/>
        </w:tabs>
        <w:ind w:left="2880" w:hanging="360"/>
      </w:pPr>
    </w:lvl>
    <w:lvl w:ilvl="4" w:tplc="C3B23F62" w:tentative="1">
      <w:start w:val="1"/>
      <w:numFmt w:val="lowerLetter"/>
      <w:lvlText w:val="%5."/>
      <w:lvlJc w:val="left"/>
      <w:pPr>
        <w:tabs>
          <w:tab w:val="num" w:pos="3600"/>
        </w:tabs>
        <w:ind w:left="3600" w:hanging="360"/>
      </w:pPr>
    </w:lvl>
    <w:lvl w:ilvl="5" w:tplc="23C81E9C" w:tentative="1">
      <w:start w:val="1"/>
      <w:numFmt w:val="lowerRoman"/>
      <w:lvlText w:val="%6."/>
      <w:lvlJc w:val="right"/>
      <w:pPr>
        <w:tabs>
          <w:tab w:val="num" w:pos="4320"/>
        </w:tabs>
        <w:ind w:left="4320" w:hanging="180"/>
      </w:pPr>
    </w:lvl>
    <w:lvl w:ilvl="6" w:tplc="B0FAE94A" w:tentative="1">
      <w:start w:val="1"/>
      <w:numFmt w:val="decimal"/>
      <w:lvlText w:val="%7."/>
      <w:lvlJc w:val="left"/>
      <w:pPr>
        <w:tabs>
          <w:tab w:val="num" w:pos="5040"/>
        </w:tabs>
        <w:ind w:left="5040" w:hanging="360"/>
      </w:pPr>
    </w:lvl>
    <w:lvl w:ilvl="7" w:tplc="68724AA8" w:tentative="1">
      <w:start w:val="1"/>
      <w:numFmt w:val="lowerLetter"/>
      <w:lvlText w:val="%8."/>
      <w:lvlJc w:val="left"/>
      <w:pPr>
        <w:tabs>
          <w:tab w:val="num" w:pos="5760"/>
        </w:tabs>
        <w:ind w:left="5760" w:hanging="360"/>
      </w:pPr>
    </w:lvl>
    <w:lvl w:ilvl="8" w:tplc="739A36D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65D8A02A">
      <w:start w:val="1"/>
      <w:numFmt w:val="decimal"/>
      <w:lvlText w:val="%1."/>
      <w:lvlJc w:val="left"/>
      <w:pPr>
        <w:tabs>
          <w:tab w:val="num" w:pos="1057"/>
        </w:tabs>
        <w:ind w:left="1057" w:hanging="360"/>
      </w:pPr>
      <w:rPr>
        <w:rFonts w:hint="default"/>
      </w:rPr>
    </w:lvl>
    <w:lvl w:ilvl="1" w:tplc="10562A86" w:tentative="1">
      <w:start w:val="1"/>
      <w:numFmt w:val="lowerLetter"/>
      <w:lvlText w:val="%2."/>
      <w:lvlJc w:val="left"/>
      <w:pPr>
        <w:tabs>
          <w:tab w:val="num" w:pos="2137"/>
        </w:tabs>
        <w:ind w:left="2137" w:hanging="360"/>
      </w:pPr>
    </w:lvl>
    <w:lvl w:ilvl="2" w:tplc="D0863986" w:tentative="1">
      <w:start w:val="1"/>
      <w:numFmt w:val="lowerRoman"/>
      <w:lvlText w:val="%3."/>
      <w:lvlJc w:val="right"/>
      <w:pPr>
        <w:tabs>
          <w:tab w:val="num" w:pos="2857"/>
        </w:tabs>
        <w:ind w:left="2857" w:hanging="180"/>
      </w:pPr>
    </w:lvl>
    <w:lvl w:ilvl="3" w:tplc="2FD2D57C" w:tentative="1">
      <w:start w:val="1"/>
      <w:numFmt w:val="decimal"/>
      <w:lvlText w:val="%4."/>
      <w:lvlJc w:val="left"/>
      <w:pPr>
        <w:tabs>
          <w:tab w:val="num" w:pos="3577"/>
        </w:tabs>
        <w:ind w:left="3577" w:hanging="360"/>
      </w:pPr>
    </w:lvl>
    <w:lvl w:ilvl="4" w:tplc="7A0EFF2E" w:tentative="1">
      <w:start w:val="1"/>
      <w:numFmt w:val="lowerLetter"/>
      <w:lvlText w:val="%5."/>
      <w:lvlJc w:val="left"/>
      <w:pPr>
        <w:tabs>
          <w:tab w:val="num" w:pos="4297"/>
        </w:tabs>
        <w:ind w:left="4297" w:hanging="360"/>
      </w:pPr>
    </w:lvl>
    <w:lvl w:ilvl="5" w:tplc="3A54172A" w:tentative="1">
      <w:start w:val="1"/>
      <w:numFmt w:val="lowerRoman"/>
      <w:lvlText w:val="%6."/>
      <w:lvlJc w:val="right"/>
      <w:pPr>
        <w:tabs>
          <w:tab w:val="num" w:pos="5017"/>
        </w:tabs>
        <w:ind w:left="5017" w:hanging="180"/>
      </w:pPr>
    </w:lvl>
    <w:lvl w:ilvl="6" w:tplc="23886246" w:tentative="1">
      <w:start w:val="1"/>
      <w:numFmt w:val="decimal"/>
      <w:lvlText w:val="%7."/>
      <w:lvlJc w:val="left"/>
      <w:pPr>
        <w:tabs>
          <w:tab w:val="num" w:pos="5737"/>
        </w:tabs>
        <w:ind w:left="5737" w:hanging="360"/>
      </w:pPr>
    </w:lvl>
    <w:lvl w:ilvl="7" w:tplc="9864B04A" w:tentative="1">
      <w:start w:val="1"/>
      <w:numFmt w:val="lowerLetter"/>
      <w:lvlText w:val="%8."/>
      <w:lvlJc w:val="left"/>
      <w:pPr>
        <w:tabs>
          <w:tab w:val="num" w:pos="6457"/>
        </w:tabs>
        <w:ind w:left="6457" w:hanging="360"/>
      </w:pPr>
    </w:lvl>
    <w:lvl w:ilvl="8" w:tplc="84448D6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9530F00C">
      <w:start w:val="1"/>
      <w:numFmt w:val="decimal"/>
      <w:pStyle w:val="ATSNumber1"/>
      <w:lvlText w:val="%1)"/>
      <w:lvlJc w:val="left"/>
      <w:pPr>
        <w:tabs>
          <w:tab w:val="num" w:pos="720"/>
        </w:tabs>
        <w:ind w:left="720" w:hanging="360"/>
      </w:pPr>
    </w:lvl>
    <w:lvl w:ilvl="1" w:tplc="A12237B8" w:tentative="1">
      <w:start w:val="1"/>
      <w:numFmt w:val="lowerLetter"/>
      <w:lvlText w:val="%2."/>
      <w:lvlJc w:val="left"/>
      <w:pPr>
        <w:tabs>
          <w:tab w:val="num" w:pos="1440"/>
        </w:tabs>
        <w:ind w:left="1440" w:hanging="360"/>
      </w:pPr>
    </w:lvl>
    <w:lvl w:ilvl="2" w:tplc="DF0A3818" w:tentative="1">
      <w:start w:val="1"/>
      <w:numFmt w:val="lowerRoman"/>
      <w:lvlText w:val="%3."/>
      <w:lvlJc w:val="right"/>
      <w:pPr>
        <w:tabs>
          <w:tab w:val="num" w:pos="2160"/>
        </w:tabs>
        <w:ind w:left="2160" w:hanging="180"/>
      </w:pPr>
    </w:lvl>
    <w:lvl w:ilvl="3" w:tplc="7CD2F424" w:tentative="1">
      <w:start w:val="1"/>
      <w:numFmt w:val="decimal"/>
      <w:lvlText w:val="%4."/>
      <w:lvlJc w:val="left"/>
      <w:pPr>
        <w:tabs>
          <w:tab w:val="num" w:pos="2880"/>
        </w:tabs>
        <w:ind w:left="2880" w:hanging="360"/>
      </w:pPr>
    </w:lvl>
    <w:lvl w:ilvl="4" w:tplc="A3767612" w:tentative="1">
      <w:start w:val="1"/>
      <w:numFmt w:val="lowerLetter"/>
      <w:lvlText w:val="%5."/>
      <w:lvlJc w:val="left"/>
      <w:pPr>
        <w:tabs>
          <w:tab w:val="num" w:pos="3600"/>
        </w:tabs>
        <w:ind w:left="3600" w:hanging="360"/>
      </w:pPr>
    </w:lvl>
    <w:lvl w:ilvl="5" w:tplc="237EFE70" w:tentative="1">
      <w:start w:val="1"/>
      <w:numFmt w:val="lowerRoman"/>
      <w:lvlText w:val="%6."/>
      <w:lvlJc w:val="right"/>
      <w:pPr>
        <w:tabs>
          <w:tab w:val="num" w:pos="4320"/>
        </w:tabs>
        <w:ind w:left="4320" w:hanging="180"/>
      </w:pPr>
    </w:lvl>
    <w:lvl w:ilvl="6" w:tplc="C83C5288" w:tentative="1">
      <w:start w:val="1"/>
      <w:numFmt w:val="decimal"/>
      <w:lvlText w:val="%7."/>
      <w:lvlJc w:val="left"/>
      <w:pPr>
        <w:tabs>
          <w:tab w:val="num" w:pos="5040"/>
        </w:tabs>
        <w:ind w:left="5040" w:hanging="360"/>
      </w:pPr>
    </w:lvl>
    <w:lvl w:ilvl="7" w:tplc="83DE6636" w:tentative="1">
      <w:start w:val="1"/>
      <w:numFmt w:val="lowerLetter"/>
      <w:lvlText w:val="%8."/>
      <w:lvlJc w:val="left"/>
      <w:pPr>
        <w:tabs>
          <w:tab w:val="num" w:pos="5760"/>
        </w:tabs>
        <w:ind w:left="5760" w:hanging="360"/>
      </w:pPr>
    </w:lvl>
    <w:lvl w:ilvl="8" w:tplc="A18E7216" w:tentative="1">
      <w:start w:val="1"/>
      <w:numFmt w:val="lowerRoman"/>
      <w:lvlText w:val="%9."/>
      <w:lvlJc w:val="right"/>
      <w:pPr>
        <w:tabs>
          <w:tab w:val="num" w:pos="6480"/>
        </w:tabs>
        <w:ind w:left="6480" w:hanging="180"/>
      </w:pPr>
    </w:lvl>
  </w:abstractNum>
  <w:abstractNum w:abstractNumId="17" w15:restartNumberingAfterBreak="0">
    <w:nsid w:val="72D11B65"/>
    <w:multiLevelType w:val="hybridMultilevel"/>
    <w:tmpl w:val="3B56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D2161"/>
    <w:multiLevelType w:val="hybridMultilevel"/>
    <w:tmpl w:val="B0868D9E"/>
    <w:lvl w:ilvl="0" w:tplc="8B5E1F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6C156C" w:tentative="1">
      <w:start w:val="1"/>
      <w:numFmt w:val="bullet"/>
      <w:lvlText w:val="o"/>
      <w:lvlJc w:val="left"/>
      <w:pPr>
        <w:tabs>
          <w:tab w:val="num" w:pos="2517"/>
        </w:tabs>
        <w:ind w:left="2517" w:hanging="360"/>
      </w:pPr>
      <w:rPr>
        <w:rFonts w:ascii="Courier New" w:hAnsi="Courier New" w:cs="Courier New" w:hint="default"/>
      </w:rPr>
    </w:lvl>
    <w:lvl w:ilvl="2" w:tplc="35EC24C2" w:tentative="1">
      <w:start w:val="1"/>
      <w:numFmt w:val="bullet"/>
      <w:lvlText w:val=""/>
      <w:lvlJc w:val="left"/>
      <w:pPr>
        <w:tabs>
          <w:tab w:val="num" w:pos="3237"/>
        </w:tabs>
        <w:ind w:left="3237" w:hanging="360"/>
      </w:pPr>
      <w:rPr>
        <w:rFonts w:ascii="Wingdings" w:hAnsi="Wingdings" w:hint="default"/>
      </w:rPr>
    </w:lvl>
    <w:lvl w:ilvl="3" w:tplc="6846C1EC" w:tentative="1">
      <w:start w:val="1"/>
      <w:numFmt w:val="bullet"/>
      <w:lvlText w:val=""/>
      <w:lvlJc w:val="left"/>
      <w:pPr>
        <w:tabs>
          <w:tab w:val="num" w:pos="3957"/>
        </w:tabs>
        <w:ind w:left="3957" w:hanging="360"/>
      </w:pPr>
      <w:rPr>
        <w:rFonts w:ascii="Symbol" w:hAnsi="Symbol" w:hint="default"/>
      </w:rPr>
    </w:lvl>
    <w:lvl w:ilvl="4" w:tplc="17962530" w:tentative="1">
      <w:start w:val="1"/>
      <w:numFmt w:val="bullet"/>
      <w:lvlText w:val="o"/>
      <w:lvlJc w:val="left"/>
      <w:pPr>
        <w:tabs>
          <w:tab w:val="num" w:pos="4677"/>
        </w:tabs>
        <w:ind w:left="4677" w:hanging="360"/>
      </w:pPr>
      <w:rPr>
        <w:rFonts w:ascii="Courier New" w:hAnsi="Courier New" w:cs="Courier New" w:hint="default"/>
      </w:rPr>
    </w:lvl>
    <w:lvl w:ilvl="5" w:tplc="083C29A6" w:tentative="1">
      <w:start w:val="1"/>
      <w:numFmt w:val="bullet"/>
      <w:lvlText w:val=""/>
      <w:lvlJc w:val="left"/>
      <w:pPr>
        <w:tabs>
          <w:tab w:val="num" w:pos="5397"/>
        </w:tabs>
        <w:ind w:left="5397" w:hanging="360"/>
      </w:pPr>
      <w:rPr>
        <w:rFonts w:ascii="Wingdings" w:hAnsi="Wingdings" w:hint="default"/>
      </w:rPr>
    </w:lvl>
    <w:lvl w:ilvl="6" w:tplc="333009DE" w:tentative="1">
      <w:start w:val="1"/>
      <w:numFmt w:val="bullet"/>
      <w:lvlText w:val=""/>
      <w:lvlJc w:val="left"/>
      <w:pPr>
        <w:tabs>
          <w:tab w:val="num" w:pos="6117"/>
        </w:tabs>
        <w:ind w:left="6117" w:hanging="360"/>
      </w:pPr>
      <w:rPr>
        <w:rFonts w:ascii="Symbol" w:hAnsi="Symbol" w:hint="default"/>
      </w:rPr>
    </w:lvl>
    <w:lvl w:ilvl="7" w:tplc="FA8C6382" w:tentative="1">
      <w:start w:val="1"/>
      <w:numFmt w:val="bullet"/>
      <w:lvlText w:val="o"/>
      <w:lvlJc w:val="left"/>
      <w:pPr>
        <w:tabs>
          <w:tab w:val="num" w:pos="6837"/>
        </w:tabs>
        <w:ind w:left="6837" w:hanging="360"/>
      </w:pPr>
      <w:rPr>
        <w:rFonts w:ascii="Courier New" w:hAnsi="Courier New" w:cs="Courier New" w:hint="default"/>
      </w:rPr>
    </w:lvl>
    <w:lvl w:ilvl="8" w:tplc="DFF450E2"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C40938C">
      <w:start w:val="1"/>
      <w:numFmt w:val="decimal"/>
      <w:pStyle w:val="ATSNumber2"/>
      <w:lvlText w:val="%1."/>
      <w:lvlJc w:val="left"/>
      <w:pPr>
        <w:tabs>
          <w:tab w:val="num" w:pos="720"/>
        </w:tabs>
        <w:ind w:left="720" w:hanging="360"/>
      </w:pPr>
      <w:rPr>
        <w:rFonts w:hint="default"/>
      </w:rPr>
    </w:lvl>
    <w:lvl w:ilvl="1" w:tplc="CC0A59CA" w:tentative="1">
      <w:start w:val="1"/>
      <w:numFmt w:val="lowerLetter"/>
      <w:lvlText w:val="%2."/>
      <w:lvlJc w:val="left"/>
      <w:pPr>
        <w:tabs>
          <w:tab w:val="num" w:pos="1440"/>
        </w:tabs>
        <w:ind w:left="1440" w:hanging="360"/>
      </w:pPr>
    </w:lvl>
    <w:lvl w:ilvl="2" w:tplc="0F32438C" w:tentative="1">
      <w:start w:val="1"/>
      <w:numFmt w:val="lowerRoman"/>
      <w:lvlText w:val="%3."/>
      <w:lvlJc w:val="right"/>
      <w:pPr>
        <w:tabs>
          <w:tab w:val="num" w:pos="2160"/>
        </w:tabs>
        <w:ind w:left="2160" w:hanging="180"/>
      </w:pPr>
    </w:lvl>
    <w:lvl w:ilvl="3" w:tplc="CDF0F7A6" w:tentative="1">
      <w:start w:val="1"/>
      <w:numFmt w:val="decimal"/>
      <w:lvlText w:val="%4."/>
      <w:lvlJc w:val="left"/>
      <w:pPr>
        <w:tabs>
          <w:tab w:val="num" w:pos="2880"/>
        </w:tabs>
        <w:ind w:left="2880" w:hanging="360"/>
      </w:pPr>
    </w:lvl>
    <w:lvl w:ilvl="4" w:tplc="3490E756" w:tentative="1">
      <w:start w:val="1"/>
      <w:numFmt w:val="lowerLetter"/>
      <w:lvlText w:val="%5."/>
      <w:lvlJc w:val="left"/>
      <w:pPr>
        <w:tabs>
          <w:tab w:val="num" w:pos="3600"/>
        </w:tabs>
        <w:ind w:left="3600" w:hanging="360"/>
      </w:pPr>
    </w:lvl>
    <w:lvl w:ilvl="5" w:tplc="51104524" w:tentative="1">
      <w:start w:val="1"/>
      <w:numFmt w:val="lowerRoman"/>
      <w:lvlText w:val="%6."/>
      <w:lvlJc w:val="right"/>
      <w:pPr>
        <w:tabs>
          <w:tab w:val="num" w:pos="4320"/>
        </w:tabs>
        <w:ind w:left="4320" w:hanging="180"/>
      </w:pPr>
    </w:lvl>
    <w:lvl w:ilvl="6" w:tplc="014C4370" w:tentative="1">
      <w:start w:val="1"/>
      <w:numFmt w:val="decimal"/>
      <w:lvlText w:val="%7."/>
      <w:lvlJc w:val="left"/>
      <w:pPr>
        <w:tabs>
          <w:tab w:val="num" w:pos="5040"/>
        </w:tabs>
        <w:ind w:left="5040" w:hanging="360"/>
      </w:pPr>
    </w:lvl>
    <w:lvl w:ilvl="7" w:tplc="929CED12" w:tentative="1">
      <w:start w:val="1"/>
      <w:numFmt w:val="lowerLetter"/>
      <w:lvlText w:val="%8."/>
      <w:lvlJc w:val="left"/>
      <w:pPr>
        <w:tabs>
          <w:tab w:val="num" w:pos="5760"/>
        </w:tabs>
        <w:ind w:left="5760" w:hanging="360"/>
      </w:pPr>
    </w:lvl>
    <w:lvl w:ilvl="8" w:tplc="7054BEF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6"/>
  </w:num>
  <w:num w:numId="14">
    <w:abstractNumId w:val="14"/>
  </w:num>
  <w:num w:numId="15">
    <w:abstractNumId w:val="15"/>
  </w:num>
  <w:num w:numId="16">
    <w:abstractNumId w:val="11"/>
  </w:num>
  <w:num w:numId="17">
    <w:abstractNumId w:val="12"/>
  </w:num>
  <w:num w:numId="18">
    <w:abstractNumId w:val="18"/>
  </w:num>
  <w:num w:numId="19">
    <w:abstractNumId w:val="16"/>
  </w:num>
  <w:num w:numId="20">
    <w:abstractNumId w:val="19"/>
  </w:num>
  <w:num w:numId="21">
    <w:abstractNumId w:val="17"/>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7E"/>
    <w:rsid w:val="006B799E"/>
    <w:rsid w:val="006C5AB7"/>
    <w:rsid w:val="00721314"/>
    <w:rsid w:val="009F7A89"/>
    <w:rsid w:val="00B83CFC"/>
    <w:rsid w:val="00F460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40781"/>
  <w15:chartTrackingRefBased/>
  <w15:docId w15:val="{CEC4B70D-268E-4D4E-BF2E-EA4DE424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link w:val="TextonotaalfinalCar"/>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B83CFC"/>
    <w:rPr>
      <w:sz w:val="22"/>
      <w:szCs w:val="24"/>
      <w:lang w:val="en-GB" w:eastAsia="en-GB"/>
    </w:rPr>
  </w:style>
  <w:style w:type="character" w:customStyle="1" w:styleId="TextonotaalfinalCar">
    <w:name w:val="Texto nota al final Car"/>
    <w:link w:val="Textonotaalfinal"/>
    <w:semiHidden/>
    <w:locked/>
    <w:rsid w:val="00B83CF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aato.org/antarctic-fellowship-recipient-announced-on-antarctica-day/" TargetMode="External"/><Relationship Id="rId2" Type="http://schemas.openxmlformats.org/officeDocument/2006/relationships/numbering" Target="numbering.xml"/><Relationship Id="rId16" Type="http://schemas.openxmlformats.org/officeDocument/2006/relationships/hyperlink" Target="https://iaato.org/supporting-science/the-iaato-antarctic-fellowsh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aato.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aato.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7AD00-6AC5-4AC1-8569-B1BA3EE6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1563</Words>
  <Characters>8911</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7</cp:revision>
  <cp:lastPrinted>2008-01-22T18:20:00Z</cp:lastPrinted>
  <dcterms:created xsi:type="dcterms:W3CDTF">2020-11-26T16:54:00Z</dcterms:created>
  <dcterms:modified xsi:type="dcterms:W3CDTF">2022-05-22T15:18:00Z</dcterms:modified>
</cp:coreProperties>
</file>