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9494" w14:textId="77777777" w:rsidR="00C26F2D" w:rsidRPr="00BF077B" w:rsidRDefault="005871F3" w:rsidP="00BF077B">
      <w:pPr>
        <w:pStyle w:val="ATSNormal"/>
        <w:rPr>
          <w:rStyle w:val="Ttulodellibro"/>
        </w:rPr>
      </w:pPr>
    </w:p>
    <w:p w14:paraId="521BBCFE" w14:textId="77777777" w:rsidR="002F0A13" w:rsidRDefault="005871F3" w:rsidP="004B4A60">
      <w:pPr>
        <w:rPr>
          <w:b/>
          <w:u w:val="single"/>
          <w:lang w:val="es-ES_tradnl"/>
        </w:rPr>
      </w:pPr>
    </w:p>
    <w:p w14:paraId="0D2E4434" w14:textId="77777777" w:rsidR="002F0A13" w:rsidRDefault="005871F3" w:rsidP="004B4A60">
      <w:pPr>
        <w:rPr>
          <w:b/>
          <w:u w:val="single"/>
          <w:lang w:val="es-ES_tradnl"/>
        </w:rPr>
      </w:pPr>
    </w:p>
    <w:p w14:paraId="42FB2FE5" w14:textId="77777777" w:rsidR="002F0A13" w:rsidRDefault="005871F3" w:rsidP="004B4A60">
      <w:pPr>
        <w:rPr>
          <w:b/>
          <w:u w:val="single"/>
          <w:lang w:val="es-ES_tradnl"/>
        </w:rPr>
      </w:pPr>
    </w:p>
    <w:p w14:paraId="39693617" w14:textId="77777777" w:rsidR="002F0A13" w:rsidRDefault="005871F3" w:rsidP="004B4A60">
      <w:pPr>
        <w:rPr>
          <w:b/>
          <w:u w:val="single"/>
          <w:lang w:val="es-ES_tradnl"/>
        </w:rPr>
      </w:pPr>
    </w:p>
    <w:p w14:paraId="144CD84A" w14:textId="77777777" w:rsidR="00C26F2D" w:rsidRDefault="005871F3" w:rsidP="004B4A60">
      <w:pPr>
        <w:rPr>
          <w:b/>
          <w:u w:val="single"/>
          <w:lang w:val="es-ES_tradnl"/>
        </w:rPr>
      </w:pPr>
    </w:p>
    <w:p w14:paraId="631250BE" w14:textId="77777777" w:rsidR="004B4A60" w:rsidRPr="0057246E" w:rsidRDefault="005871F3" w:rsidP="001B789F">
      <w:pPr>
        <w:pStyle w:val="ATSTitle"/>
      </w:pPr>
      <w:bookmarkStart w:id="0" w:name="name"/>
      <w:r>
        <w:t>Research to inform CEP discussions about further development of the Antarctic protected area system</w:t>
      </w:r>
      <w:bookmarkEnd w:id="0"/>
    </w:p>
    <w:p w14:paraId="50B07C43" w14:textId="77777777" w:rsidR="004B4A60" w:rsidRPr="0057246E" w:rsidRDefault="005871F3" w:rsidP="00F75424">
      <w:pPr>
        <w:jc w:val="center"/>
      </w:pPr>
    </w:p>
    <w:p w14:paraId="1D9BFE1E" w14:textId="77777777" w:rsidR="004B4A60" w:rsidRPr="002F0A13" w:rsidRDefault="005871F3" w:rsidP="002F0A13"/>
    <w:p w14:paraId="04708E55" w14:textId="77777777" w:rsidR="004B4A60" w:rsidRDefault="005871F3" w:rsidP="00F75424">
      <w:pPr>
        <w:jc w:val="center"/>
      </w:pPr>
      <w:bookmarkStart w:id="1" w:name="memo"/>
      <w:bookmarkEnd w:id="1"/>
    </w:p>
    <w:p w14:paraId="6D1106A7" w14:textId="77777777" w:rsidR="0097629D" w:rsidRDefault="005871F3" w:rsidP="00F75424">
      <w:pPr>
        <w:jc w:val="center"/>
      </w:pPr>
    </w:p>
    <w:p w14:paraId="41392237" w14:textId="77777777" w:rsidR="0097629D" w:rsidRDefault="005871F3" w:rsidP="00F75424">
      <w:pPr>
        <w:jc w:val="center"/>
      </w:pPr>
    </w:p>
    <w:p w14:paraId="47E26109" w14:textId="77777777" w:rsidR="0097629D" w:rsidRDefault="005871F3" w:rsidP="00F75424">
      <w:pPr>
        <w:jc w:val="center"/>
      </w:pPr>
    </w:p>
    <w:p w14:paraId="52B173EE" w14:textId="77777777" w:rsidR="0097629D" w:rsidRPr="00C26F2D" w:rsidRDefault="005871F3" w:rsidP="00F75424">
      <w:pPr>
        <w:jc w:val="center"/>
      </w:pPr>
    </w:p>
    <w:p w14:paraId="7CB94D3F" w14:textId="77777777" w:rsidR="004B4A60" w:rsidRPr="0057246E" w:rsidRDefault="005871F3" w:rsidP="004B4A60"/>
    <w:p w14:paraId="6BD55748" w14:textId="77777777" w:rsidR="00C26F2D" w:rsidRDefault="005871F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282467C" w14:textId="378A1027" w:rsidR="004B4A60" w:rsidRDefault="005871F3" w:rsidP="00952E9F"/>
    <w:p w14:paraId="70CE23CF" w14:textId="77777777" w:rsidR="005871F3" w:rsidRDefault="005871F3" w:rsidP="005871F3">
      <w:pPr>
        <w:pStyle w:val="ATSHeading1"/>
      </w:pPr>
      <w:r>
        <w:t>Research to inform CEP discussions about further development of the Antarctic protected area system</w:t>
      </w:r>
    </w:p>
    <w:p w14:paraId="2F40A699" w14:textId="77777777" w:rsidR="005871F3" w:rsidRPr="00F87DF4" w:rsidRDefault="005871F3" w:rsidP="005871F3">
      <w:pPr>
        <w:pStyle w:val="ATSNormal"/>
        <w:jc w:val="center"/>
        <w:rPr>
          <w:b/>
        </w:rPr>
      </w:pPr>
      <w:r w:rsidRPr="00F87DF4">
        <w:rPr>
          <w:b/>
        </w:rPr>
        <w:t>Information Paper submitted by Australia</w:t>
      </w:r>
    </w:p>
    <w:p w14:paraId="5E4412B9" w14:textId="77777777" w:rsidR="005871F3" w:rsidRDefault="005871F3" w:rsidP="005871F3">
      <w:pPr>
        <w:pStyle w:val="ATSHeading2"/>
      </w:pPr>
      <w:r>
        <w:t>Summary</w:t>
      </w:r>
    </w:p>
    <w:p w14:paraId="748F268F" w14:textId="77777777" w:rsidR="005871F3" w:rsidRDefault="005871F3" w:rsidP="005871F3">
      <w:pPr>
        <w:pStyle w:val="ATSNormal"/>
      </w:pPr>
      <w:r>
        <w:t xml:space="preserve">Australian researchers are undertaking work to inform ongoing discussions in the Committee for Environmental Protection (CEP) on further developing the Antarctic protected area system. The work includes using relevant continent-wide scientific datasets and contemporary conservation planning software to develop a suite of example scenarios for how a series of </w:t>
      </w:r>
      <w:r w:rsidRPr="002C3276">
        <w:t xml:space="preserve">terrestrial </w:t>
      </w:r>
      <w:r>
        <w:t>protected areas might address the provisions of Article 3.2 of Annex V. Australia will be pleased to keep the Committee updated on this work.</w:t>
      </w:r>
    </w:p>
    <w:p w14:paraId="32C7369C" w14:textId="77777777" w:rsidR="005871F3" w:rsidRDefault="005871F3" w:rsidP="005871F3">
      <w:pPr>
        <w:pStyle w:val="ATSHeading2"/>
      </w:pPr>
      <w:r>
        <w:t>Background</w:t>
      </w:r>
    </w:p>
    <w:p w14:paraId="1F86BF7D" w14:textId="77777777" w:rsidR="005871F3" w:rsidRPr="00C74857" w:rsidRDefault="005871F3" w:rsidP="005871F3">
      <w:pPr>
        <w:pStyle w:val="ATSNormal"/>
        <w:rPr>
          <w:lang w:val="en-AU"/>
        </w:rPr>
      </w:pPr>
      <w:r w:rsidRPr="00B238AC">
        <w:rPr>
          <w:lang w:val="en-AU"/>
        </w:rPr>
        <w:t xml:space="preserve">Article 3.2 of Annex V to the Environmental Protocol states that ‘Parties shall seek to identify, within a systematic environmental-geographic framework, and to include in the series of Antarctic Specially Protected Areas’ (ASPAs), areas </w:t>
      </w:r>
      <w:r w:rsidRPr="00C74857">
        <w:rPr>
          <w:lang w:val="en-AU"/>
        </w:rPr>
        <w:t>with</w:t>
      </w:r>
      <w:r w:rsidRPr="00B238AC">
        <w:rPr>
          <w:lang w:val="en-AU"/>
        </w:rPr>
        <w:t xml:space="preserve"> specified characteristics and values.</w:t>
      </w:r>
      <w:r w:rsidRPr="00C74857">
        <w:rPr>
          <w:lang w:val="en-AU"/>
        </w:rPr>
        <w:t xml:space="preserve"> In accordance with Article 12(g) of the Protocol, the CEP is responsible for providing advice and formulatin</w:t>
      </w:r>
      <w:r>
        <w:rPr>
          <w:lang w:val="en-AU"/>
        </w:rPr>
        <w:t>g</w:t>
      </w:r>
      <w:r w:rsidRPr="00C74857">
        <w:rPr>
          <w:lang w:val="en-AU"/>
        </w:rPr>
        <w:t xml:space="preserve"> recommendations to Parties on ‘the operation and further elaboration of the Antarctic Protected Area system’.</w:t>
      </w:r>
    </w:p>
    <w:p w14:paraId="0F6CD676" w14:textId="77777777" w:rsidR="005871F3" w:rsidRDefault="005871F3" w:rsidP="005871F3">
      <w:pPr>
        <w:pStyle w:val="ATSNormal"/>
        <w:rPr>
          <w:lang w:val="en-AU"/>
        </w:rPr>
      </w:pPr>
      <w:r w:rsidRPr="00B238AC">
        <w:rPr>
          <w:lang w:val="en-AU"/>
        </w:rPr>
        <w:t>The CEP has regularly expressed its desire to move towards a more systematic and holistic approach to the further development of the Antarctic protected areas system</w:t>
      </w:r>
      <w:r>
        <w:rPr>
          <w:lang w:val="en-AU"/>
        </w:rPr>
        <w:t xml:space="preserve">. It </w:t>
      </w:r>
      <w:r w:rsidRPr="00B238AC">
        <w:rPr>
          <w:lang w:val="en-AU"/>
        </w:rPr>
        <w:t>has recognised the importance of drawing on the best available scientific information to inform its work, and the important role played by the Scientific Committee on Antarctic Research (SCAR) in providing high quality, independent scientific advice.</w:t>
      </w:r>
    </w:p>
    <w:p w14:paraId="5D6C1B3F" w14:textId="77777777" w:rsidR="005871F3" w:rsidRDefault="005871F3" w:rsidP="005871F3">
      <w:pPr>
        <w:pStyle w:val="ATSNormal"/>
      </w:pPr>
      <w:r>
        <w:t xml:space="preserve">To support discussion and collaboration on these matters, SCAR and the CEP held a joint workshop prior to CEP XXII (2019), on Further Developing the Antarctic Protected Area System. A report on the workshop outcomes was provided in </w:t>
      </w:r>
      <w:hyperlink r:id="rId11" w:history="1">
        <w:r w:rsidRPr="00533FE1">
          <w:rPr>
            <w:rStyle w:val="Hipervnculo"/>
          </w:rPr>
          <w:t>ATCM XLII/WP70</w:t>
        </w:r>
      </w:hyperlink>
      <w:r>
        <w:t xml:space="preserve"> and </w:t>
      </w:r>
      <w:hyperlink r:id="rId12" w:history="1">
        <w:r w:rsidRPr="00533FE1">
          <w:rPr>
            <w:rStyle w:val="Hipervnculo"/>
          </w:rPr>
          <w:t>ATCM XLII/IP165</w:t>
        </w:r>
      </w:hyperlink>
      <w:r>
        <w:t>.</w:t>
      </w:r>
    </w:p>
    <w:p w14:paraId="175E2A70" w14:textId="77777777" w:rsidR="005871F3" w:rsidRDefault="005871F3" w:rsidP="005871F3">
      <w:pPr>
        <w:pStyle w:val="ATSNormal"/>
      </w:pPr>
      <w:r>
        <w:t xml:space="preserve">In its discussion of the workshop outcomes, </w:t>
      </w:r>
      <w:r w:rsidRPr="00FF0437">
        <w:t xml:space="preserve">the Committee encouraged Members, SCAR and other Observers and Experts to </w:t>
      </w:r>
      <w:r>
        <w:t>‘</w:t>
      </w:r>
      <w:r w:rsidRPr="00FF0437">
        <w:t>prioritise and support further research that will build on the existing body of scientific evidence to support the further development of the protected area system in accordance with Article 3.2 of Annex</w:t>
      </w:r>
      <w:r>
        <w:t> </w:t>
      </w:r>
      <w:r w:rsidRPr="00FF0437">
        <w:t>V</w:t>
      </w:r>
      <w:r>
        <w:t>’ (CEP XXII Final Report, para. 182)</w:t>
      </w:r>
      <w:r w:rsidRPr="00FF0437">
        <w:t>.</w:t>
      </w:r>
      <w:r w:rsidRPr="00C74857">
        <w:t xml:space="preserve"> </w:t>
      </w:r>
      <w:r>
        <w:t>The workshop report lists datasets and other scientific information identified during the workshop that might be drawn on to support such work (</w:t>
      </w:r>
      <w:hyperlink r:id="rId13" w:history="1">
        <w:r w:rsidRPr="00533FE1">
          <w:rPr>
            <w:rStyle w:val="Hipervnculo"/>
          </w:rPr>
          <w:t>Attachment B</w:t>
        </w:r>
      </w:hyperlink>
      <w:r>
        <w:t xml:space="preserve"> to ATCM XLII/IP165).</w:t>
      </w:r>
    </w:p>
    <w:p w14:paraId="128EC968" w14:textId="77777777" w:rsidR="005871F3" w:rsidRDefault="005871F3" w:rsidP="005871F3">
      <w:pPr>
        <w:pStyle w:val="ATSHeading2"/>
      </w:pPr>
      <w:r>
        <w:t>Outline of the research</w:t>
      </w:r>
    </w:p>
    <w:p w14:paraId="0AD14F89" w14:textId="77777777" w:rsidR="005871F3" w:rsidRDefault="005871F3" w:rsidP="005871F3">
      <w:pPr>
        <w:pStyle w:val="ATSNormal"/>
      </w:pPr>
      <w:r>
        <w:t xml:space="preserve">Australian researchers are undertaking work intended to inform CEP discussions about further developing the Antarctic protected area system. This work is being undertaken by teams at the Australian Antarctic Division, Monash University, the Queensland University of Technology, and through the new Australian Research Council Special Research Initiative </w:t>
      </w:r>
      <w:r>
        <w:rPr>
          <w:i/>
          <w:iCs/>
        </w:rPr>
        <w:t>Securing Antarctica’s Environmental Future</w:t>
      </w:r>
      <w:r w:rsidRPr="00CC5BC6">
        <w:rPr>
          <w:rStyle w:val="Refdenotaalpie"/>
          <w:iCs/>
        </w:rPr>
        <w:footnoteReference w:id="1"/>
      </w:r>
      <w:r>
        <w:t>.</w:t>
      </w:r>
    </w:p>
    <w:p w14:paraId="1AE4E974" w14:textId="77777777" w:rsidR="005871F3" w:rsidRDefault="005871F3" w:rsidP="005871F3">
      <w:pPr>
        <w:pStyle w:val="ATSNormal"/>
      </w:pPr>
      <w:r>
        <w:lastRenderedPageBreak/>
        <w:t xml:space="preserve">The research aims to identify a suite of example scenarios for how a series </w:t>
      </w:r>
      <w:r w:rsidRPr="002C3276">
        <w:t>of terrestrial</w:t>
      </w:r>
      <w:r>
        <w:t xml:space="preserve"> ASPAs might address the provisions of Article 3.2 of Annex V. It involves acquiring and analysing relevant scientific datasets, by using conservation planning software</w:t>
      </w:r>
      <w:r>
        <w:rPr>
          <w:rStyle w:val="Refdenotaalpie"/>
        </w:rPr>
        <w:footnoteReference w:id="2"/>
      </w:r>
      <w:r>
        <w:t xml:space="preserve"> to run optimisation processes with a variety of input settings.</w:t>
      </w:r>
    </w:p>
    <w:p w14:paraId="5ADCC0D6" w14:textId="77777777" w:rsidR="005871F3" w:rsidRDefault="005871F3" w:rsidP="005871F3">
      <w:pPr>
        <w:pStyle w:val="ATSNormal"/>
      </w:pPr>
      <w:r>
        <w:t>Continent-wide datasets being considered for use in the analyses include:</w:t>
      </w:r>
    </w:p>
    <w:tbl>
      <w:tblPr>
        <w:tblStyle w:val="Tablaconcuadrcula"/>
        <w:tblW w:w="0" w:type="auto"/>
        <w:tblLook w:val="04A0" w:firstRow="1" w:lastRow="0" w:firstColumn="1" w:lastColumn="0" w:noHBand="0" w:noVBand="1"/>
      </w:tblPr>
      <w:tblGrid>
        <w:gridCol w:w="5586"/>
        <w:gridCol w:w="2909"/>
      </w:tblGrid>
      <w:tr w:rsidR="005871F3" w14:paraId="58405184" w14:textId="77777777" w:rsidTr="00672401">
        <w:tc>
          <w:tcPr>
            <w:tcW w:w="0" w:type="auto"/>
            <w:shd w:val="clear" w:color="auto" w:fill="auto"/>
          </w:tcPr>
          <w:p w14:paraId="61DEA656" w14:textId="77777777" w:rsidR="005871F3" w:rsidRPr="00AD4358" w:rsidRDefault="005871F3" w:rsidP="00672401">
            <w:pPr>
              <w:pStyle w:val="ATSNormal"/>
            </w:pPr>
            <w:r w:rsidRPr="009A5531">
              <w:t>Antarctic Specially Protected Areas</w:t>
            </w:r>
          </w:p>
        </w:tc>
        <w:tc>
          <w:tcPr>
            <w:tcW w:w="0" w:type="auto"/>
          </w:tcPr>
          <w:p w14:paraId="35A00DDB" w14:textId="77777777" w:rsidR="005871F3" w:rsidRPr="00C31C52" w:rsidRDefault="005871F3" w:rsidP="00672401">
            <w:pPr>
              <w:pStyle w:val="ATSNormal"/>
              <w:rPr>
                <w:highlight w:val="yellow"/>
              </w:rPr>
            </w:pPr>
            <w:r w:rsidRPr="009A5531">
              <w:t xml:space="preserve">Wauchope et al. </w:t>
            </w:r>
            <w:r>
              <w:t>(</w:t>
            </w:r>
            <w:r w:rsidRPr="009A5531">
              <w:t>2019</w:t>
            </w:r>
            <w:r>
              <w:t>)</w:t>
            </w:r>
          </w:p>
        </w:tc>
      </w:tr>
      <w:tr w:rsidR="005871F3" w:rsidRPr="005871F3" w14:paraId="26D1EE7F" w14:textId="77777777" w:rsidTr="00672401">
        <w:tc>
          <w:tcPr>
            <w:tcW w:w="0" w:type="auto"/>
            <w:shd w:val="clear" w:color="auto" w:fill="auto"/>
          </w:tcPr>
          <w:p w14:paraId="36840F51" w14:textId="77777777" w:rsidR="005871F3" w:rsidRPr="009A5531" w:rsidRDefault="005871F3" w:rsidP="00672401">
            <w:pPr>
              <w:pStyle w:val="ATSNormal"/>
            </w:pPr>
            <w:r w:rsidRPr="009A5531">
              <w:t xml:space="preserve">Antarctic Conservation Biogeographic Regions </w:t>
            </w:r>
          </w:p>
        </w:tc>
        <w:tc>
          <w:tcPr>
            <w:tcW w:w="0" w:type="auto"/>
          </w:tcPr>
          <w:p w14:paraId="034C7284" w14:textId="77777777" w:rsidR="005871F3" w:rsidRPr="005871F3" w:rsidRDefault="005871F3" w:rsidP="00672401">
            <w:pPr>
              <w:pStyle w:val="ATSNormal"/>
              <w:rPr>
                <w:lang w:val="fr-FR"/>
              </w:rPr>
            </w:pPr>
            <w:r w:rsidRPr="005871F3">
              <w:rPr>
                <w:lang w:val="fr-FR"/>
              </w:rPr>
              <w:t>Terauds et al. (2012); Terauds &amp; Lee (2016)</w:t>
            </w:r>
          </w:p>
        </w:tc>
      </w:tr>
      <w:tr w:rsidR="005871F3" w14:paraId="67B30794" w14:textId="77777777" w:rsidTr="00672401">
        <w:tc>
          <w:tcPr>
            <w:tcW w:w="0" w:type="auto"/>
            <w:shd w:val="clear" w:color="auto" w:fill="auto"/>
          </w:tcPr>
          <w:p w14:paraId="5EB74EFC" w14:textId="77777777" w:rsidR="005871F3" w:rsidRPr="009A5531" w:rsidRDefault="005871F3" w:rsidP="00672401">
            <w:pPr>
              <w:pStyle w:val="ATSNormal"/>
            </w:pPr>
            <w:r w:rsidRPr="009A5531">
              <w:t>Important Bird Areas</w:t>
            </w:r>
          </w:p>
        </w:tc>
        <w:tc>
          <w:tcPr>
            <w:tcW w:w="0" w:type="auto"/>
          </w:tcPr>
          <w:p w14:paraId="395E0A04" w14:textId="77777777" w:rsidR="005871F3" w:rsidRPr="009A5531" w:rsidRDefault="005871F3" w:rsidP="00672401">
            <w:pPr>
              <w:pStyle w:val="ATSNormal"/>
            </w:pPr>
            <w:r w:rsidRPr="009A5531">
              <w:t>Harris et al. (2015)</w:t>
            </w:r>
          </w:p>
        </w:tc>
      </w:tr>
      <w:tr w:rsidR="005871F3" w14:paraId="7A92E8F5" w14:textId="77777777" w:rsidTr="00672401">
        <w:tc>
          <w:tcPr>
            <w:tcW w:w="0" w:type="auto"/>
            <w:shd w:val="clear" w:color="auto" w:fill="auto"/>
          </w:tcPr>
          <w:p w14:paraId="5A36A795" w14:textId="77777777" w:rsidR="005871F3" w:rsidRPr="009A5531" w:rsidRDefault="005871F3" w:rsidP="00672401">
            <w:pPr>
              <w:pStyle w:val="ATSNormal"/>
            </w:pPr>
            <w:r w:rsidRPr="009A5531">
              <w:t>Ice-free areas</w:t>
            </w:r>
          </w:p>
        </w:tc>
        <w:tc>
          <w:tcPr>
            <w:tcW w:w="0" w:type="auto"/>
          </w:tcPr>
          <w:p w14:paraId="7DC7F1C4" w14:textId="77777777" w:rsidR="005871F3" w:rsidRPr="009A5531" w:rsidRDefault="005871F3" w:rsidP="00672401">
            <w:pPr>
              <w:pStyle w:val="ATSNormal"/>
            </w:pPr>
            <w:r w:rsidRPr="005871F3">
              <w:rPr>
                <w:lang w:val="es-AR"/>
              </w:rPr>
              <w:t xml:space="preserve">Antarctic Digital Database; Lee et al. </w:t>
            </w:r>
            <w:r w:rsidRPr="009A5531">
              <w:t>(2017)</w:t>
            </w:r>
          </w:p>
        </w:tc>
      </w:tr>
      <w:tr w:rsidR="005871F3" w14:paraId="1407FA25" w14:textId="77777777" w:rsidTr="00672401">
        <w:tc>
          <w:tcPr>
            <w:tcW w:w="0" w:type="auto"/>
            <w:shd w:val="clear" w:color="auto" w:fill="auto"/>
          </w:tcPr>
          <w:p w14:paraId="70FFE979" w14:textId="77777777" w:rsidR="005871F3" w:rsidRPr="009A5531" w:rsidRDefault="005871F3" w:rsidP="00672401">
            <w:pPr>
              <w:pStyle w:val="ATSNormal"/>
            </w:pPr>
            <w:r w:rsidRPr="009A5531">
              <w:t>Lakes and streams</w:t>
            </w:r>
          </w:p>
        </w:tc>
        <w:tc>
          <w:tcPr>
            <w:tcW w:w="0" w:type="auto"/>
          </w:tcPr>
          <w:p w14:paraId="24ACCB82" w14:textId="77777777" w:rsidR="005871F3" w:rsidRPr="009A5531" w:rsidRDefault="005871F3" w:rsidP="00672401">
            <w:pPr>
              <w:pStyle w:val="ATSNormal"/>
            </w:pPr>
            <w:r w:rsidRPr="009A5531">
              <w:t>Antarctic Digital Database</w:t>
            </w:r>
          </w:p>
        </w:tc>
      </w:tr>
      <w:tr w:rsidR="005871F3" w14:paraId="6AE181C6" w14:textId="77777777" w:rsidTr="00672401">
        <w:tc>
          <w:tcPr>
            <w:tcW w:w="0" w:type="auto"/>
            <w:shd w:val="clear" w:color="auto" w:fill="auto"/>
          </w:tcPr>
          <w:p w14:paraId="11140E99" w14:textId="77777777" w:rsidR="005871F3" w:rsidRPr="009A5531" w:rsidRDefault="005871F3" w:rsidP="00672401">
            <w:pPr>
              <w:pStyle w:val="ATSNormal"/>
            </w:pPr>
            <w:r w:rsidRPr="009A5531">
              <w:t>Human footprint</w:t>
            </w:r>
          </w:p>
        </w:tc>
        <w:tc>
          <w:tcPr>
            <w:tcW w:w="0" w:type="auto"/>
          </w:tcPr>
          <w:p w14:paraId="4980BD0D" w14:textId="77777777" w:rsidR="005871F3" w:rsidRPr="009A5531" w:rsidRDefault="005871F3" w:rsidP="00672401">
            <w:pPr>
              <w:pStyle w:val="ATSNormal"/>
            </w:pPr>
            <w:r w:rsidRPr="009A5531">
              <w:t>Brooks et al. (2019)</w:t>
            </w:r>
          </w:p>
        </w:tc>
      </w:tr>
      <w:tr w:rsidR="005871F3" w14:paraId="4FB6F855" w14:textId="77777777" w:rsidTr="00672401">
        <w:tc>
          <w:tcPr>
            <w:tcW w:w="0" w:type="auto"/>
            <w:shd w:val="clear" w:color="auto" w:fill="auto"/>
          </w:tcPr>
          <w:p w14:paraId="683C71E7" w14:textId="77777777" w:rsidR="005871F3" w:rsidRPr="009A5531" w:rsidRDefault="005871F3" w:rsidP="00672401">
            <w:pPr>
              <w:pStyle w:val="ATSNormal"/>
            </w:pPr>
            <w:r w:rsidRPr="009A5531">
              <w:t>Wilderness and inviolate layers</w:t>
            </w:r>
          </w:p>
        </w:tc>
        <w:tc>
          <w:tcPr>
            <w:tcW w:w="0" w:type="auto"/>
          </w:tcPr>
          <w:p w14:paraId="71EA9730" w14:textId="77777777" w:rsidR="005871F3" w:rsidRPr="009A5531" w:rsidRDefault="005871F3" w:rsidP="00672401">
            <w:pPr>
              <w:pStyle w:val="ATSNormal"/>
            </w:pPr>
            <w:r w:rsidRPr="009A5531">
              <w:t xml:space="preserve">Derived from </w:t>
            </w:r>
            <w:proofErr w:type="spellStart"/>
            <w:r w:rsidRPr="009A5531">
              <w:t>Leihy</w:t>
            </w:r>
            <w:proofErr w:type="spellEnd"/>
            <w:r w:rsidRPr="009A5531">
              <w:t xml:space="preserve"> et al. (2020)</w:t>
            </w:r>
          </w:p>
        </w:tc>
      </w:tr>
      <w:tr w:rsidR="005871F3" w14:paraId="0403B3DC" w14:textId="77777777" w:rsidTr="00672401">
        <w:tc>
          <w:tcPr>
            <w:tcW w:w="0" w:type="auto"/>
            <w:shd w:val="clear" w:color="auto" w:fill="auto"/>
          </w:tcPr>
          <w:p w14:paraId="3961C44C" w14:textId="77777777" w:rsidR="005871F3" w:rsidRPr="009A5531" w:rsidRDefault="005871F3" w:rsidP="00672401">
            <w:pPr>
              <w:pStyle w:val="ATSNormal"/>
            </w:pPr>
            <w:r w:rsidRPr="009A5531">
              <w:t>Type Locality data</w:t>
            </w:r>
          </w:p>
        </w:tc>
        <w:tc>
          <w:tcPr>
            <w:tcW w:w="0" w:type="auto"/>
          </w:tcPr>
          <w:p w14:paraId="76B47544" w14:textId="77777777" w:rsidR="005871F3" w:rsidRPr="009A5531" w:rsidRDefault="005871F3" w:rsidP="00672401">
            <w:pPr>
              <w:pStyle w:val="ATSNormal"/>
            </w:pPr>
            <w:r w:rsidRPr="009A5531">
              <w:t>Phillips et al. (202</w:t>
            </w:r>
            <w:r>
              <w:t>2</w:t>
            </w:r>
            <w:r w:rsidRPr="009A5531">
              <w:t>)</w:t>
            </w:r>
          </w:p>
        </w:tc>
      </w:tr>
      <w:tr w:rsidR="005871F3" w14:paraId="137B844C" w14:textId="77777777" w:rsidTr="00672401">
        <w:tc>
          <w:tcPr>
            <w:tcW w:w="0" w:type="auto"/>
            <w:shd w:val="clear" w:color="auto" w:fill="auto"/>
          </w:tcPr>
          <w:p w14:paraId="1D179FAB" w14:textId="77777777" w:rsidR="005871F3" w:rsidRPr="009A5531" w:rsidRDefault="005871F3" w:rsidP="00672401">
            <w:pPr>
              <w:pStyle w:val="ATSNormal"/>
            </w:pPr>
            <w:r w:rsidRPr="009A5531">
              <w:t>Geothermal hotspots</w:t>
            </w:r>
          </w:p>
        </w:tc>
        <w:tc>
          <w:tcPr>
            <w:tcW w:w="0" w:type="auto"/>
          </w:tcPr>
          <w:p w14:paraId="2E55250F" w14:textId="77777777" w:rsidR="005871F3" w:rsidRPr="009A5531" w:rsidRDefault="005871F3" w:rsidP="00672401">
            <w:pPr>
              <w:pStyle w:val="ATSNormal"/>
            </w:pPr>
            <w:r w:rsidRPr="009A5531">
              <w:t>Fraser et al. (2014)</w:t>
            </w:r>
          </w:p>
        </w:tc>
      </w:tr>
      <w:tr w:rsidR="005871F3" w14:paraId="26C5AED3" w14:textId="77777777" w:rsidTr="00672401">
        <w:tc>
          <w:tcPr>
            <w:tcW w:w="0" w:type="auto"/>
            <w:shd w:val="clear" w:color="auto" w:fill="auto"/>
          </w:tcPr>
          <w:p w14:paraId="048F14E8" w14:textId="77777777" w:rsidR="005871F3" w:rsidRPr="009A5531" w:rsidRDefault="005871F3" w:rsidP="00672401">
            <w:pPr>
              <w:pStyle w:val="ATSNormal"/>
            </w:pPr>
            <w:r w:rsidRPr="009A5531">
              <w:t>Biodiversity groups represented by species distribution modelling data</w:t>
            </w:r>
          </w:p>
        </w:tc>
        <w:tc>
          <w:tcPr>
            <w:tcW w:w="0" w:type="auto"/>
          </w:tcPr>
          <w:p w14:paraId="0021ABBA" w14:textId="77777777" w:rsidR="005871F3" w:rsidRPr="009A5531" w:rsidRDefault="005871F3" w:rsidP="00672401">
            <w:pPr>
              <w:pStyle w:val="ATSNormal"/>
            </w:pPr>
            <w:proofErr w:type="spellStart"/>
            <w:r w:rsidRPr="009A5531">
              <w:t>Terauds</w:t>
            </w:r>
            <w:proofErr w:type="spellEnd"/>
            <w:r w:rsidRPr="009A5531">
              <w:t xml:space="preserve"> et al. (in prep</w:t>
            </w:r>
            <w:r>
              <w:t xml:space="preserve">aration </w:t>
            </w:r>
            <w:r w:rsidRPr="009A5531">
              <w:t>1)</w:t>
            </w:r>
          </w:p>
        </w:tc>
      </w:tr>
      <w:tr w:rsidR="005871F3" w14:paraId="4F5D8449" w14:textId="77777777" w:rsidTr="00672401">
        <w:tc>
          <w:tcPr>
            <w:tcW w:w="0" w:type="auto"/>
            <w:shd w:val="clear" w:color="auto" w:fill="auto"/>
          </w:tcPr>
          <w:p w14:paraId="08D0AD99" w14:textId="77777777" w:rsidR="005871F3" w:rsidRPr="009A5531" w:rsidRDefault="005871F3" w:rsidP="00672401">
            <w:pPr>
              <w:pStyle w:val="ATSNormal"/>
            </w:pPr>
            <w:r w:rsidRPr="009A5531">
              <w:t xml:space="preserve">Biodiversity groups represented by occurrence records </w:t>
            </w:r>
          </w:p>
        </w:tc>
        <w:tc>
          <w:tcPr>
            <w:tcW w:w="0" w:type="auto"/>
          </w:tcPr>
          <w:p w14:paraId="48A07962" w14:textId="77777777" w:rsidR="005871F3" w:rsidRPr="009A5531" w:rsidRDefault="005871F3" w:rsidP="00672401">
            <w:pPr>
              <w:pStyle w:val="ATSNormal"/>
            </w:pPr>
            <w:proofErr w:type="spellStart"/>
            <w:r w:rsidRPr="009A5531">
              <w:t>Terauds</w:t>
            </w:r>
            <w:proofErr w:type="spellEnd"/>
            <w:r w:rsidRPr="009A5531">
              <w:t xml:space="preserve"> et al. (in </w:t>
            </w:r>
            <w:r>
              <w:t xml:space="preserve">preparation </w:t>
            </w:r>
            <w:r w:rsidRPr="009A5531">
              <w:t>2)</w:t>
            </w:r>
          </w:p>
        </w:tc>
      </w:tr>
      <w:tr w:rsidR="005871F3" w14:paraId="722C6B9F" w14:textId="77777777" w:rsidTr="00672401">
        <w:tc>
          <w:tcPr>
            <w:tcW w:w="0" w:type="auto"/>
            <w:shd w:val="clear" w:color="auto" w:fill="auto"/>
          </w:tcPr>
          <w:p w14:paraId="51A8BCA2" w14:textId="77777777" w:rsidR="005871F3" w:rsidRPr="009A5531" w:rsidRDefault="005871F3" w:rsidP="00672401">
            <w:pPr>
              <w:pStyle w:val="ATSNormal"/>
            </w:pPr>
            <w:r w:rsidRPr="009A5531">
              <w:t>Ecosystem typologies, representing ‘habitats’ delineated by a suite of environmental parameters</w:t>
            </w:r>
          </w:p>
        </w:tc>
        <w:tc>
          <w:tcPr>
            <w:tcW w:w="0" w:type="auto"/>
          </w:tcPr>
          <w:p w14:paraId="51598411" w14:textId="77777777" w:rsidR="005871F3" w:rsidRPr="009A5531" w:rsidRDefault="005871F3" w:rsidP="00672401">
            <w:pPr>
              <w:pStyle w:val="ATSNormal"/>
            </w:pPr>
            <w:r w:rsidRPr="009A5531">
              <w:t>Toth et al. (in prep</w:t>
            </w:r>
            <w:r>
              <w:t>aration)</w:t>
            </w:r>
          </w:p>
        </w:tc>
      </w:tr>
    </w:tbl>
    <w:p w14:paraId="2D299EBC" w14:textId="77777777" w:rsidR="005871F3" w:rsidRDefault="005871F3" w:rsidP="005871F3">
      <w:pPr>
        <w:pStyle w:val="ATSNormal"/>
      </w:pPr>
      <w:r w:rsidRPr="00FF4E47">
        <w:t xml:space="preserve">The scenarios generated through the analysis will provide insight into the influence of specific spatial layers (and the values they represent) on the distribution and extent of potential future protected areas. </w:t>
      </w:r>
    </w:p>
    <w:p w14:paraId="30BB6265" w14:textId="77777777" w:rsidR="005871F3" w:rsidRDefault="005871F3" w:rsidP="005871F3">
      <w:pPr>
        <w:pStyle w:val="ATSNormal"/>
      </w:pPr>
      <w:r w:rsidRPr="00CC5BC6">
        <w:t xml:space="preserve">Australia will be pleased to keep </w:t>
      </w:r>
      <w:r>
        <w:t xml:space="preserve">interested Members </w:t>
      </w:r>
      <w:r w:rsidRPr="00CC5BC6">
        <w:t>updated on this work</w:t>
      </w:r>
      <w:r>
        <w:t xml:space="preserve"> and, as appropriate, will bring forward further information to future CEP meetings</w:t>
      </w:r>
      <w:r w:rsidRPr="00CC5BC6">
        <w:t>.</w:t>
      </w:r>
    </w:p>
    <w:p w14:paraId="1FBA9D34" w14:textId="77777777" w:rsidR="005871F3" w:rsidRPr="005871F3" w:rsidRDefault="005871F3" w:rsidP="005871F3">
      <w:pPr>
        <w:pStyle w:val="ATSHeading2"/>
        <w:rPr>
          <w:lang w:val="es-AR"/>
        </w:rPr>
      </w:pPr>
      <w:r w:rsidRPr="005871F3">
        <w:rPr>
          <w:lang w:val="es-AR"/>
        </w:rPr>
        <w:t>References</w:t>
      </w:r>
    </w:p>
    <w:p w14:paraId="552D8591" w14:textId="77777777" w:rsidR="005871F3" w:rsidRPr="005871F3" w:rsidRDefault="005871F3" w:rsidP="005871F3">
      <w:pPr>
        <w:pStyle w:val="ATSNormal"/>
        <w:rPr>
          <w:lang w:val="es-AR"/>
        </w:rPr>
      </w:pPr>
      <w:r w:rsidRPr="005871F3">
        <w:rPr>
          <w:lang w:val="es-AR"/>
        </w:rPr>
        <w:t>Antarctic Digital Database (</w:t>
      </w:r>
      <w:hyperlink r:id="rId14" w:history="1">
        <w:r w:rsidRPr="005871F3">
          <w:rPr>
            <w:rStyle w:val="Hipervnculo"/>
            <w:lang w:val="es-AR"/>
          </w:rPr>
          <w:t>https://www.add.scar.org/</w:t>
        </w:r>
      </w:hyperlink>
      <w:r w:rsidRPr="005871F3">
        <w:rPr>
          <w:lang w:val="es-AR"/>
        </w:rPr>
        <w:t>)</w:t>
      </w:r>
    </w:p>
    <w:p w14:paraId="4E69F5EC" w14:textId="77777777" w:rsidR="005871F3" w:rsidRPr="00105343" w:rsidRDefault="005871F3" w:rsidP="005871F3">
      <w:pPr>
        <w:pStyle w:val="ATSNormal"/>
      </w:pPr>
      <w:r w:rsidRPr="00105343">
        <w:t xml:space="preserve">Brooks, S. T., </w:t>
      </w:r>
      <w:proofErr w:type="spellStart"/>
      <w:r w:rsidRPr="00105343">
        <w:t>Jabour</w:t>
      </w:r>
      <w:proofErr w:type="spellEnd"/>
      <w:r w:rsidRPr="00105343">
        <w:t xml:space="preserve">, J., Van Den Hoff, J., &amp; Bergstrom, D. M. (2019). Our footprint </w:t>
      </w:r>
      <w:proofErr w:type="gramStart"/>
      <w:r w:rsidRPr="00105343">
        <w:t>on</w:t>
      </w:r>
      <w:proofErr w:type="gramEnd"/>
      <w:r w:rsidRPr="00105343">
        <w:t xml:space="preserve"> Antarctica competes with nature for rare ice-free land. </w:t>
      </w:r>
      <w:r w:rsidRPr="00105343">
        <w:rPr>
          <w:i/>
        </w:rPr>
        <w:t>Nature Sustainability</w:t>
      </w:r>
      <w:r w:rsidRPr="00105343">
        <w:t xml:space="preserve"> 2, 185-190. </w:t>
      </w:r>
    </w:p>
    <w:p w14:paraId="520C4E4D" w14:textId="77777777" w:rsidR="005871F3" w:rsidRPr="00105343" w:rsidRDefault="005871F3" w:rsidP="005871F3">
      <w:pPr>
        <w:pStyle w:val="ATSNormal"/>
      </w:pPr>
      <w:r w:rsidRPr="00105343">
        <w:lastRenderedPageBreak/>
        <w:t xml:space="preserve">Fraser, C. I, </w:t>
      </w:r>
      <w:proofErr w:type="spellStart"/>
      <w:r w:rsidRPr="00105343">
        <w:t>Terauds</w:t>
      </w:r>
      <w:proofErr w:type="spellEnd"/>
      <w:r w:rsidRPr="00105343">
        <w:t xml:space="preserve">, A., Smellie, J., Convey, P., and </w:t>
      </w:r>
      <w:proofErr w:type="spellStart"/>
      <w:r w:rsidRPr="00105343">
        <w:t>Chown</w:t>
      </w:r>
      <w:proofErr w:type="spellEnd"/>
      <w:r w:rsidRPr="00105343">
        <w:t xml:space="preserve">, S. L. (2014) Geothermal activity helps life survive glacial cycles. </w:t>
      </w:r>
      <w:r w:rsidRPr="00105343">
        <w:rPr>
          <w:i/>
        </w:rPr>
        <w:t xml:space="preserve">Proceedings of the National Academy of Sciences of the United States of America </w:t>
      </w:r>
      <w:r w:rsidRPr="00105343">
        <w:t>111</w:t>
      </w:r>
      <w:r>
        <w:t xml:space="preserve">, </w:t>
      </w:r>
      <w:r w:rsidRPr="00105343">
        <w:t>5634-5639.</w:t>
      </w:r>
    </w:p>
    <w:p w14:paraId="3D24CB92" w14:textId="77777777" w:rsidR="005871F3" w:rsidRPr="009A5531" w:rsidRDefault="005871F3" w:rsidP="005871F3">
      <w:pPr>
        <w:pStyle w:val="ATSNormal"/>
      </w:pPr>
      <w:r w:rsidRPr="005871F3">
        <w:rPr>
          <w:lang w:val="fr-FR"/>
        </w:rPr>
        <w:t xml:space="preserve">Harris, C. M., Lorenz, K., Fishpool, L. D. C., et al. </w:t>
      </w:r>
      <w:r w:rsidRPr="009A5531">
        <w:t xml:space="preserve">(2015) </w:t>
      </w:r>
      <w:r w:rsidRPr="009A5531">
        <w:rPr>
          <w:i/>
        </w:rPr>
        <w:t xml:space="preserve">Important </w:t>
      </w:r>
      <w:r>
        <w:rPr>
          <w:i/>
        </w:rPr>
        <w:t>B</w:t>
      </w:r>
      <w:r w:rsidRPr="009A5531">
        <w:rPr>
          <w:i/>
        </w:rPr>
        <w:t xml:space="preserve">ird </w:t>
      </w:r>
      <w:r>
        <w:rPr>
          <w:i/>
        </w:rPr>
        <w:t>A</w:t>
      </w:r>
      <w:r w:rsidRPr="009A5531">
        <w:rPr>
          <w:i/>
        </w:rPr>
        <w:t>reas in Antarctica</w:t>
      </w:r>
      <w:r w:rsidRPr="009A5531">
        <w:t xml:space="preserve"> 2015. Birdlife International</w:t>
      </w:r>
      <w:r>
        <w:t xml:space="preserve"> and Environmental Research and Assessment Ltd</w:t>
      </w:r>
      <w:r w:rsidRPr="009A5531">
        <w:t>, Cambridge, UK.</w:t>
      </w:r>
    </w:p>
    <w:p w14:paraId="47A27395" w14:textId="77777777" w:rsidR="005871F3" w:rsidRPr="009A5531" w:rsidRDefault="005871F3" w:rsidP="005871F3">
      <w:pPr>
        <w:pStyle w:val="ATSNormal"/>
      </w:pPr>
      <w:r w:rsidRPr="009A5531">
        <w:t xml:space="preserve">Lee, J. R., Raymond, B., Bracegirdle, T. J., </w:t>
      </w:r>
      <w:proofErr w:type="spellStart"/>
      <w:r w:rsidRPr="009A5531">
        <w:t>Chades</w:t>
      </w:r>
      <w:proofErr w:type="spellEnd"/>
      <w:r w:rsidRPr="009A5531">
        <w:t xml:space="preserve">, I., Fuller, R. A, Shaw, J. D. &amp; </w:t>
      </w:r>
      <w:proofErr w:type="spellStart"/>
      <w:r w:rsidRPr="009A5531">
        <w:t>Terauds</w:t>
      </w:r>
      <w:proofErr w:type="spellEnd"/>
      <w:r w:rsidRPr="009A5531">
        <w:t xml:space="preserve">, A. (2017) Climate change drives expansion of Antarctic ice-free habitat. </w:t>
      </w:r>
      <w:r w:rsidRPr="009A5531">
        <w:rPr>
          <w:i/>
        </w:rPr>
        <w:t>Nature</w:t>
      </w:r>
      <w:r w:rsidRPr="009A5531">
        <w:t xml:space="preserve"> 547</w:t>
      </w:r>
      <w:r>
        <w:t xml:space="preserve">, </w:t>
      </w:r>
      <w:r w:rsidRPr="009A5531">
        <w:t>49-54.</w:t>
      </w:r>
    </w:p>
    <w:p w14:paraId="3E390946" w14:textId="77777777" w:rsidR="005871F3" w:rsidRPr="009A5531" w:rsidRDefault="005871F3" w:rsidP="005871F3">
      <w:pPr>
        <w:pStyle w:val="ATSNormal"/>
      </w:pPr>
      <w:proofErr w:type="spellStart"/>
      <w:r w:rsidRPr="009A5531">
        <w:t>Leihy</w:t>
      </w:r>
      <w:proofErr w:type="spellEnd"/>
      <w:r w:rsidRPr="009A5531">
        <w:t>, R</w:t>
      </w:r>
      <w:r>
        <w:t xml:space="preserve">. </w:t>
      </w:r>
      <w:r w:rsidRPr="009A5531">
        <w:t>I., Coetzee</w:t>
      </w:r>
      <w:r>
        <w:t>, B. W. W.</w:t>
      </w:r>
      <w:r w:rsidRPr="009A5531">
        <w:t>, Morgan,</w:t>
      </w:r>
      <w:r>
        <w:t xml:space="preserve"> F., </w:t>
      </w:r>
      <w:r w:rsidRPr="009A5531">
        <w:t>Raymond</w:t>
      </w:r>
      <w:r>
        <w:t>, B.</w:t>
      </w:r>
      <w:r w:rsidRPr="009A5531">
        <w:t>, Shaw,</w:t>
      </w:r>
      <w:r>
        <w:t xml:space="preserve"> J. D.,</w:t>
      </w:r>
      <w:r w:rsidRPr="009A5531">
        <w:t xml:space="preserve"> </w:t>
      </w:r>
      <w:proofErr w:type="spellStart"/>
      <w:r w:rsidRPr="009A5531">
        <w:t>Terauds</w:t>
      </w:r>
      <w:proofErr w:type="spellEnd"/>
      <w:r>
        <w:t xml:space="preserve">, A. </w:t>
      </w:r>
      <w:proofErr w:type="spellStart"/>
      <w:r w:rsidRPr="009A5531">
        <w:t>Bastmeijer</w:t>
      </w:r>
      <w:proofErr w:type="spellEnd"/>
      <w:r w:rsidRPr="009A5531">
        <w:t xml:space="preserve">, </w:t>
      </w:r>
      <w:r>
        <w:t xml:space="preserve">K. &amp; </w:t>
      </w:r>
      <w:proofErr w:type="spellStart"/>
      <w:r w:rsidRPr="009A5531">
        <w:t>Chown</w:t>
      </w:r>
      <w:proofErr w:type="spellEnd"/>
      <w:r>
        <w:t>, S. L</w:t>
      </w:r>
      <w:r w:rsidRPr="009A5531">
        <w:t>. (2020) Antarctica’s wilderness fails to capture continent’s biodiversity. </w:t>
      </w:r>
      <w:r w:rsidRPr="009A5531">
        <w:rPr>
          <w:i/>
        </w:rPr>
        <w:t>Nature</w:t>
      </w:r>
      <w:r w:rsidRPr="009A5531">
        <w:t> 583</w:t>
      </w:r>
      <w:r>
        <w:t>,</w:t>
      </w:r>
      <w:r w:rsidRPr="009A5531">
        <w:t xml:space="preserve"> 567-571.</w:t>
      </w:r>
    </w:p>
    <w:p w14:paraId="2D259CB8" w14:textId="77777777" w:rsidR="005871F3" w:rsidRPr="009A5531" w:rsidRDefault="005871F3" w:rsidP="005871F3">
      <w:pPr>
        <w:pStyle w:val="ATSNormal"/>
      </w:pPr>
      <w:r w:rsidRPr="009A5531">
        <w:t xml:space="preserve">Phillips, L. M., </w:t>
      </w:r>
      <w:proofErr w:type="spellStart"/>
      <w:r w:rsidRPr="009A5531">
        <w:t>Leihy</w:t>
      </w:r>
      <w:proofErr w:type="spellEnd"/>
      <w:r w:rsidRPr="009A5531">
        <w:t xml:space="preserve">, R. I., &amp; </w:t>
      </w:r>
      <w:proofErr w:type="spellStart"/>
      <w:r w:rsidRPr="009A5531">
        <w:t>Chown</w:t>
      </w:r>
      <w:proofErr w:type="spellEnd"/>
      <w:r w:rsidRPr="009A5531">
        <w:t>, S. L. (2022). Improving species‐based area protection in Antarctica</w:t>
      </w:r>
      <w:r w:rsidRPr="009A5531">
        <w:rPr>
          <w:i/>
        </w:rPr>
        <w:t>. Conservation Biology</w:t>
      </w:r>
      <w:r>
        <w:rPr>
          <w:i/>
        </w:rPr>
        <w:t xml:space="preserve"> </w:t>
      </w:r>
      <w:r>
        <w:t>e13885,</w:t>
      </w:r>
      <w:r w:rsidRPr="004A77D8">
        <w:rPr>
          <w:lang w:eastAsia="en-US"/>
        </w:rPr>
        <w:t xml:space="preserve"> </w:t>
      </w:r>
      <w:hyperlink r:id="rId15" w:history="1">
        <w:r w:rsidRPr="004A77D8">
          <w:rPr>
            <w:rStyle w:val="Hipervnculo"/>
            <w:bCs/>
          </w:rPr>
          <w:t>https://doi.org/10.1111/cobi.13885</w:t>
        </w:r>
      </w:hyperlink>
      <w:r w:rsidRPr="009A5531">
        <w:t>.</w:t>
      </w:r>
    </w:p>
    <w:p w14:paraId="16FA13F7" w14:textId="77777777" w:rsidR="005871F3" w:rsidRPr="009A5531" w:rsidRDefault="005871F3" w:rsidP="005871F3">
      <w:pPr>
        <w:pStyle w:val="ATSNormal"/>
      </w:pPr>
      <w:proofErr w:type="spellStart"/>
      <w:r w:rsidRPr="009A5531">
        <w:t>Terauds</w:t>
      </w:r>
      <w:proofErr w:type="spellEnd"/>
      <w:r w:rsidRPr="009A5531">
        <w:t>, A.</w:t>
      </w:r>
      <w:r>
        <w:t>,</w:t>
      </w:r>
      <w:r w:rsidRPr="009A5531">
        <w:t xml:space="preserve"> </w:t>
      </w:r>
      <w:r>
        <w:t>&amp;</w:t>
      </w:r>
      <w:r w:rsidRPr="009A5531">
        <w:t xml:space="preserve"> Lee, J. R. (2016) Antarctic biogeography revisited: updating the Antarctic conservation biogeographic regions. </w:t>
      </w:r>
      <w:r w:rsidRPr="009A5531">
        <w:rPr>
          <w:i/>
        </w:rPr>
        <w:t>Diversity and Distributions</w:t>
      </w:r>
      <w:r w:rsidRPr="009A5531">
        <w:t xml:space="preserve"> 22</w:t>
      </w:r>
      <w:r>
        <w:t>, 8</w:t>
      </w:r>
      <w:r w:rsidRPr="009A5531">
        <w:t>36-840.</w:t>
      </w:r>
    </w:p>
    <w:p w14:paraId="12DCAB66" w14:textId="77777777" w:rsidR="005871F3" w:rsidRPr="009A5531" w:rsidRDefault="005871F3" w:rsidP="005871F3">
      <w:pPr>
        <w:pStyle w:val="ATSNormal"/>
      </w:pPr>
      <w:proofErr w:type="spellStart"/>
      <w:r w:rsidRPr="009A5531">
        <w:t>Terauds</w:t>
      </w:r>
      <w:proofErr w:type="spellEnd"/>
      <w:r w:rsidRPr="009A5531">
        <w:t xml:space="preserve">, A., </w:t>
      </w:r>
      <w:proofErr w:type="spellStart"/>
      <w:r w:rsidRPr="009A5531">
        <w:t>Chown</w:t>
      </w:r>
      <w:proofErr w:type="spellEnd"/>
      <w:r w:rsidRPr="009A5531">
        <w:t xml:space="preserve">, S. L., Morgan, F., Peat, H. J., Watts, D. J., Keys, H., Convey, P., </w:t>
      </w:r>
      <w:r>
        <w:t xml:space="preserve">&amp; </w:t>
      </w:r>
      <w:r w:rsidRPr="009A5531">
        <w:t xml:space="preserve">Bergstrom, D. M. (2012) Conservation biogeography of the Antarctic. </w:t>
      </w:r>
      <w:r w:rsidRPr="009A5531">
        <w:rPr>
          <w:i/>
        </w:rPr>
        <w:t>Diversity and Distributions</w:t>
      </w:r>
      <w:r w:rsidRPr="009A5531">
        <w:t xml:space="preserve"> 18</w:t>
      </w:r>
      <w:r>
        <w:t xml:space="preserve">, </w:t>
      </w:r>
      <w:r w:rsidRPr="009A5531">
        <w:t>726-741.</w:t>
      </w:r>
    </w:p>
    <w:p w14:paraId="36A8122A" w14:textId="77777777" w:rsidR="005871F3" w:rsidRPr="009A5531" w:rsidRDefault="005871F3" w:rsidP="005871F3">
      <w:pPr>
        <w:pStyle w:val="ATSNormal"/>
      </w:pPr>
      <w:proofErr w:type="spellStart"/>
      <w:r w:rsidRPr="00D241C2">
        <w:t>Terauds</w:t>
      </w:r>
      <w:proofErr w:type="spellEnd"/>
      <w:r w:rsidRPr="00D241C2">
        <w:t xml:space="preserve"> et al (in prep</w:t>
      </w:r>
      <w:r>
        <w:t>aration 1</w:t>
      </w:r>
      <w:r w:rsidRPr="00D241C2">
        <w:t>) Driver</w:t>
      </w:r>
      <w:r>
        <w:t>s</w:t>
      </w:r>
      <w:r w:rsidRPr="00D241C2">
        <w:t xml:space="preserve"> of biodiversity in Antarctica</w:t>
      </w:r>
    </w:p>
    <w:p w14:paraId="68CDB23E" w14:textId="77777777" w:rsidR="005871F3" w:rsidRPr="009A5531" w:rsidRDefault="005871F3" w:rsidP="005871F3">
      <w:pPr>
        <w:pStyle w:val="ATSNormal"/>
      </w:pPr>
      <w:proofErr w:type="spellStart"/>
      <w:r w:rsidRPr="00D241C2">
        <w:t>Terauds</w:t>
      </w:r>
      <w:proofErr w:type="spellEnd"/>
      <w:r w:rsidRPr="00D241C2">
        <w:t xml:space="preserve"> et al (in prep</w:t>
      </w:r>
      <w:r>
        <w:t xml:space="preserve">aration </w:t>
      </w:r>
      <w:r w:rsidRPr="00D241C2">
        <w:t>2) Antarctic Biodiversity Database</w:t>
      </w:r>
    </w:p>
    <w:p w14:paraId="363BDE53" w14:textId="77777777" w:rsidR="005871F3" w:rsidRPr="009A5531" w:rsidRDefault="005871F3" w:rsidP="005871F3">
      <w:pPr>
        <w:pStyle w:val="ATSNormal"/>
      </w:pPr>
      <w:r w:rsidRPr="009A5531">
        <w:t xml:space="preserve">Wauchope, H. S., Shaw, J. D., &amp; </w:t>
      </w:r>
      <w:proofErr w:type="spellStart"/>
      <w:r w:rsidRPr="009A5531">
        <w:t>Terauds</w:t>
      </w:r>
      <w:proofErr w:type="spellEnd"/>
      <w:r w:rsidRPr="009A5531">
        <w:t>, A. (2019). A snapshot of biodiversity protection in Antarctica. </w:t>
      </w:r>
      <w:r w:rsidRPr="009A5531">
        <w:rPr>
          <w:i/>
        </w:rPr>
        <w:t xml:space="preserve">Nature </w:t>
      </w:r>
      <w:r>
        <w:rPr>
          <w:i/>
        </w:rPr>
        <w:t>C</w:t>
      </w:r>
      <w:r w:rsidRPr="009A5531">
        <w:rPr>
          <w:i/>
        </w:rPr>
        <w:t>ommunications</w:t>
      </w:r>
      <w:r w:rsidRPr="009A5531">
        <w:t> 10, 1-6.</w:t>
      </w:r>
    </w:p>
    <w:p w14:paraId="469A70A0" w14:textId="77777777" w:rsidR="005871F3" w:rsidRDefault="005871F3" w:rsidP="00952E9F"/>
    <w:sectPr w:rsidR="005871F3"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A951C" w14:textId="77777777" w:rsidR="00000000" w:rsidRDefault="005871F3">
      <w:r>
        <w:separator/>
      </w:r>
    </w:p>
  </w:endnote>
  <w:endnote w:type="continuationSeparator" w:id="0">
    <w:p w14:paraId="5109A2FE" w14:textId="77777777" w:rsidR="00000000" w:rsidRDefault="0058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1459" w14:textId="77777777" w:rsidR="00FA0B9F" w:rsidRDefault="005871F3" w:rsidP="00CF5C82">
    <w:pPr>
      <w:framePr w:wrap="around" w:vAnchor="text" w:hAnchor="margin" w:xAlign="right" w:y="1"/>
    </w:pPr>
    <w:r>
      <w:fldChar w:fldCharType="begin"/>
    </w:r>
    <w:r>
      <w:instrText xml:space="preserve">PAGE  </w:instrText>
    </w:r>
    <w:r>
      <w:fldChar w:fldCharType="separate"/>
    </w:r>
    <w:r>
      <w:fldChar w:fldCharType="end"/>
    </w:r>
  </w:p>
  <w:p w14:paraId="52596556" w14:textId="77777777" w:rsidR="00FA0B9F" w:rsidRDefault="005871F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5912" w14:textId="77777777" w:rsidR="00FA0B9F" w:rsidRDefault="005871F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7ECD851" w14:textId="1701E493" w:rsidR="00FA0B9F" w:rsidRDefault="005871F3" w:rsidP="005871F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2DDF" w14:textId="77777777" w:rsidR="00E311C9" w:rsidRDefault="005871F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49F9442" w14:textId="77777777" w:rsidR="00E311C9" w:rsidRDefault="005871F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0174" w14:textId="77777777" w:rsidR="00000000" w:rsidRDefault="005871F3">
      <w:r>
        <w:separator/>
      </w:r>
    </w:p>
  </w:footnote>
  <w:footnote w:type="continuationSeparator" w:id="0">
    <w:p w14:paraId="6C354C9E" w14:textId="77777777" w:rsidR="00000000" w:rsidRDefault="005871F3">
      <w:r>
        <w:continuationSeparator/>
      </w:r>
    </w:p>
  </w:footnote>
  <w:footnote w:id="1">
    <w:p w14:paraId="31CCDBE9" w14:textId="77777777" w:rsidR="005871F3" w:rsidRDefault="005871F3" w:rsidP="005871F3">
      <w:pPr>
        <w:pStyle w:val="ATSNormal"/>
      </w:pPr>
      <w:r w:rsidRPr="00105343">
        <w:rPr>
          <w:vertAlign w:val="superscript"/>
        </w:rPr>
        <w:footnoteRef/>
      </w:r>
      <w:r w:rsidRPr="00105343">
        <w:t xml:space="preserve"> See </w:t>
      </w:r>
      <w:hyperlink r:id="rId1" w:history="1">
        <w:r w:rsidRPr="00105343">
          <w:rPr>
            <w:rStyle w:val="Hipervnculo"/>
          </w:rPr>
          <w:t>https://arcsaef.com/</w:t>
        </w:r>
      </w:hyperlink>
      <w:r w:rsidRPr="00105343">
        <w:t xml:space="preserve"> </w:t>
      </w:r>
    </w:p>
  </w:footnote>
  <w:footnote w:id="2">
    <w:p w14:paraId="1B1D579B" w14:textId="77777777" w:rsidR="005871F3" w:rsidRDefault="005871F3" w:rsidP="005871F3">
      <w:pPr>
        <w:pStyle w:val="ATSNormal"/>
      </w:pPr>
      <w:r w:rsidRPr="00105343">
        <w:rPr>
          <w:rStyle w:val="Refdenotaalpie"/>
        </w:rPr>
        <w:footnoteRef/>
      </w:r>
      <w:r w:rsidRPr="00105343">
        <w:t xml:space="preserve"> The conservation planning software being used for this work is </w:t>
      </w:r>
      <w:r>
        <w:t>open source and known as</w:t>
      </w:r>
      <w:r w:rsidRPr="00105343">
        <w:t xml:space="preserve"> </w:t>
      </w:r>
      <w:proofErr w:type="spellStart"/>
      <w:r w:rsidRPr="00105343">
        <w:t>prioritizr</w:t>
      </w:r>
      <w:proofErr w:type="spellEnd"/>
      <w:r w:rsidRPr="00105343">
        <w:t xml:space="preserve">. It is designed to help build and solve conservation planning problems, by formulating a mathematical optimisation problem and then solving it to generate a solution. In this case, </w:t>
      </w:r>
      <w:proofErr w:type="spellStart"/>
      <w:r w:rsidRPr="00105343">
        <w:t>prioritizr</w:t>
      </w:r>
      <w:proofErr w:type="spellEnd"/>
      <w:r w:rsidRPr="00105343">
        <w:t xml:space="preserve"> is being used to identify possible approaches to developing a series of ASPAs that address the provisions of Article 3.2 of Annex V. Further information about </w:t>
      </w:r>
      <w:proofErr w:type="spellStart"/>
      <w:r>
        <w:t>p</w:t>
      </w:r>
      <w:r w:rsidRPr="00105343">
        <w:t>rioritizr</w:t>
      </w:r>
      <w:proofErr w:type="spellEnd"/>
      <w:r w:rsidRPr="00105343">
        <w:t xml:space="preserve"> is available at: </w:t>
      </w:r>
      <w:hyperlink r:id="rId2" w:history="1">
        <w:r w:rsidRPr="00240917">
          <w:rPr>
            <w:rStyle w:val="Hipervnculo"/>
          </w:rPr>
          <w:t>https://prioritizr.net/</w:t>
        </w:r>
      </w:hyperlink>
      <w:r w:rsidRPr="0010534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E5DEB" w14:paraId="3495A78D" w14:textId="77777777" w:rsidTr="00490760">
      <w:trPr>
        <w:trHeight w:val="344"/>
        <w:jc w:val="center"/>
      </w:trPr>
      <w:tc>
        <w:tcPr>
          <w:tcW w:w="5495" w:type="dxa"/>
        </w:tcPr>
        <w:p w14:paraId="25094EA2" w14:textId="77777777" w:rsidR="00DB7C09" w:rsidRDefault="005871F3" w:rsidP="00F968D4"/>
      </w:tc>
      <w:tc>
        <w:tcPr>
          <w:tcW w:w="4253" w:type="dxa"/>
          <w:gridSpan w:val="2"/>
        </w:tcPr>
        <w:p w14:paraId="711A689A" w14:textId="77777777" w:rsidR="00DB7C09" w:rsidRPr="00BD47E4" w:rsidRDefault="005871F3" w:rsidP="002A07BC">
          <w:pPr>
            <w:jc w:val="right"/>
            <w:rPr>
              <w:b/>
              <w:sz w:val="32"/>
              <w:szCs w:val="32"/>
            </w:rPr>
          </w:pPr>
          <w:bookmarkStart w:id="2" w:name="type"/>
          <w:r w:rsidRPr="00BD47E4">
            <w:rPr>
              <w:b/>
              <w:sz w:val="32"/>
              <w:szCs w:val="32"/>
            </w:rPr>
            <w:t>IP</w:t>
          </w:r>
          <w:bookmarkEnd w:id="2"/>
        </w:p>
      </w:tc>
      <w:tc>
        <w:tcPr>
          <w:tcW w:w="1524" w:type="dxa"/>
          <w:gridSpan w:val="2"/>
        </w:tcPr>
        <w:p w14:paraId="1D2BCE4A" w14:textId="77777777" w:rsidR="00DB7C09" w:rsidRPr="00BD47E4" w:rsidRDefault="005871F3" w:rsidP="00DB7C09">
          <w:pPr>
            <w:rPr>
              <w:b/>
              <w:sz w:val="32"/>
              <w:szCs w:val="32"/>
            </w:rPr>
          </w:pPr>
          <w:bookmarkStart w:id="3" w:name="number"/>
          <w:r w:rsidRPr="00BD47E4">
            <w:rPr>
              <w:b/>
              <w:sz w:val="32"/>
              <w:szCs w:val="32"/>
            </w:rPr>
            <w:t>47</w:t>
          </w:r>
          <w:bookmarkEnd w:id="3"/>
        </w:p>
      </w:tc>
    </w:tr>
    <w:tr w:rsidR="003E5DEB" w14:paraId="7AD350EF" w14:textId="77777777" w:rsidTr="00490760">
      <w:trPr>
        <w:trHeight w:val="2165"/>
        <w:jc w:val="center"/>
      </w:trPr>
      <w:tc>
        <w:tcPr>
          <w:tcW w:w="5495" w:type="dxa"/>
        </w:tcPr>
        <w:p w14:paraId="6C49AEAD" w14:textId="77777777" w:rsidR="00490760" w:rsidRPr="00EE4D48" w:rsidRDefault="005871F3" w:rsidP="002A07BC">
          <w:pPr>
            <w:rPr>
              <w:b/>
              <w:sz w:val="28"/>
              <w:szCs w:val="28"/>
            </w:rPr>
          </w:pPr>
          <w:r>
            <w:rPr>
              <w:noProof/>
            </w:rPr>
            <w:drawing>
              <wp:inline distT="0" distB="0" distL="0" distR="0" wp14:anchorId="7D2946A4" wp14:editId="3388083A">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1670"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1BF169C" w14:textId="77777777" w:rsidR="00490760" w:rsidRPr="00FE5146" w:rsidRDefault="005871F3" w:rsidP="00490760">
          <w:pPr>
            <w:jc w:val="right"/>
            <w:rPr>
              <w:sz w:val="144"/>
              <w:szCs w:val="144"/>
            </w:rPr>
          </w:pPr>
          <w:r w:rsidRPr="00FE5146">
            <w:rPr>
              <w:sz w:val="144"/>
              <w:szCs w:val="144"/>
            </w:rPr>
            <w:t>ENG</w:t>
          </w:r>
        </w:p>
      </w:tc>
    </w:tr>
    <w:tr w:rsidR="003E5DEB" w14:paraId="6D3468F0" w14:textId="77777777" w:rsidTr="00BD47E4">
      <w:trPr>
        <w:trHeight w:val="409"/>
        <w:jc w:val="center"/>
      </w:trPr>
      <w:tc>
        <w:tcPr>
          <w:tcW w:w="9039" w:type="dxa"/>
          <w:gridSpan w:val="2"/>
        </w:tcPr>
        <w:p w14:paraId="17D4E11B" w14:textId="77777777" w:rsidR="00BD47E4" w:rsidRDefault="005871F3" w:rsidP="002C30DA">
          <w:pPr>
            <w:jc w:val="right"/>
          </w:pPr>
          <w:r>
            <w:t>Agenda Item:</w:t>
          </w:r>
        </w:p>
      </w:tc>
      <w:tc>
        <w:tcPr>
          <w:tcW w:w="1843" w:type="dxa"/>
          <w:gridSpan w:val="2"/>
        </w:tcPr>
        <w:p w14:paraId="5CCC7B16" w14:textId="77777777" w:rsidR="00BD47E4" w:rsidRDefault="005871F3" w:rsidP="002C30DA">
          <w:pPr>
            <w:jc w:val="right"/>
          </w:pPr>
          <w:bookmarkStart w:id="4" w:name="agenda"/>
          <w:r>
            <w:t>CEP 9e</w:t>
          </w:r>
          <w:bookmarkEnd w:id="4"/>
        </w:p>
      </w:tc>
      <w:tc>
        <w:tcPr>
          <w:tcW w:w="390" w:type="dxa"/>
        </w:tcPr>
        <w:p w14:paraId="2B9AD043" w14:textId="77777777" w:rsidR="00BD47E4" w:rsidRDefault="005871F3" w:rsidP="00387A65">
          <w:pPr>
            <w:jc w:val="right"/>
          </w:pPr>
        </w:p>
      </w:tc>
    </w:tr>
    <w:tr w:rsidR="003E5DEB" w14:paraId="6D6778E7" w14:textId="77777777" w:rsidTr="00BD47E4">
      <w:trPr>
        <w:trHeight w:val="397"/>
        <w:jc w:val="center"/>
      </w:trPr>
      <w:tc>
        <w:tcPr>
          <w:tcW w:w="9039" w:type="dxa"/>
          <w:gridSpan w:val="2"/>
        </w:tcPr>
        <w:p w14:paraId="0EAAADC9" w14:textId="77777777" w:rsidR="00BD47E4" w:rsidRDefault="005871F3" w:rsidP="002C30DA">
          <w:pPr>
            <w:jc w:val="right"/>
          </w:pPr>
          <w:r>
            <w:t>Presented by:</w:t>
          </w:r>
        </w:p>
      </w:tc>
      <w:tc>
        <w:tcPr>
          <w:tcW w:w="1843" w:type="dxa"/>
          <w:gridSpan w:val="2"/>
        </w:tcPr>
        <w:p w14:paraId="44D9AF64" w14:textId="77777777" w:rsidR="00BD47E4" w:rsidRDefault="005871F3" w:rsidP="002C30DA">
          <w:pPr>
            <w:jc w:val="right"/>
          </w:pPr>
          <w:bookmarkStart w:id="5" w:name="party"/>
          <w:r>
            <w:t>Australia</w:t>
          </w:r>
          <w:bookmarkEnd w:id="5"/>
        </w:p>
      </w:tc>
      <w:tc>
        <w:tcPr>
          <w:tcW w:w="390" w:type="dxa"/>
        </w:tcPr>
        <w:p w14:paraId="6E2A7215" w14:textId="77777777" w:rsidR="00BD47E4" w:rsidRDefault="005871F3" w:rsidP="00387A65">
          <w:pPr>
            <w:jc w:val="right"/>
          </w:pPr>
        </w:p>
      </w:tc>
    </w:tr>
    <w:tr w:rsidR="003E5DEB" w14:paraId="7F30B9C5" w14:textId="77777777" w:rsidTr="00BD47E4">
      <w:trPr>
        <w:trHeight w:val="409"/>
        <w:jc w:val="center"/>
      </w:trPr>
      <w:tc>
        <w:tcPr>
          <w:tcW w:w="9039" w:type="dxa"/>
          <w:gridSpan w:val="2"/>
        </w:tcPr>
        <w:p w14:paraId="359617B3" w14:textId="77777777" w:rsidR="00BD47E4" w:rsidRDefault="005871F3" w:rsidP="002C30DA">
          <w:pPr>
            <w:jc w:val="right"/>
          </w:pPr>
          <w:r>
            <w:t>Original:</w:t>
          </w:r>
        </w:p>
      </w:tc>
      <w:tc>
        <w:tcPr>
          <w:tcW w:w="1843" w:type="dxa"/>
          <w:gridSpan w:val="2"/>
        </w:tcPr>
        <w:p w14:paraId="5A180983" w14:textId="77777777" w:rsidR="00BD47E4" w:rsidRDefault="005871F3" w:rsidP="002C30DA">
          <w:pPr>
            <w:jc w:val="right"/>
          </w:pPr>
          <w:bookmarkStart w:id="6" w:name="language"/>
          <w:r>
            <w:t>English</w:t>
          </w:r>
          <w:bookmarkEnd w:id="6"/>
        </w:p>
      </w:tc>
      <w:tc>
        <w:tcPr>
          <w:tcW w:w="390" w:type="dxa"/>
        </w:tcPr>
        <w:p w14:paraId="6731DE79" w14:textId="77777777" w:rsidR="00BD47E4" w:rsidRDefault="005871F3" w:rsidP="00387A65">
          <w:pPr>
            <w:jc w:val="right"/>
          </w:pPr>
        </w:p>
      </w:tc>
    </w:tr>
    <w:tr w:rsidR="003E5DEB" w14:paraId="6D3B841A" w14:textId="77777777" w:rsidTr="00BD47E4">
      <w:trPr>
        <w:trHeight w:val="409"/>
        <w:jc w:val="center"/>
      </w:trPr>
      <w:tc>
        <w:tcPr>
          <w:tcW w:w="9039" w:type="dxa"/>
          <w:gridSpan w:val="2"/>
        </w:tcPr>
        <w:p w14:paraId="0B53B767" w14:textId="77777777" w:rsidR="0097629D" w:rsidRDefault="005871F3" w:rsidP="002C30DA">
          <w:pPr>
            <w:jc w:val="right"/>
          </w:pPr>
          <w:r>
            <w:t>Submitted:</w:t>
          </w:r>
        </w:p>
      </w:tc>
      <w:tc>
        <w:tcPr>
          <w:tcW w:w="1843" w:type="dxa"/>
          <w:gridSpan w:val="2"/>
        </w:tcPr>
        <w:p w14:paraId="25AF8F36" w14:textId="77777777" w:rsidR="0097629D" w:rsidRDefault="005871F3" w:rsidP="0097629D">
          <w:pPr>
            <w:jc w:val="right"/>
          </w:pPr>
          <w:bookmarkStart w:id="7" w:name="date_submission"/>
          <w:r>
            <w:t>13/4/2022</w:t>
          </w:r>
          <w:bookmarkEnd w:id="7"/>
        </w:p>
      </w:tc>
      <w:tc>
        <w:tcPr>
          <w:tcW w:w="390" w:type="dxa"/>
        </w:tcPr>
        <w:p w14:paraId="5B15C536" w14:textId="77777777" w:rsidR="0097629D" w:rsidRDefault="005871F3" w:rsidP="00387A65">
          <w:pPr>
            <w:jc w:val="right"/>
          </w:pPr>
        </w:p>
      </w:tc>
    </w:tr>
  </w:tbl>
  <w:p w14:paraId="1F47D155" w14:textId="77777777" w:rsidR="00AE5DD0" w:rsidRDefault="005871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E5DEB" w14:paraId="4A008A51" w14:textId="77777777">
      <w:trPr>
        <w:trHeight w:val="354"/>
        <w:jc w:val="center"/>
      </w:trPr>
      <w:tc>
        <w:tcPr>
          <w:tcW w:w="9694" w:type="dxa"/>
        </w:tcPr>
        <w:p w14:paraId="6E4D1243" w14:textId="62220836" w:rsidR="00AE5DD0" w:rsidRPr="00BD47E4" w:rsidRDefault="005871F3" w:rsidP="00C26F2D">
          <w:pPr>
            <w:jc w:val="right"/>
            <w:rPr>
              <w:b/>
              <w:sz w:val="32"/>
              <w:szCs w:val="32"/>
            </w:rPr>
          </w:pPr>
          <w:r>
            <w:rPr>
              <w:b/>
              <w:sz w:val="32"/>
              <w:szCs w:val="32"/>
            </w:rPr>
            <w:t>IP</w:t>
          </w:r>
        </w:p>
      </w:tc>
      <w:tc>
        <w:tcPr>
          <w:tcW w:w="1332" w:type="dxa"/>
        </w:tcPr>
        <w:p w14:paraId="1DC281F6" w14:textId="6C71B40C" w:rsidR="00AE5DD0" w:rsidRPr="00BD47E4" w:rsidRDefault="005871F3" w:rsidP="00080F4C">
          <w:pPr>
            <w:rPr>
              <w:b/>
              <w:sz w:val="32"/>
              <w:szCs w:val="32"/>
            </w:rPr>
          </w:pPr>
          <w:r>
            <w:rPr>
              <w:b/>
              <w:sz w:val="32"/>
              <w:szCs w:val="32"/>
            </w:rPr>
            <w:t>47</w:t>
          </w:r>
        </w:p>
      </w:tc>
    </w:tr>
  </w:tbl>
  <w:p w14:paraId="11C71800" w14:textId="77777777" w:rsidR="00AE5DD0" w:rsidRDefault="005871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0B00D8A">
      <w:start w:val="1"/>
      <w:numFmt w:val="bullet"/>
      <w:pStyle w:val="ATSBullet1"/>
      <w:lvlText w:val=""/>
      <w:lvlJc w:val="left"/>
      <w:pPr>
        <w:tabs>
          <w:tab w:val="num" w:pos="360"/>
        </w:tabs>
        <w:ind w:left="360" w:hanging="360"/>
      </w:pPr>
      <w:rPr>
        <w:rFonts w:ascii="Symbol" w:hAnsi="Symbol" w:hint="default"/>
        <w:color w:val="auto"/>
      </w:rPr>
    </w:lvl>
    <w:lvl w:ilvl="1" w:tplc="DC6A652E" w:tentative="1">
      <w:start w:val="1"/>
      <w:numFmt w:val="bullet"/>
      <w:lvlText w:val="o"/>
      <w:lvlJc w:val="left"/>
      <w:pPr>
        <w:tabs>
          <w:tab w:val="num" w:pos="1440"/>
        </w:tabs>
        <w:ind w:left="1440" w:hanging="360"/>
      </w:pPr>
      <w:rPr>
        <w:rFonts w:ascii="Courier New" w:hAnsi="Courier New" w:cs="Courier New" w:hint="default"/>
      </w:rPr>
    </w:lvl>
    <w:lvl w:ilvl="2" w:tplc="27345496" w:tentative="1">
      <w:start w:val="1"/>
      <w:numFmt w:val="bullet"/>
      <w:lvlText w:val=""/>
      <w:lvlJc w:val="left"/>
      <w:pPr>
        <w:tabs>
          <w:tab w:val="num" w:pos="2160"/>
        </w:tabs>
        <w:ind w:left="2160" w:hanging="360"/>
      </w:pPr>
      <w:rPr>
        <w:rFonts w:ascii="Wingdings" w:hAnsi="Wingdings" w:hint="default"/>
      </w:rPr>
    </w:lvl>
    <w:lvl w:ilvl="3" w:tplc="5B7287F0" w:tentative="1">
      <w:start w:val="1"/>
      <w:numFmt w:val="bullet"/>
      <w:lvlText w:val=""/>
      <w:lvlJc w:val="left"/>
      <w:pPr>
        <w:tabs>
          <w:tab w:val="num" w:pos="2880"/>
        </w:tabs>
        <w:ind w:left="2880" w:hanging="360"/>
      </w:pPr>
      <w:rPr>
        <w:rFonts w:ascii="Symbol" w:hAnsi="Symbol" w:hint="default"/>
      </w:rPr>
    </w:lvl>
    <w:lvl w:ilvl="4" w:tplc="A8C63854" w:tentative="1">
      <w:start w:val="1"/>
      <w:numFmt w:val="bullet"/>
      <w:lvlText w:val="o"/>
      <w:lvlJc w:val="left"/>
      <w:pPr>
        <w:tabs>
          <w:tab w:val="num" w:pos="3600"/>
        </w:tabs>
        <w:ind w:left="3600" w:hanging="360"/>
      </w:pPr>
      <w:rPr>
        <w:rFonts w:ascii="Courier New" w:hAnsi="Courier New" w:cs="Courier New" w:hint="default"/>
      </w:rPr>
    </w:lvl>
    <w:lvl w:ilvl="5" w:tplc="6F1A9F6E" w:tentative="1">
      <w:start w:val="1"/>
      <w:numFmt w:val="bullet"/>
      <w:lvlText w:val=""/>
      <w:lvlJc w:val="left"/>
      <w:pPr>
        <w:tabs>
          <w:tab w:val="num" w:pos="4320"/>
        </w:tabs>
        <w:ind w:left="4320" w:hanging="360"/>
      </w:pPr>
      <w:rPr>
        <w:rFonts w:ascii="Wingdings" w:hAnsi="Wingdings" w:hint="default"/>
      </w:rPr>
    </w:lvl>
    <w:lvl w:ilvl="6" w:tplc="A4EA4356" w:tentative="1">
      <w:start w:val="1"/>
      <w:numFmt w:val="bullet"/>
      <w:lvlText w:val=""/>
      <w:lvlJc w:val="left"/>
      <w:pPr>
        <w:tabs>
          <w:tab w:val="num" w:pos="5040"/>
        </w:tabs>
        <w:ind w:left="5040" w:hanging="360"/>
      </w:pPr>
      <w:rPr>
        <w:rFonts w:ascii="Symbol" w:hAnsi="Symbol" w:hint="default"/>
      </w:rPr>
    </w:lvl>
    <w:lvl w:ilvl="7" w:tplc="C0A643F0" w:tentative="1">
      <w:start w:val="1"/>
      <w:numFmt w:val="bullet"/>
      <w:lvlText w:val="o"/>
      <w:lvlJc w:val="left"/>
      <w:pPr>
        <w:tabs>
          <w:tab w:val="num" w:pos="5760"/>
        </w:tabs>
        <w:ind w:left="5760" w:hanging="360"/>
      </w:pPr>
      <w:rPr>
        <w:rFonts w:ascii="Courier New" w:hAnsi="Courier New" w:cs="Courier New" w:hint="default"/>
      </w:rPr>
    </w:lvl>
    <w:lvl w:ilvl="8" w:tplc="C8CA95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EEAA4AA">
      <w:start w:val="1"/>
      <w:numFmt w:val="decimal"/>
      <w:lvlText w:val="%1)"/>
      <w:lvlJc w:val="left"/>
      <w:pPr>
        <w:tabs>
          <w:tab w:val="num" w:pos="340"/>
        </w:tabs>
        <w:ind w:left="340" w:hanging="340"/>
      </w:pPr>
      <w:rPr>
        <w:rFonts w:hint="default"/>
      </w:rPr>
    </w:lvl>
    <w:lvl w:ilvl="1" w:tplc="A11A1256" w:tentative="1">
      <w:start w:val="1"/>
      <w:numFmt w:val="lowerLetter"/>
      <w:lvlText w:val="%2."/>
      <w:lvlJc w:val="left"/>
      <w:pPr>
        <w:tabs>
          <w:tab w:val="num" w:pos="1440"/>
        </w:tabs>
        <w:ind w:left="1440" w:hanging="360"/>
      </w:pPr>
    </w:lvl>
    <w:lvl w:ilvl="2" w:tplc="E602597E" w:tentative="1">
      <w:start w:val="1"/>
      <w:numFmt w:val="lowerRoman"/>
      <w:lvlText w:val="%3."/>
      <w:lvlJc w:val="right"/>
      <w:pPr>
        <w:tabs>
          <w:tab w:val="num" w:pos="2160"/>
        </w:tabs>
        <w:ind w:left="2160" w:hanging="180"/>
      </w:pPr>
    </w:lvl>
    <w:lvl w:ilvl="3" w:tplc="97D8D27A" w:tentative="1">
      <w:start w:val="1"/>
      <w:numFmt w:val="decimal"/>
      <w:lvlText w:val="%4."/>
      <w:lvlJc w:val="left"/>
      <w:pPr>
        <w:tabs>
          <w:tab w:val="num" w:pos="2880"/>
        </w:tabs>
        <w:ind w:left="2880" w:hanging="360"/>
      </w:pPr>
    </w:lvl>
    <w:lvl w:ilvl="4" w:tplc="34DE9444" w:tentative="1">
      <w:start w:val="1"/>
      <w:numFmt w:val="lowerLetter"/>
      <w:lvlText w:val="%5."/>
      <w:lvlJc w:val="left"/>
      <w:pPr>
        <w:tabs>
          <w:tab w:val="num" w:pos="3600"/>
        </w:tabs>
        <w:ind w:left="3600" w:hanging="360"/>
      </w:pPr>
    </w:lvl>
    <w:lvl w:ilvl="5" w:tplc="5A364132" w:tentative="1">
      <w:start w:val="1"/>
      <w:numFmt w:val="lowerRoman"/>
      <w:lvlText w:val="%6."/>
      <w:lvlJc w:val="right"/>
      <w:pPr>
        <w:tabs>
          <w:tab w:val="num" w:pos="4320"/>
        </w:tabs>
        <w:ind w:left="4320" w:hanging="180"/>
      </w:pPr>
    </w:lvl>
    <w:lvl w:ilvl="6" w:tplc="684EE082" w:tentative="1">
      <w:start w:val="1"/>
      <w:numFmt w:val="decimal"/>
      <w:lvlText w:val="%7."/>
      <w:lvlJc w:val="left"/>
      <w:pPr>
        <w:tabs>
          <w:tab w:val="num" w:pos="5040"/>
        </w:tabs>
        <w:ind w:left="5040" w:hanging="360"/>
      </w:pPr>
    </w:lvl>
    <w:lvl w:ilvl="7" w:tplc="9996BA18" w:tentative="1">
      <w:start w:val="1"/>
      <w:numFmt w:val="lowerLetter"/>
      <w:lvlText w:val="%8."/>
      <w:lvlJc w:val="left"/>
      <w:pPr>
        <w:tabs>
          <w:tab w:val="num" w:pos="5760"/>
        </w:tabs>
        <w:ind w:left="5760" w:hanging="360"/>
      </w:pPr>
    </w:lvl>
    <w:lvl w:ilvl="8" w:tplc="A67A3FC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E7A4790">
      <w:start w:val="1"/>
      <w:numFmt w:val="decimal"/>
      <w:lvlText w:val="%1."/>
      <w:lvlJc w:val="left"/>
      <w:pPr>
        <w:tabs>
          <w:tab w:val="num" w:pos="1057"/>
        </w:tabs>
        <w:ind w:left="1057" w:hanging="360"/>
      </w:pPr>
      <w:rPr>
        <w:rFonts w:hint="default"/>
      </w:rPr>
    </w:lvl>
    <w:lvl w:ilvl="1" w:tplc="D0307DB2" w:tentative="1">
      <w:start w:val="1"/>
      <w:numFmt w:val="lowerLetter"/>
      <w:lvlText w:val="%2."/>
      <w:lvlJc w:val="left"/>
      <w:pPr>
        <w:tabs>
          <w:tab w:val="num" w:pos="2137"/>
        </w:tabs>
        <w:ind w:left="2137" w:hanging="360"/>
      </w:pPr>
    </w:lvl>
    <w:lvl w:ilvl="2" w:tplc="93465ACA" w:tentative="1">
      <w:start w:val="1"/>
      <w:numFmt w:val="lowerRoman"/>
      <w:lvlText w:val="%3."/>
      <w:lvlJc w:val="right"/>
      <w:pPr>
        <w:tabs>
          <w:tab w:val="num" w:pos="2857"/>
        </w:tabs>
        <w:ind w:left="2857" w:hanging="180"/>
      </w:pPr>
    </w:lvl>
    <w:lvl w:ilvl="3" w:tplc="71289A28" w:tentative="1">
      <w:start w:val="1"/>
      <w:numFmt w:val="decimal"/>
      <w:lvlText w:val="%4."/>
      <w:lvlJc w:val="left"/>
      <w:pPr>
        <w:tabs>
          <w:tab w:val="num" w:pos="3577"/>
        </w:tabs>
        <w:ind w:left="3577" w:hanging="360"/>
      </w:pPr>
    </w:lvl>
    <w:lvl w:ilvl="4" w:tplc="9D8A2B60" w:tentative="1">
      <w:start w:val="1"/>
      <w:numFmt w:val="lowerLetter"/>
      <w:lvlText w:val="%5."/>
      <w:lvlJc w:val="left"/>
      <w:pPr>
        <w:tabs>
          <w:tab w:val="num" w:pos="4297"/>
        </w:tabs>
        <w:ind w:left="4297" w:hanging="360"/>
      </w:pPr>
    </w:lvl>
    <w:lvl w:ilvl="5" w:tplc="769802A2" w:tentative="1">
      <w:start w:val="1"/>
      <w:numFmt w:val="lowerRoman"/>
      <w:lvlText w:val="%6."/>
      <w:lvlJc w:val="right"/>
      <w:pPr>
        <w:tabs>
          <w:tab w:val="num" w:pos="5017"/>
        </w:tabs>
        <w:ind w:left="5017" w:hanging="180"/>
      </w:pPr>
    </w:lvl>
    <w:lvl w:ilvl="6" w:tplc="7A28AE56" w:tentative="1">
      <w:start w:val="1"/>
      <w:numFmt w:val="decimal"/>
      <w:lvlText w:val="%7."/>
      <w:lvlJc w:val="left"/>
      <w:pPr>
        <w:tabs>
          <w:tab w:val="num" w:pos="5737"/>
        </w:tabs>
        <w:ind w:left="5737" w:hanging="360"/>
      </w:pPr>
    </w:lvl>
    <w:lvl w:ilvl="7" w:tplc="BF3017E6" w:tentative="1">
      <w:start w:val="1"/>
      <w:numFmt w:val="lowerLetter"/>
      <w:lvlText w:val="%8."/>
      <w:lvlJc w:val="left"/>
      <w:pPr>
        <w:tabs>
          <w:tab w:val="num" w:pos="6457"/>
        </w:tabs>
        <w:ind w:left="6457" w:hanging="360"/>
      </w:pPr>
    </w:lvl>
    <w:lvl w:ilvl="8" w:tplc="4D98305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7AA9F80">
      <w:start w:val="1"/>
      <w:numFmt w:val="decimal"/>
      <w:pStyle w:val="ATSNumber1"/>
      <w:lvlText w:val="%1)"/>
      <w:lvlJc w:val="left"/>
      <w:pPr>
        <w:tabs>
          <w:tab w:val="num" w:pos="720"/>
        </w:tabs>
        <w:ind w:left="720" w:hanging="360"/>
      </w:pPr>
    </w:lvl>
    <w:lvl w:ilvl="1" w:tplc="920A15EE" w:tentative="1">
      <w:start w:val="1"/>
      <w:numFmt w:val="lowerLetter"/>
      <w:lvlText w:val="%2."/>
      <w:lvlJc w:val="left"/>
      <w:pPr>
        <w:tabs>
          <w:tab w:val="num" w:pos="1440"/>
        </w:tabs>
        <w:ind w:left="1440" w:hanging="360"/>
      </w:pPr>
    </w:lvl>
    <w:lvl w:ilvl="2" w:tplc="C1E4F1B8" w:tentative="1">
      <w:start w:val="1"/>
      <w:numFmt w:val="lowerRoman"/>
      <w:lvlText w:val="%3."/>
      <w:lvlJc w:val="right"/>
      <w:pPr>
        <w:tabs>
          <w:tab w:val="num" w:pos="2160"/>
        </w:tabs>
        <w:ind w:left="2160" w:hanging="180"/>
      </w:pPr>
    </w:lvl>
    <w:lvl w:ilvl="3" w:tplc="A58C62D4" w:tentative="1">
      <w:start w:val="1"/>
      <w:numFmt w:val="decimal"/>
      <w:lvlText w:val="%4."/>
      <w:lvlJc w:val="left"/>
      <w:pPr>
        <w:tabs>
          <w:tab w:val="num" w:pos="2880"/>
        </w:tabs>
        <w:ind w:left="2880" w:hanging="360"/>
      </w:pPr>
    </w:lvl>
    <w:lvl w:ilvl="4" w:tplc="C422D810" w:tentative="1">
      <w:start w:val="1"/>
      <w:numFmt w:val="lowerLetter"/>
      <w:lvlText w:val="%5."/>
      <w:lvlJc w:val="left"/>
      <w:pPr>
        <w:tabs>
          <w:tab w:val="num" w:pos="3600"/>
        </w:tabs>
        <w:ind w:left="3600" w:hanging="360"/>
      </w:pPr>
    </w:lvl>
    <w:lvl w:ilvl="5" w:tplc="9BDCE46E" w:tentative="1">
      <w:start w:val="1"/>
      <w:numFmt w:val="lowerRoman"/>
      <w:lvlText w:val="%6."/>
      <w:lvlJc w:val="right"/>
      <w:pPr>
        <w:tabs>
          <w:tab w:val="num" w:pos="4320"/>
        </w:tabs>
        <w:ind w:left="4320" w:hanging="180"/>
      </w:pPr>
    </w:lvl>
    <w:lvl w:ilvl="6" w:tplc="DBC243D4" w:tentative="1">
      <w:start w:val="1"/>
      <w:numFmt w:val="decimal"/>
      <w:lvlText w:val="%7."/>
      <w:lvlJc w:val="left"/>
      <w:pPr>
        <w:tabs>
          <w:tab w:val="num" w:pos="5040"/>
        </w:tabs>
        <w:ind w:left="5040" w:hanging="360"/>
      </w:pPr>
    </w:lvl>
    <w:lvl w:ilvl="7" w:tplc="6DC81C1E" w:tentative="1">
      <w:start w:val="1"/>
      <w:numFmt w:val="lowerLetter"/>
      <w:lvlText w:val="%8."/>
      <w:lvlJc w:val="left"/>
      <w:pPr>
        <w:tabs>
          <w:tab w:val="num" w:pos="5760"/>
        </w:tabs>
        <w:ind w:left="5760" w:hanging="360"/>
      </w:pPr>
    </w:lvl>
    <w:lvl w:ilvl="8" w:tplc="2B16361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D4854F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8C20DDE" w:tentative="1">
      <w:start w:val="1"/>
      <w:numFmt w:val="bullet"/>
      <w:lvlText w:val="o"/>
      <w:lvlJc w:val="left"/>
      <w:pPr>
        <w:tabs>
          <w:tab w:val="num" w:pos="2517"/>
        </w:tabs>
        <w:ind w:left="2517" w:hanging="360"/>
      </w:pPr>
      <w:rPr>
        <w:rFonts w:ascii="Courier New" w:hAnsi="Courier New" w:cs="Courier New" w:hint="default"/>
      </w:rPr>
    </w:lvl>
    <w:lvl w:ilvl="2" w:tplc="4ECE8ECE" w:tentative="1">
      <w:start w:val="1"/>
      <w:numFmt w:val="bullet"/>
      <w:lvlText w:val=""/>
      <w:lvlJc w:val="left"/>
      <w:pPr>
        <w:tabs>
          <w:tab w:val="num" w:pos="3237"/>
        </w:tabs>
        <w:ind w:left="3237" w:hanging="360"/>
      </w:pPr>
      <w:rPr>
        <w:rFonts w:ascii="Wingdings" w:hAnsi="Wingdings" w:hint="default"/>
      </w:rPr>
    </w:lvl>
    <w:lvl w:ilvl="3" w:tplc="18F6EF64" w:tentative="1">
      <w:start w:val="1"/>
      <w:numFmt w:val="bullet"/>
      <w:lvlText w:val=""/>
      <w:lvlJc w:val="left"/>
      <w:pPr>
        <w:tabs>
          <w:tab w:val="num" w:pos="3957"/>
        </w:tabs>
        <w:ind w:left="3957" w:hanging="360"/>
      </w:pPr>
      <w:rPr>
        <w:rFonts w:ascii="Symbol" w:hAnsi="Symbol" w:hint="default"/>
      </w:rPr>
    </w:lvl>
    <w:lvl w:ilvl="4" w:tplc="5ACA6282" w:tentative="1">
      <w:start w:val="1"/>
      <w:numFmt w:val="bullet"/>
      <w:lvlText w:val="o"/>
      <w:lvlJc w:val="left"/>
      <w:pPr>
        <w:tabs>
          <w:tab w:val="num" w:pos="4677"/>
        </w:tabs>
        <w:ind w:left="4677" w:hanging="360"/>
      </w:pPr>
      <w:rPr>
        <w:rFonts w:ascii="Courier New" w:hAnsi="Courier New" w:cs="Courier New" w:hint="default"/>
      </w:rPr>
    </w:lvl>
    <w:lvl w:ilvl="5" w:tplc="6D805E8E" w:tentative="1">
      <w:start w:val="1"/>
      <w:numFmt w:val="bullet"/>
      <w:lvlText w:val=""/>
      <w:lvlJc w:val="left"/>
      <w:pPr>
        <w:tabs>
          <w:tab w:val="num" w:pos="5397"/>
        </w:tabs>
        <w:ind w:left="5397" w:hanging="360"/>
      </w:pPr>
      <w:rPr>
        <w:rFonts w:ascii="Wingdings" w:hAnsi="Wingdings" w:hint="default"/>
      </w:rPr>
    </w:lvl>
    <w:lvl w:ilvl="6" w:tplc="07AC9BAA" w:tentative="1">
      <w:start w:val="1"/>
      <w:numFmt w:val="bullet"/>
      <w:lvlText w:val=""/>
      <w:lvlJc w:val="left"/>
      <w:pPr>
        <w:tabs>
          <w:tab w:val="num" w:pos="6117"/>
        </w:tabs>
        <w:ind w:left="6117" w:hanging="360"/>
      </w:pPr>
      <w:rPr>
        <w:rFonts w:ascii="Symbol" w:hAnsi="Symbol" w:hint="default"/>
      </w:rPr>
    </w:lvl>
    <w:lvl w:ilvl="7" w:tplc="4B6E0A90" w:tentative="1">
      <w:start w:val="1"/>
      <w:numFmt w:val="bullet"/>
      <w:lvlText w:val="o"/>
      <w:lvlJc w:val="left"/>
      <w:pPr>
        <w:tabs>
          <w:tab w:val="num" w:pos="6837"/>
        </w:tabs>
        <w:ind w:left="6837" w:hanging="360"/>
      </w:pPr>
      <w:rPr>
        <w:rFonts w:ascii="Courier New" w:hAnsi="Courier New" w:cs="Courier New" w:hint="default"/>
      </w:rPr>
    </w:lvl>
    <w:lvl w:ilvl="8" w:tplc="8DB6126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F605490">
      <w:start w:val="1"/>
      <w:numFmt w:val="decimal"/>
      <w:pStyle w:val="ATSNumber2"/>
      <w:lvlText w:val="%1."/>
      <w:lvlJc w:val="left"/>
      <w:pPr>
        <w:tabs>
          <w:tab w:val="num" w:pos="720"/>
        </w:tabs>
        <w:ind w:left="720" w:hanging="360"/>
      </w:pPr>
      <w:rPr>
        <w:rFonts w:hint="default"/>
      </w:rPr>
    </w:lvl>
    <w:lvl w:ilvl="1" w:tplc="B2CCBCAA" w:tentative="1">
      <w:start w:val="1"/>
      <w:numFmt w:val="lowerLetter"/>
      <w:lvlText w:val="%2."/>
      <w:lvlJc w:val="left"/>
      <w:pPr>
        <w:tabs>
          <w:tab w:val="num" w:pos="1440"/>
        </w:tabs>
        <w:ind w:left="1440" w:hanging="360"/>
      </w:pPr>
    </w:lvl>
    <w:lvl w:ilvl="2" w:tplc="5BB0C93A" w:tentative="1">
      <w:start w:val="1"/>
      <w:numFmt w:val="lowerRoman"/>
      <w:lvlText w:val="%3."/>
      <w:lvlJc w:val="right"/>
      <w:pPr>
        <w:tabs>
          <w:tab w:val="num" w:pos="2160"/>
        </w:tabs>
        <w:ind w:left="2160" w:hanging="180"/>
      </w:pPr>
    </w:lvl>
    <w:lvl w:ilvl="3" w:tplc="41BACFA8" w:tentative="1">
      <w:start w:val="1"/>
      <w:numFmt w:val="decimal"/>
      <w:lvlText w:val="%4."/>
      <w:lvlJc w:val="left"/>
      <w:pPr>
        <w:tabs>
          <w:tab w:val="num" w:pos="2880"/>
        </w:tabs>
        <w:ind w:left="2880" w:hanging="360"/>
      </w:pPr>
    </w:lvl>
    <w:lvl w:ilvl="4" w:tplc="1966B800" w:tentative="1">
      <w:start w:val="1"/>
      <w:numFmt w:val="lowerLetter"/>
      <w:lvlText w:val="%5."/>
      <w:lvlJc w:val="left"/>
      <w:pPr>
        <w:tabs>
          <w:tab w:val="num" w:pos="3600"/>
        </w:tabs>
        <w:ind w:left="3600" w:hanging="360"/>
      </w:pPr>
    </w:lvl>
    <w:lvl w:ilvl="5" w:tplc="81CCFCF2" w:tentative="1">
      <w:start w:val="1"/>
      <w:numFmt w:val="lowerRoman"/>
      <w:lvlText w:val="%6."/>
      <w:lvlJc w:val="right"/>
      <w:pPr>
        <w:tabs>
          <w:tab w:val="num" w:pos="4320"/>
        </w:tabs>
        <w:ind w:left="4320" w:hanging="180"/>
      </w:pPr>
    </w:lvl>
    <w:lvl w:ilvl="6" w:tplc="52B2E344" w:tentative="1">
      <w:start w:val="1"/>
      <w:numFmt w:val="decimal"/>
      <w:lvlText w:val="%7."/>
      <w:lvlJc w:val="left"/>
      <w:pPr>
        <w:tabs>
          <w:tab w:val="num" w:pos="5040"/>
        </w:tabs>
        <w:ind w:left="5040" w:hanging="360"/>
      </w:pPr>
    </w:lvl>
    <w:lvl w:ilvl="7" w:tplc="338E35D2" w:tentative="1">
      <w:start w:val="1"/>
      <w:numFmt w:val="lowerLetter"/>
      <w:lvlText w:val="%8."/>
      <w:lvlJc w:val="left"/>
      <w:pPr>
        <w:tabs>
          <w:tab w:val="num" w:pos="5760"/>
        </w:tabs>
        <w:ind w:left="5760" w:hanging="360"/>
      </w:pPr>
    </w:lvl>
    <w:lvl w:ilvl="8" w:tplc="446EAC46" w:tentative="1">
      <w:start w:val="1"/>
      <w:numFmt w:val="lowerRoman"/>
      <w:lvlText w:val="%9."/>
      <w:lvlJc w:val="right"/>
      <w:pPr>
        <w:tabs>
          <w:tab w:val="num" w:pos="6480"/>
        </w:tabs>
        <w:ind w:left="6480" w:hanging="180"/>
      </w:pPr>
    </w:lvl>
  </w:abstractNum>
  <w:num w:numId="1" w16cid:durableId="1656761607">
    <w:abstractNumId w:val="9"/>
  </w:num>
  <w:num w:numId="2" w16cid:durableId="315842588">
    <w:abstractNumId w:val="7"/>
  </w:num>
  <w:num w:numId="3" w16cid:durableId="398409779">
    <w:abstractNumId w:val="6"/>
  </w:num>
  <w:num w:numId="4" w16cid:durableId="1169298333">
    <w:abstractNumId w:val="5"/>
  </w:num>
  <w:num w:numId="5" w16cid:durableId="755441661">
    <w:abstractNumId w:val="4"/>
  </w:num>
  <w:num w:numId="6" w16cid:durableId="565917977">
    <w:abstractNumId w:val="8"/>
  </w:num>
  <w:num w:numId="7" w16cid:durableId="2139758587">
    <w:abstractNumId w:val="3"/>
  </w:num>
  <w:num w:numId="8" w16cid:durableId="424035540">
    <w:abstractNumId w:val="2"/>
  </w:num>
  <w:num w:numId="9" w16cid:durableId="114033219">
    <w:abstractNumId w:val="1"/>
  </w:num>
  <w:num w:numId="10" w16cid:durableId="2076850348">
    <w:abstractNumId w:val="0"/>
  </w:num>
  <w:num w:numId="11" w16cid:durableId="2054424283">
    <w:abstractNumId w:val="11"/>
  </w:num>
  <w:num w:numId="12" w16cid:durableId="4135191">
    <w:abstractNumId w:val="15"/>
  </w:num>
  <w:num w:numId="13" w16cid:durableId="1586527772">
    <w:abstractNumId w:val="14"/>
  </w:num>
  <w:num w:numId="14" w16cid:durableId="942106952">
    <w:abstractNumId w:val="12"/>
  </w:num>
  <w:num w:numId="15" w16cid:durableId="68775099">
    <w:abstractNumId w:val="13"/>
  </w:num>
  <w:num w:numId="16" w16cid:durableId="775633066">
    <w:abstractNumId w:val="10"/>
  </w:num>
  <w:num w:numId="17" w16cid:durableId="41446045">
    <w:abstractNumId w:val="11"/>
  </w:num>
  <w:num w:numId="18" w16cid:durableId="1623271470">
    <w:abstractNumId w:val="15"/>
  </w:num>
  <w:num w:numId="19" w16cid:durableId="1121655221">
    <w:abstractNumId w:val="14"/>
  </w:num>
  <w:num w:numId="20" w16cid:durableId="7317323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EB"/>
    <w:rsid w:val="003E5DEB"/>
    <w:rsid w:val="005871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10D5F"/>
  <w15:chartTrackingRefBased/>
  <w15:docId w15:val="{E6FA4E42-A258-4E15-966E-C525EEAE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footnote reference"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5871F3"/>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uments.ats.aq/ATCM42/att/ATCM42_att108_e.do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ts.ats.aq/ATCM42/ip/ATCM42_ip165_e.doc"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ATCM42/wp/ATCM42_wp070_e.doc" TargetMode="External"/><Relationship Id="rId5" Type="http://schemas.openxmlformats.org/officeDocument/2006/relationships/webSettings" Target="webSettings.xml"/><Relationship Id="rId15" Type="http://schemas.openxmlformats.org/officeDocument/2006/relationships/hyperlink" Target="https://doi.org/10.1111/cobi.13885"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dd.scar.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rioritizr.net/" TargetMode="External"/><Relationship Id="rId1" Type="http://schemas.openxmlformats.org/officeDocument/2006/relationships/hyperlink" Target="https://arcsaef.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931</Words>
  <Characters>5767</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2022-04-18T15:46:00Z</dcterms:modified>
</cp:coreProperties>
</file>