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8D001" w14:textId="77777777" w:rsidR="00C26F2D" w:rsidRPr="00BF077B" w:rsidRDefault="004E00D0" w:rsidP="00BF077B">
      <w:pPr>
        <w:pStyle w:val="ATSNormal"/>
        <w:rPr>
          <w:rStyle w:val="Ttulodellibro"/>
        </w:rPr>
      </w:pPr>
    </w:p>
    <w:p w14:paraId="3F309021" w14:textId="77777777" w:rsidR="002F0A13" w:rsidRDefault="004E00D0" w:rsidP="004B4A60">
      <w:pPr>
        <w:rPr>
          <w:b/>
          <w:u w:val="single"/>
          <w:lang w:val="es-ES_tradnl"/>
        </w:rPr>
      </w:pPr>
    </w:p>
    <w:p w14:paraId="45161828" w14:textId="77777777" w:rsidR="002F0A13" w:rsidRDefault="004E00D0" w:rsidP="004B4A60">
      <w:pPr>
        <w:rPr>
          <w:b/>
          <w:u w:val="single"/>
          <w:lang w:val="es-ES_tradnl"/>
        </w:rPr>
      </w:pPr>
    </w:p>
    <w:p w14:paraId="7BA98C05" w14:textId="77777777" w:rsidR="002F0A13" w:rsidRDefault="004E00D0" w:rsidP="004B4A60">
      <w:pPr>
        <w:rPr>
          <w:b/>
          <w:u w:val="single"/>
          <w:lang w:val="es-ES_tradnl"/>
        </w:rPr>
      </w:pPr>
    </w:p>
    <w:p w14:paraId="326DA5B0" w14:textId="77777777" w:rsidR="002F0A13" w:rsidRDefault="004E00D0" w:rsidP="004B4A60">
      <w:pPr>
        <w:rPr>
          <w:b/>
          <w:u w:val="single"/>
          <w:lang w:val="es-ES_tradnl"/>
        </w:rPr>
      </w:pPr>
    </w:p>
    <w:p w14:paraId="337A0CCE" w14:textId="77777777" w:rsidR="00C26F2D" w:rsidRDefault="004E00D0" w:rsidP="004B4A60">
      <w:pPr>
        <w:rPr>
          <w:b/>
          <w:u w:val="single"/>
          <w:lang w:val="es-ES_tradnl"/>
        </w:rPr>
      </w:pPr>
    </w:p>
    <w:p w14:paraId="6C4A19B1" w14:textId="77777777" w:rsidR="004B4A60" w:rsidRPr="0057246E" w:rsidRDefault="004E00D0" w:rsidP="001B789F">
      <w:pPr>
        <w:pStyle w:val="ATSTitle"/>
      </w:pPr>
      <w:bookmarkStart w:id="0" w:name="name"/>
      <w:r>
        <w:t xml:space="preserve">Education and Outreach Activities of the World Climate Research Programme </w:t>
      </w:r>
      <w:bookmarkEnd w:id="0"/>
    </w:p>
    <w:p w14:paraId="71C899DA" w14:textId="77777777" w:rsidR="004B4A60" w:rsidRPr="0057246E" w:rsidRDefault="004E00D0" w:rsidP="00F75424">
      <w:pPr>
        <w:jc w:val="center"/>
      </w:pPr>
    </w:p>
    <w:p w14:paraId="37C33875" w14:textId="77777777" w:rsidR="004B4A60" w:rsidRPr="002F0A13" w:rsidRDefault="004E00D0" w:rsidP="002F0A13"/>
    <w:p w14:paraId="5759A882" w14:textId="77777777" w:rsidR="004B4A60" w:rsidRDefault="004E00D0" w:rsidP="00F75424">
      <w:pPr>
        <w:jc w:val="center"/>
      </w:pPr>
      <w:bookmarkStart w:id="1" w:name="memo"/>
      <w:bookmarkEnd w:id="1"/>
    </w:p>
    <w:p w14:paraId="25A2726C" w14:textId="77777777" w:rsidR="0097629D" w:rsidRDefault="004E00D0" w:rsidP="00F75424">
      <w:pPr>
        <w:jc w:val="center"/>
      </w:pPr>
    </w:p>
    <w:p w14:paraId="640C61FD" w14:textId="77777777" w:rsidR="0097629D" w:rsidRDefault="004E00D0" w:rsidP="00F75424">
      <w:pPr>
        <w:jc w:val="center"/>
      </w:pPr>
    </w:p>
    <w:p w14:paraId="4A180F0F" w14:textId="77777777" w:rsidR="0097629D" w:rsidRDefault="004E00D0" w:rsidP="00F75424">
      <w:pPr>
        <w:jc w:val="center"/>
      </w:pPr>
    </w:p>
    <w:p w14:paraId="18069EB9" w14:textId="77777777" w:rsidR="0097629D" w:rsidRPr="00C26F2D" w:rsidRDefault="004E00D0" w:rsidP="00F75424">
      <w:pPr>
        <w:jc w:val="center"/>
      </w:pPr>
    </w:p>
    <w:p w14:paraId="5103E4BD" w14:textId="77777777" w:rsidR="004B4A60" w:rsidRPr="0057246E" w:rsidRDefault="004E00D0" w:rsidP="004B4A60"/>
    <w:p w14:paraId="1D6B1615" w14:textId="77777777" w:rsidR="00C26F2D" w:rsidRDefault="004E00D0"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303ADAED" w14:textId="6FDEC8C6" w:rsidR="004B4A60" w:rsidRDefault="004E00D0" w:rsidP="00952E9F"/>
    <w:p w14:paraId="3EEA8C4E" w14:textId="77777777" w:rsidR="004E00D0" w:rsidRDefault="004E00D0" w:rsidP="004E00D0">
      <w:pPr>
        <w:pStyle w:val="Ttulo1"/>
      </w:pPr>
      <w:r>
        <w:t>Education and Outreach Activities of the World Climate Research Programme</w:t>
      </w:r>
    </w:p>
    <w:p w14:paraId="471557CA" w14:textId="77777777" w:rsidR="004E00D0" w:rsidRPr="009B60D6" w:rsidRDefault="004E00D0" w:rsidP="004E00D0">
      <w:pPr>
        <w:pStyle w:val="Ttulo2"/>
      </w:pPr>
      <w:r w:rsidRPr="009B60D6">
        <w:t>Introduction</w:t>
      </w:r>
    </w:p>
    <w:p w14:paraId="18D5B6DA" w14:textId="77777777" w:rsidR="004E00D0" w:rsidRDefault="004E00D0" w:rsidP="004E00D0">
      <w:r>
        <w:t>The co-sponsored</w:t>
      </w:r>
      <w:r w:rsidRPr="4AB75C52">
        <w:rPr>
          <w:rStyle w:val="Refdenotaalpie"/>
        </w:rPr>
        <w:footnoteReference w:id="1"/>
      </w:r>
      <w:r>
        <w:t xml:space="preserve"> World Climate Research Programme (WCRP) relies on a strong international research community with expertise in all aspects of climate science and in all regions of the world. Training, capacity building, higher education, and facilitated collaboration are of paramount importance to sustain and grow this community, particularly through opportunities for early career, underrepresented, and developing country researchers (WCRP, 2019). As such, WCRP takes seriously its responsibility to ensure that the next generation of climate science leaders are ready to take on important roles in guiding the climate research agenda and that all scientists are equipped to engage with society in the context of climate change. While education and outreach activities take place across all WCRP Core Projects and activities, it is particularly useful in this report to highlight two new WCRP initiatives: the </w:t>
      </w:r>
      <w:r w:rsidRPr="00D21012">
        <w:rPr>
          <w:i/>
          <w:iCs/>
        </w:rPr>
        <w:t>WCRP Academy Lighthouse Activity</w:t>
      </w:r>
      <w:r>
        <w:rPr>
          <w:rStyle w:val="Refdenotaalpie"/>
        </w:rPr>
        <w:footnoteReference w:id="2"/>
      </w:r>
      <w:r>
        <w:t xml:space="preserve"> and the </w:t>
      </w:r>
      <w:r w:rsidRPr="00D21012">
        <w:rPr>
          <w:i/>
          <w:iCs/>
        </w:rPr>
        <w:t>Climate and Cryosphere (</w:t>
      </w:r>
      <w:proofErr w:type="spellStart"/>
      <w:r w:rsidRPr="00D21012">
        <w:rPr>
          <w:i/>
          <w:iCs/>
        </w:rPr>
        <w:t>CliC</w:t>
      </w:r>
      <w:proofErr w:type="spellEnd"/>
      <w:r w:rsidRPr="00D21012">
        <w:rPr>
          <w:i/>
          <w:iCs/>
        </w:rPr>
        <w:t>)</w:t>
      </w:r>
      <w:r w:rsidRPr="00D21012">
        <w:rPr>
          <w:rStyle w:val="Refdenotaalpie"/>
          <w:i/>
          <w:iCs/>
        </w:rPr>
        <w:footnoteReference w:id="3"/>
      </w:r>
      <w:r w:rsidRPr="00D21012">
        <w:rPr>
          <w:i/>
          <w:iCs/>
        </w:rPr>
        <w:t xml:space="preserve"> Fellowships and Grants</w:t>
      </w:r>
      <w:r>
        <w:t xml:space="preserve">. </w:t>
      </w:r>
    </w:p>
    <w:p w14:paraId="59D49433" w14:textId="77777777" w:rsidR="004E00D0" w:rsidRDefault="004E00D0" w:rsidP="004E00D0"/>
    <w:p w14:paraId="4B463B8C" w14:textId="77777777" w:rsidR="004E00D0" w:rsidRPr="009B60D6" w:rsidRDefault="004E00D0" w:rsidP="004E00D0">
      <w:pPr>
        <w:pStyle w:val="Ttulo2"/>
      </w:pPr>
      <w:r>
        <w:t>WCRP Academy</w:t>
      </w:r>
    </w:p>
    <w:p w14:paraId="60674D96" w14:textId="77777777" w:rsidR="004E00D0" w:rsidRDefault="004E00D0" w:rsidP="004E00D0">
      <w:pPr>
        <w:rPr>
          <w:lang w:val="en-US"/>
        </w:rPr>
      </w:pPr>
      <w:r>
        <w:t xml:space="preserve">In 2020 five key areas were identified by WCRP where rapid advancement is required </w:t>
      </w:r>
      <w:r w:rsidRPr="4AB75C52">
        <w:rPr>
          <w:color w:val="000000"/>
          <w:shd w:val="clear" w:color="auto" w:fill="FFFFFF"/>
          <w:lang w:eastAsia="en-GB"/>
        </w:rPr>
        <w:t>to manage climate risk and meet society’s urgent need for robust and actionable climate information more effectively</w:t>
      </w:r>
      <w:r>
        <w:rPr>
          <w:color w:val="000000"/>
          <w:shd w:val="clear" w:color="auto" w:fill="FFFFFF"/>
          <w:lang w:eastAsia="en-GB"/>
        </w:rPr>
        <w:t>.</w:t>
      </w:r>
      <w:r w:rsidRPr="4AB75C52">
        <w:rPr>
          <w:color w:val="000000"/>
          <w:shd w:val="clear" w:color="auto" w:fill="FFFFFF"/>
          <w:lang w:eastAsia="en-GB"/>
        </w:rPr>
        <w:t xml:space="preserve"> </w:t>
      </w:r>
      <w:r>
        <w:rPr>
          <w:color w:val="000000"/>
          <w:shd w:val="clear" w:color="auto" w:fill="FFFFFF"/>
          <w:lang w:eastAsia="en-GB"/>
        </w:rPr>
        <w:t>These</w:t>
      </w:r>
      <w:r w:rsidRPr="4AB75C52">
        <w:rPr>
          <w:color w:val="000000"/>
          <w:shd w:val="clear" w:color="auto" w:fill="FFFFFF"/>
          <w:lang w:eastAsia="en-GB"/>
        </w:rPr>
        <w:t xml:space="preserve"> were developed into five </w:t>
      </w:r>
      <w:r>
        <w:rPr>
          <w:color w:val="000000"/>
          <w:shd w:val="clear" w:color="auto" w:fill="FFFFFF"/>
          <w:lang w:eastAsia="en-GB"/>
        </w:rPr>
        <w:t>“</w:t>
      </w:r>
      <w:r w:rsidRPr="4AB75C52">
        <w:rPr>
          <w:color w:val="000000"/>
          <w:shd w:val="clear" w:color="auto" w:fill="FFFFFF"/>
          <w:lang w:eastAsia="en-GB"/>
        </w:rPr>
        <w:t>Lighthouse Activities</w:t>
      </w:r>
      <w:r>
        <w:rPr>
          <w:color w:val="000000"/>
          <w:shd w:val="clear" w:color="auto" w:fill="FFFFFF"/>
          <w:lang w:eastAsia="en-GB"/>
        </w:rPr>
        <w:t>.”</w:t>
      </w:r>
      <w:r w:rsidRPr="4AB75C52">
        <w:rPr>
          <w:rStyle w:val="Refdenotaalpie"/>
          <w:color w:val="000000"/>
          <w:shd w:val="clear" w:color="auto" w:fill="FFFFFF"/>
          <w:lang w:eastAsia="en-GB"/>
        </w:rPr>
        <w:footnoteReference w:id="4"/>
      </w:r>
      <w:r w:rsidRPr="04A9EB8E">
        <w:rPr>
          <w:color w:val="000000"/>
          <w:shd w:val="clear" w:color="auto" w:fill="FFFFFF"/>
          <w:lang w:eastAsia="en-GB"/>
        </w:rPr>
        <w:t> </w:t>
      </w:r>
      <w:r w:rsidRPr="4AB75C52">
        <w:rPr>
          <w:color w:val="000000"/>
          <w:shd w:val="clear" w:color="auto" w:fill="FFFFFF"/>
          <w:lang w:val="en-US" w:eastAsia="en-GB"/>
        </w:rPr>
        <w:t xml:space="preserve">One of these Lighthouse Activities was built on the realization that we need to ensure that climate science education and training not just </w:t>
      </w:r>
      <w:r>
        <w:rPr>
          <w:lang w:val="en-US"/>
        </w:rPr>
        <w:t>keeps pace with, but anticipates, the knowledge and tools that will be required in the future to meet the challenges and take advantage of the opportunities of a changing climate.</w:t>
      </w:r>
    </w:p>
    <w:p w14:paraId="76186AA0" w14:textId="77777777" w:rsidR="004E00D0" w:rsidRDefault="004E00D0" w:rsidP="004E00D0">
      <w:pPr>
        <w:rPr>
          <w:lang w:val="en-US"/>
        </w:rPr>
      </w:pPr>
    </w:p>
    <w:p w14:paraId="21BF74FD" w14:textId="77777777" w:rsidR="004E00D0" w:rsidRDefault="004E00D0" w:rsidP="004E00D0">
      <w:pPr>
        <w:rPr>
          <w:lang w:val="en-US"/>
        </w:rPr>
      </w:pPr>
      <w:r w:rsidRPr="04A9EB8E">
        <w:rPr>
          <w:lang w:val="en-US"/>
        </w:rPr>
        <w:t xml:space="preserve">In 2021, the WCRP Academy initiated its inaugural Climate Training </w:t>
      </w:r>
      <w:proofErr w:type="spellStart"/>
      <w:r w:rsidRPr="04A9EB8E">
        <w:rPr>
          <w:lang w:val="en-US"/>
        </w:rPr>
        <w:t>Stocktake</w:t>
      </w:r>
      <w:proofErr w:type="spellEnd"/>
      <w:r w:rsidRPr="04A9EB8E">
        <w:rPr>
          <w:lang w:val="en-US"/>
        </w:rPr>
        <w:t xml:space="preserve"> Survey. It received over 400 complete responses, the results of which are currently being analyzed. The survey asked respondents about climate science education and training that they were currently undertaking, or had undertaken in the past, and asked them to identify any training they would like to do in the future. It also asked about training availability in the country in which the respondents lived and about any perceived barriers to accessing education and training. A publication on the findings of the survey is planned towards the end of 2022.</w:t>
      </w:r>
    </w:p>
    <w:p w14:paraId="48F7C0F0" w14:textId="77777777" w:rsidR="004E00D0" w:rsidRDefault="004E00D0" w:rsidP="004E00D0">
      <w:pPr>
        <w:rPr>
          <w:lang w:val="en-US"/>
        </w:rPr>
      </w:pPr>
    </w:p>
    <w:p w14:paraId="63B18569" w14:textId="77777777" w:rsidR="004E00D0" w:rsidRDefault="004E00D0" w:rsidP="004E00D0">
      <w:pPr>
        <w:rPr>
          <w:lang w:val="en-US"/>
        </w:rPr>
      </w:pPr>
      <w:r>
        <w:rPr>
          <w:lang w:val="en-US"/>
        </w:rPr>
        <w:t xml:space="preserve">The preliminary results of the Climate Training </w:t>
      </w:r>
      <w:proofErr w:type="spellStart"/>
      <w:r>
        <w:rPr>
          <w:lang w:val="en-US"/>
        </w:rPr>
        <w:t>Stocktake</w:t>
      </w:r>
      <w:proofErr w:type="spellEnd"/>
      <w:r>
        <w:rPr>
          <w:lang w:val="en-US"/>
        </w:rPr>
        <w:t xml:space="preserve"> Survey have identified that one of the highest barriers to education and training is ‘limited knowledge of available options.’</w:t>
      </w:r>
      <w:r>
        <w:rPr>
          <w:rStyle w:val="Refdenotaalpie"/>
          <w:lang w:val="en-US"/>
        </w:rPr>
        <w:footnoteReference w:id="5"/>
      </w:r>
      <w:r>
        <w:rPr>
          <w:lang w:val="en-US"/>
        </w:rPr>
        <w:t xml:space="preserve"> There are now many different training opportunities offered both online and in person, from universities, technical institutes, online training providers (including </w:t>
      </w:r>
      <w:r w:rsidRPr="00011C88">
        <w:rPr>
          <w:lang w:val="en-US"/>
        </w:rPr>
        <w:t>Massive Open Online Courses or MOOCs</w:t>
      </w:r>
      <w:r>
        <w:rPr>
          <w:lang w:val="en-US"/>
        </w:rPr>
        <w:t xml:space="preserve">), and from many other sources (including WCRP). Ascertaining the quality and even content of all these courses can be difficult. </w:t>
      </w:r>
    </w:p>
    <w:p w14:paraId="2C57FF43" w14:textId="77777777" w:rsidR="004E00D0" w:rsidRDefault="004E00D0" w:rsidP="004E00D0">
      <w:pPr>
        <w:rPr>
          <w:lang w:val="en-US"/>
        </w:rPr>
      </w:pPr>
    </w:p>
    <w:p w14:paraId="46E87951" w14:textId="77777777" w:rsidR="004E00D0" w:rsidRPr="00A62625" w:rsidRDefault="004E00D0" w:rsidP="004E00D0">
      <w:pPr>
        <w:rPr>
          <w:lang w:val="en-US"/>
        </w:rPr>
      </w:pPr>
      <w:r w:rsidRPr="04A9EB8E">
        <w:rPr>
          <w:lang w:val="en-US"/>
        </w:rPr>
        <w:t xml:space="preserve">The WCRP Academy is planning to build an online portal that links climate science training providers with those seeking training, to make the various options available clearer. The </w:t>
      </w:r>
      <w:r w:rsidRPr="04A9EB8E">
        <w:rPr>
          <w:lang w:val="en-US"/>
        </w:rPr>
        <w:lastRenderedPageBreak/>
        <w:t xml:space="preserve">Academy will not itself act as a training provider (although other parts of WCRP will do so) but will </w:t>
      </w:r>
      <w:r w:rsidRPr="04A9EB8E">
        <w:rPr>
          <w:lang/>
        </w:rPr>
        <w:t xml:space="preserve">help </w:t>
      </w:r>
      <w:r w:rsidRPr="04A9EB8E">
        <w:rPr>
          <w:lang w:val="en-US"/>
        </w:rPr>
        <w:t xml:space="preserve">to </w:t>
      </w:r>
      <w:r w:rsidRPr="04A9EB8E">
        <w:rPr>
          <w:lang/>
        </w:rPr>
        <w:t xml:space="preserve">build a global community of climate researchers at all career stages to facilitate lifelong learning and skills matching for current and future research projects across the globe. </w:t>
      </w:r>
      <w:r w:rsidRPr="04A9EB8E">
        <w:rPr>
          <w:lang w:val="en-US"/>
        </w:rPr>
        <w:t xml:space="preserve">The Academy would very much like to partner with the ATCM ICG on Education and Outreach, where appropriate, and with climate science training providers with a focus on the Antarctic continent and Southern Ocean. </w:t>
      </w:r>
    </w:p>
    <w:p w14:paraId="5F82F94E" w14:textId="77777777" w:rsidR="004E00D0" w:rsidRDefault="004E00D0" w:rsidP="004E00D0"/>
    <w:p w14:paraId="3EA32038" w14:textId="77777777" w:rsidR="004E00D0" w:rsidRDefault="004E00D0" w:rsidP="004E00D0">
      <w:pPr>
        <w:pStyle w:val="Ttulo2"/>
      </w:pPr>
      <w:r>
        <w:t>Climate and Cryosphere (</w:t>
      </w:r>
      <w:proofErr w:type="spellStart"/>
      <w:r>
        <w:t>CliC</w:t>
      </w:r>
      <w:proofErr w:type="spellEnd"/>
      <w:r>
        <w:t>) Fellowships and Grants</w:t>
      </w:r>
    </w:p>
    <w:p w14:paraId="1317D9FD" w14:textId="77777777" w:rsidR="004E00D0" w:rsidRDefault="004E00D0" w:rsidP="004E00D0">
      <w:pPr>
        <w:spacing w:line="259" w:lineRule="auto"/>
        <w:rPr>
          <w:lang w:val="en-US"/>
        </w:rPr>
      </w:pPr>
      <w:r>
        <w:t>In 2021, the WCRP Climate and Cryosphere (</w:t>
      </w:r>
      <w:proofErr w:type="spellStart"/>
      <w:r>
        <w:t>CliC</w:t>
      </w:r>
      <w:proofErr w:type="spellEnd"/>
      <w:r>
        <w:t xml:space="preserve">) Core Project developed a new Strategic Plan. One of the objectives of the Plan is to “Establishing </w:t>
      </w:r>
      <w:proofErr w:type="spellStart"/>
      <w:r>
        <w:t>CliC</w:t>
      </w:r>
      <w:proofErr w:type="spellEnd"/>
      <w:r>
        <w:t xml:space="preserve"> fellowships and grants aimed at engaging early career scientists and scientists from under-represented regions and groups in </w:t>
      </w:r>
      <w:proofErr w:type="spellStart"/>
      <w:r>
        <w:t>CliC</w:t>
      </w:r>
      <w:proofErr w:type="spellEnd"/>
      <w:r>
        <w:t xml:space="preserve"> activities” (</w:t>
      </w:r>
      <w:proofErr w:type="spellStart"/>
      <w:r>
        <w:t>CliC</w:t>
      </w:r>
      <w:proofErr w:type="spellEnd"/>
      <w:r>
        <w:t xml:space="preserve">, 2021). The first round of </w:t>
      </w:r>
      <w:proofErr w:type="spellStart"/>
      <w:r>
        <w:t>CliC</w:t>
      </w:r>
      <w:proofErr w:type="spellEnd"/>
      <w:r>
        <w:t xml:space="preserve"> Fellowship and Grants were launched in late 2021and received 48 applications. From the applications, two fellowships and two grants were awarded to early career recipients from Uzbekistan, Pakistan, Germany and Argentina, totalling CHF 48,500. Of all applications received, only five were focused on Antarctic research and none of these were successful in this round. It is hoped that future </w:t>
      </w:r>
      <w:proofErr w:type="spellStart"/>
      <w:r>
        <w:t>CliC</w:t>
      </w:r>
      <w:proofErr w:type="spellEnd"/>
      <w:r>
        <w:t xml:space="preserve"> fellowship and grant calls will attract more applications from early career researchers focused on Antarctica. </w:t>
      </w:r>
      <w:r w:rsidRPr="04A9EB8E">
        <w:rPr>
          <w:lang w:val="en-US"/>
        </w:rPr>
        <w:t xml:space="preserve">It is expected that another round of </w:t>
      </w:r>
      <w:proofErr w:type="spellStart"/>
      <w:r w:rsidRPr="04A9EB8E">
        <w:rPr>
          <w:lang w:val="en-US"/>
        </w:rPr>
        <w:t>CliC</w:t>
      </w:r>
      <w:proofErr w:type="spellEnd"/>
      <w:r w:rsidRPr="04A9EB8E">
        <w:rPr>
          <w:lang w:val="en-US"/>
        </w:rPr>
        <w:t xml:space="preserve"> Fellowships will be launched in late 2022.</w:t>
      </w:r>
    </w:p>
    <w:p w14:paraId="151289FE" w14:textId="77777777" w:rsidR="004E00D0" w:rsidRDefault="004E00D0" w:rsidP="004E00D0">
      <w:pPr>
        <w:spacing w:line="259" w:lineRule="auto"/>
        <w:rPr>
          <w:lang w:val="en-US"/>
        </w:rPr>
      </w:pPr>
    </w:p>
    <w:p w14:paraId="034488E7" w14:textId="77777777" w:rsidR="004E00D0" w:rsidRDefault="004E00D0" w:rsidP="004E00D0">
      <w:pPr>
        <w:spacing w:line="259" w:lineRule="auto"/>
        <w:rPr>
          <w:lang w:val="en-US"/>
        </w:rPr>
      </w:pPr>
      <w:r>
        <w:rPr>
          <w:lang w:val="en-US"/>
        </w:rPr>
        <w:t xml:space="preserve">For further questions or details please contact </w:t>
      </w:r>
      <w:r w:rsidRPr="00D21012">
        <w:rPr>
          <w:i/>
          <w:iCs/>
          <w:lang w:val="en-US"/>
        </w:rPr>
        <w:t xml:space="preserve">Dr Narelle Van de </w:t>
      </w:r>
      <w:proofErr w:type="spellStart"/>
      <w:r w:rsidRPr="00D21012">
        <w:rPr>
          <w:i/>
          <w:iCs/>
          <w:lang w:val="en-US"/>
        </w:rPr>
        <w:t>Wel</w:t>
      </w:r>
      <w:proofErr w:type="spellEnd"/>
      <w:r w:rsidRPr="00D21012">
        <w:rPr>
          <w:i/>
          <w:iCs/>
          <w:lang w:val="en-US"/>
        </w:rPr>
        <w:t xml:space="preserve"> (</w:t>
      </w:r>
      <w:hyperlink r:id="rId14" w:history="1">
        <w:r w:rsidRPr="00D21012">
          <w:rPr>
            <w:rStyle w:val="Hipervnculo"/>
            <w:i/>
            <w:iCs/>
            <w:lang w:val="en-US"/>
          </w:rPr>
          <w:t>nvanderwel@wmo.int</w:t>
        </w:r>
      </w:hyperlink>
      <w:r w:rsidRPr="00D21012">
        <w:rPr>
          <w:i/>
          <w:iCs/>
          <w:lang w:val="en-US"/>
        </w:rPr>
        <w:t>)</w:t>
      </w:r>
      <w:r>
        <w:rPr>
          <w:lang w:val="en-US"/>
        </w:rPr>
        <w:t xml:space="preserve"> in the first instance.</w:t>
      </w:r>
    </w:p>
    <w:p w14:paraId="7744BF29" w14:textId="77777777" w:rsidR="004E00D0" w:rsidRPr="00BB260F" w:rsidRDefault="004E00D0" w:rsidP="004E00D0">
      <w:pPr>
        <w:spacing w:line="259" w:lineRule="auto"/>
        <w:rPr>
          <w:lang w:val="en-US"/>
        </w:rPr>
      </w:pPr>
    </w:p>
    <w:p w14:paraId="23667F69" w14:textId="77777777" w:rsidR="004E00D0" w:rsidRDefault="004E00D0" w:rsidP="004E00D0">
      <w:pPr>
        <w:pStyle w:val="Ttulo2"/>
      </w:pPr>
      <w:r>
        <w:t>References</w:t>
      </w:r>
    </w:p>
    <w:p w14:paraId="2E329EC3" w14:textId="77777777" w:rsidR="004E00D0" w:rsidRPr="00097ADB" w:rsidRDefault="004E00D0" w:rsidP="004E00D0">
      <w:pPr>
        <w:rPr>
          <w:szCs w:val="22"/>
        </w:rPr>
      </w:pPr>
      <w:proofErr w:type="spellStart"/>
      <w:r w:rsidRPr="4AB75C52">
        <w:t>CliC</w:t>
      </w:r>
      <w:proofErr w:type="spellEnd"/>
      <w:r w:rsidRPr="4AB75C52">
        <w:t>, 2021. Climate and Cryosphere (</w:t>
      </w:r>
      <w:proofErr w:type="spellStart"/>
      <w:r w:rsidRPr="4AB75C52">
        <w:t>CliC</w:t>
      </w:r>
      <w:proofErr w:type="spellEnd"/>
      <w:r w:rsidRPr="4AB75C52">
        <w:t>) Strategic Plan 2022–2031. World Climate Research Programme</w:t>
      </w:r>
      <w:r w:rsidRPr="00097ADB">
        <w:rPr>
          <w:szCs w:val="22"/>
        </w:rPr>
        <w:t xml:space="preserve"> </w:t>
      </w:r>
      <w:r w:rsidRPr="4AB75C52">
        <w:t xml:space="preserve">(WCRP) Publication 8/2021 [F. </w:t>
      </w:r>
      <w:proofErr w:type="spellStart"/>
      <w:r w:rsidRPr="4AB75C52">
        <w:t>Straneo</w:t>
      </w:r>
      <w:proofErr w:type="spellEnd"/>
      <w:r w:rsidRPr="4AB75C52">
        <w:t xml:space="preserve">, J. Renwick, T. </w:t>
      </w:r>
      <w:proofErr w:type="spellStart"/>
      <w:r w:rsidRPr="4AB75C52">
        <w:t>Naish</w:t>
      </w:r>
      <w:proofErr w:type="spellEnd"/>
      <w:r w:rsidRPr="4AB75C52">
        <w:t xml:space="preserve">, A. Lovecraft, L. H. </w:t>
      </w:r>
      <w:proofErr w:type="spellStart"/>
      <w:r w:rsidRPr="4AB75C52">
        <w:t>Smedsrud</w:t>
      </w:r>
      <w:proofErr w:type="spellEnd"/>
      <w:r w:rsidRPr="4AB75C52">
        <w:t>, E. Hanna,</w:t>
      </w:r>
      <w:r w:rsidRPr="00097ADB">
        <w:rPr>
          <w:szCs w:val="22"/>
        </w:rPr>
        <w:t xml:space="preserve"> </w:t>
      </w:r>
      <w:r w:rsidRPr="4AB75C52">
        <w:t xml:space="preserve">H. Christiansen, C. </w:t>
      </w:r>
      <w:proofErr w:type="spellStart"/>
      <w:r w:rsidRPr="4AB75C52">
        <w:t>Lique</w:t>
      </w:r>
      <w:proofErr w:type="spellEnd"/>
      <w:r w:rsidRPr="4AB75C52">
        <w:t xml:space="preserve">, H. Seroussi, S. Sugiyama, M. </w:t>
      </w:r>
      <w:proofErr w:type="spellStart"/>
      <w:r w:rsidRPr="4AB75C52">
        <w:t>Vancoppenolle</w:t>
      </w:r>
      <w:proofErr w:type="spellEnd"/>
      <w:r w:rsidRPr="4AB75C52">
        <w:t xml:space="preserve">, T. Zhang, B. M. </w:t>
      </w:r>
      <w:proofErr w:type="spellStart"/>
      <w:r w:rsidRPr="4AB75C52">
        <w:t>Balino</w:t>
      </w:r>
      <w:proofErr w:type="spellEnd"/>
      <w:r w:rsidRPr="4AB75C52">
        <w:t>, N. van</w:t>
      </w:r>
      <w:r w:rsidRPr="00097ADB">
        <w:rPr>
          <w:szCs w:val="22"/>
        </w:rPr>
        <w:t xml:space="preserve"> </w:t>
      </w:r>
      <w:r w:rsidRPr="4AB75C52">
        <w:t xml:space="preserve">der </w:t>
      </w:r>
      <w:proofErr w:type="spellStart"/>
      <w:r w:rsidRPr="4AB75C52">
        <w:t>Wel</w:t>
      </w:r>
      <w:proofErr w:type="spellEnd"/>
      <w:r w:rsidRPr="4AB75C52">
        <w:t>, eds.)]</w:t>
      </w:r>
      <w:r w:rsidRPr="4AB75C52">
        <w:rPr>
          <w:rStyle w:val="Refdenotaalpie"/>
        </w:rPr>
        <w:footnoteReference w:id="6"/>
      </w:r>
    </w:p>
    <w:p w14:paraId="67015A7B" w14:textId="77777777" w:rsidR="004E00D0" w:rsidRPr="00097ADB" w:rsidRDefault="004E00D0" w:rsidP="004E00D0">
      <w:pPr>
        <w:rPr>
          <w:szCs w:val="22"/>
          <w:lang w:eastAsia="en-GB"/>
        </w:rPr>
      </w:pPr>
      <w:r w:rsidRPr="4AB75C52">
        <w:rPr>
          <w:lang w:eastAsia="en-GB"/>
        </w:rPr>
        <w:t>WCRP</w:t>
      </w:r>
      <w:r w:rsidRPr="4AB75C52">
        <w:rPr>
          <w:lang w:val="en-US" w:eastAsia="en-GB"/>
        </w:rPr>
        <w:t xml:space="preserve">, </w:t>
      </w:r>
      <w:r w:rsidRPr="4AB75C52">
        <w:rPr>
          <w:lang w:eastAsia="en-GB"/>
        </w:rPr>
        <w:t>2019. World Climate Research Programme Strategic Plan 2019–2028. WCRP Publication 1/2019.</w:t>
      </w:r>
      <w:r w:rsidRPr="4AB75C52">
        <w:rPr>
          <w:rStyle w:val="Refdenotaalpie"/>
          <w:lang w:eastAsia="en-GB"/>
        </w:rPr>
        <w:footnoteReference w:id="7"/>
      </w:r>
    </w:p>
    <w:p w14:paraId="39F91100" w14:textId="77777777" w:rsidR="004E00D0" w:rsidRPr="009B60D6" w:rsidRDefault="004E00D0" w:rsidP="004E00D0"/>
    <w:p w14:paraId="50C945F8" w14:textId="77777777" w:rsidR="004E00D0" w:rsidRDefault="004E00D0" w:rsidP="00952E9F"/>
    <w:sectPr w:rsidR="004E00D0" w:rsidSect="00283F0F">
      <w:headerReference w:type="default" r:id="rId15"/>
      <w:footerReference w:type="default" r:id="rId16"/>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64161" w14:textId="77777777" w:rsidR="00000000" w:rsidRDefault="004E00D0">
      <w:r>
        <w:separator/>
      </w:r>
    </w:p>
  </w:endnote>
  <w:endnote w:type="continuationSeparator" w:id="0">
    <w:p w14:paraId="28544E5A" w14:textId="77777777" w:rsidR="00000000" w:rsidRDefault="004E0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DBFE9" w14:textId="77777777" w:rsidR="00FA0B9F" w:rsidRDefault="004E00D0" w:rsidP="00CF5C82">
    <w:pPr>
      <w:framePr w:wrap="around" w:vAnchor="text" w:hAnchor="margin" w:xAlign="right" w:y="1"/>
    </w:pPr>
    <w:r>
      <w:fldChar w:fldCharType="begin"/>
    </w:r>
    <w:r>
      <w:instrText xml:space="preserve">PAGE  </w:instrText>
    </w:r>
    <w:r>
      <w:fldChar w:fldCharType="separate"/>
    </w:r>
    <w:r>
      <w:fldChar w:fldCharType="end"/>
    </w:r>
  </w:p>
  <w:p w14:paraId="5D281640" w14:textId="77777777" w:rsidR="00FA0B9F" w:rsidRDefault="004E00D0"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2F661" w14:textId="77777777" w:rsidR="00FA0B9F" w:rsidRDefault="004E00D0"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B72D262" w14:textId="4E62B53F" w:rsidR="00FA0B9F" w:rsidRDefault="004E00D0"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7645B" w14:textId="77777777" w:rsidR="004E00D0" w:rsidRDefault="004E00D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B6530" w14:textId="77777777" w:rsidR="00E311C9" w:rsidRDefault="004E00D0"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EF5CC9D" w14:textId="77777777" w:rsidR="00E311C9" w:rsidRDefault="004E00D0"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D91E2" w14:textId="77777777" w:rsidR="00000000" w:rsidRDefault="004E00D0">
      <w:r>
        <w:separator/>
      </w:r>
    </w:p>
  </w:footnote>
  <w:footnote w:type="continuationSeparator" w:id="0">
    <w:p w14:paraId="76D58177" w14:textId="77777777" w:rsidR="00000000" w:rsidRDefault="004E00D0">
      <w:r>
        <w:continuationSeparator/>
      </w:r>
    </w:p>
  </w:footnote>
  <w:footnote w:id="1">
    <w:p w14:paraId="230E118E" w14:textId="77777777" w:rsidR="004E00D0" w:rsidRPr="00D21012" w:rsidRDefault="004E00D0" w:rsidP="004E00D0">
      <w:pPr>
        <w:pStyle w:val="Textonotapie"/>
        <w:rPr>
          <w:sz w:val="18"/>
          <w:szCs w:val="18"/>
        </w:rPr>
      </w:pPr>
      <w:r w:rsidRPr="4AB75C52">
        <w:rPr>
          <w:rStyle w:val="Refdenotaalpie"/>
        </w:rPr>
        <w:footnoteRef/>
      </w:r>
      <w:r w:rsidRPr="4AB75C52">
        <w:t xml:space="preserve"> </w:t>
      </w:r>
      <w:r w:rsidRPr="00D21012">
        <w:rPr>
          <w:sz w:val="18"/>
          <w:szCs w:val="18"/>
        </w:rPr>
        <w:t>WCRP is co-sponsored by the World Meteorological Organization (WMO), the International Science Council (ISC) and the Intergovernmental Oceanographic Commission of UNESCO (IOC-UNESCO)</w:t>
      </w:r>
    </w:p>
  </w:footnote>
  <w:footnote w:id="2">
    <w:p w14:paraId="6DC44548" w14:textId="77777777" w:rsidR="004E00D0" w:rsidRPr="00D21012" w:rsidRDefault="004E00D0" w:rsidP="004E00D0">
      <w:pPr>
        <w:pStyle w:val="Textonotapie"/>
        <w:rPr>
          <w:sz w:val="18"/>
          <w:szCs w:val="18"/>
        </w:rPr>
      </w:pPr>
      <w:r w:rsidRPr="00D21012">
        <w:rPr>
          <w:rStyle w:val="Refdenotaalpie"/>
          <w:sz w:val="18"/>
          <w:szCs w:val="18"/>
        </w:rPr>
        <w:footnoteRef/>
      </w:r>
      <w:r w:rsidRPr="00D21012">
        <w:rPr>
          <w:sz w:val="18"/>
          <w:szCs w:val="18"/>
        </w:rPr>
        <w:t xml:space="preserve"> https://www.wcrp-climate.org/academy</w:t>
      </w:r>
    </w:p>
  </w:footnote>
  <w:footnote w:id="3">
    <w:p w14:paraId="1DA2CD0D" w14:textId="77777777" w:rsidR="004E00D0" w:rsidRPr="00D21012" w:rsidRDefault="004E00D0" w:rsidP="004E00D0">
      <w:pPr>
        <w:pStyle w:val="Textonotapie"/>
        <w:rPr>
          <w:sz w:val="18"/>
          <w:szCs w:val="18"/>
        </w:rPr>
      </w:pPr>
      <w:r w:rsidRPr="00D21012">
        <w:rPr>
          <w:rStyle w:val="Refdenotaalpie"/>
          <w:sz w:val="18"/>
          <w:szCs w:val="18"/>
        </w:rPr>
        <w:footnoteRef/>
      </w:r>
      <w:r w:rsidRPr="00D21012">
        <w:rPr>
          <w:sz w:val="18"/>
          <w:szCs w:val="18"/>
        </w:rPr>
        <w:t xml:space="preserve"> https://climate-cryosphere.org</w:t>
      </w:r>
    </w:p>
  </w:footnote>
  <w:footnote w:id="4">
    <w:p w14:paraId="09A122CC" w14:textId="77777777" w:rsidR="004E00D0" w:rsidRPr="00D21012" w:rsidRDefault="004E00D0" w:rsidP="004E00D0">
      <w:pPr>
        <w:pStyle w:val="Textonotapie"/>
        <w:rPr>
          <w:sz w:val="18"/>
          <w:szCs w:val="18"/>
        </w:rPr>
      </w:pPr>
      <w:r w:rsidRPr="00D21012">
        <w:rPr>
          <w:rStyle w:val="Refdenotaalpie"/>
          <w:sz w:val="18"/>
          <w:szCs w:val="18"/>
        </w:rPr>
        <w:footnoteRef/>
      </w:r>
      <w:r w:rsidRPr="00D21012">
        <w:rPr>
          <w:sz w:val="18"/>
          <w:szCs w:val="18"/>
        </w:rPr>
        <w:t xml:space="preserve"> https://www.wcrp-climate.org/lha-overview</w:t>
      </w:r>
    </w:p>
  </w:footnote>
  <w:footnote w:id="5">
    <w:p w14:paraId="05C0B2FF" w14:textId="77777777" w:rsidR="004E00D0" w:rsidRPr="00960A4C" w:rsidRDefault="004E00D0" w:rsidP="004E00D0">
      <w:pPr>
        <w:pStyle w:val="Textonotapie"/>
        <w:rPr>
          <w:lang w:val="en-US"/>
        </w:rPr>
      </w:pPr>
      <w:r w:rsidRPr="00D21012">
        <w:rPr>
          <w:rStyle w:val="Refdenotaalpie"/>
          <w:sz w:val="18"/>
          <w:szCs w:val="18"/>
        </w:rPr>
        <w:footnoteRef/>
      </w:r>
      <w:r w:rsidRPr="00D21012">
        <w:rPr>
          <w:sz w:val="18"/>
          <w:szCs w:val="18"/>
        </w:rPr>
        <w:t xml:space="preserve"> </w:t>
      </w:r>
      <w:r w:rsidRPr="00D21012">
        <w:rPr>
          <w:sz w:val="18"/>
          <w:szCs w:val="18"/>
          <w:lang w:val="en-US"/>
        </w:rPr>
        <w:t>Financial barriers, a local lack of expertise, and training limited to formal studies were also all ranked high as barriers to climate science education and training</w:t>
      </w:r>
    </w:p>
  </w:footnote>
  <w:footnote w:id="6">
    <w:p w14:paraId="4C9F8DAB" w14:textId="77777777" w:rsidR="004E00D0" w:rsidRPr="00D21012" w:rsidRDefault="004E00D0" w:rsidP="004E00D0">
      <w:pPr>
        <w:pStyle w:val="Textonotapie"/>
        <w:rPr>
          <w:sz w:val="18"/>
          <w:szCs w:val="18"/>
        </w:rPr>
      </w:pPr>
      <w:r w:rsidRPr="00D21012">
        <w:rPr>
          <w:rStyle w:val="Refdenotaalpie"/>
          <w:sz w:val="18"/>
          <w:szCs w:val="18"/>
        </w:rPr>
        <w:footnoteRef/>
      </w:r>
      <w:r w:rsidRPr="00D21012">
        <w:rPr>
          <w:sz w:val="18"/>
          <w:szCs w:val="18"/>
        </w:rPr>
        <w:t xml:space="preserve"> </w:t>
      </w:r>
      <w:hyperlink r:id="rId1" w:history="1">
        <w:r w:rsidRPr="00D21012">
          <w:rPr>
            <w:rStyle w:val="Hipervnculo"/>
            <w:color w:val="auto"/>
            <w:sz w:val="18"/>
            <w:szCs w:val="18"/>
            <w:u w:val="none"/>
          </w:rPr>
          <w:t>https://www.wcrp-climate.org/WCRP-publications/2021/CliC_StrategicPlan_2022-2031-c.pdf</w:t>
        </w:r>
      </w:hyperlink>
    </w:p>
  </w:footnote>
  <w:footnote w:id="7">
    <w:p w14:paraId="200AB955" w14:textId="77777777" w:rsidR="004E00D0" w:rsidRPr="008161D8" w:rsidRDefault="004E00D0" w:rsidP="004E00D0">
      <w:pPr>
        <w:pStyle w:val="Textonotapie"/>
        <w:rPr>
          <w:lang w:val="en-US"/>
        </w:rPr>
      </w:pPr>
      <w:r w:rsidRPr="00D21012">
        <w:rPr>
          <w:rStyle w:val="Refdenotaalpie"/>
          <w:sz w:val="18"/>
          <w:szCs w:val="18"/>
        </w:rPr>
        <w:footnoteRef/>
      </w:r>
      <w:r w:rsidRPr="00D21012">
        <w:rPr>
          <w:sz w:val="18"/>
          <w:szCs w:val="18"/>
        </w:rPr>
        <w:t xml:space="preserve"> https://www.wcrp-climate.org/images/documents/WCRP_Strategic_Plan_2019/WCRP-Strategic-Plan-2019-2028-FINAL-c.pdf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BCAA2" w14:textId="77777777" w:rsidR="004E00D0" w:rsidRDefault="004E00D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3165D5" w14:paraId="7859DBE5" w14:textId="77777777" w:rsidTr="00490760">
      <w:trPr>
        <w:trHeight w:val="344"/>
        <w:jc w:val="center"/>
      </w:trPr>
      <w:tc>
        <w:tcPr>
          <w:tcW w:w="5495" w:type="dxa"/>
        </w:tcPr>
        <w:p w14:paraId="7557DFC9" w14:textId="77777777" w:rsidR="00DB7C09" w:rsidRDefault="004E00D0" w:rsidP="00F968D4"/>
      </w:tc>
      <w:tc>
        <w:tcPr>
          <w:tcW w:w="4253" w:type="dxa"/>
          <w:gridSpan w:val="2"/>
        </w:tcPr>
        <w:p w14:paraId="47311230" w14:textId="77777777" w:rsidR="00DB7C09" w:rsidRPr="00BD47E4" w:rsidRDefault="004E00D0" w:rsidP="002A07BC">
          <w:pPr>
            <w:jc w:val="right"/>
            <w:rPr>
              <w:b/>
              <w:sz w:val="32"/>
              <w:szCs w:val="32"/>
            </w:rPr>
          </w:pPr>
          <w:bookmarkStart w:id="2" w:name="type"/>
          <w:r w:rsidRPr="00BD47E4">
            <w:rPr>
              <w:b/>
              <w:sz w:val="32"/>
              <w:szCs w:val="32"/>
            </w:rPr>
            <w:t>IP</w:t>
          </w:r>
          <w:bookmarkEnd w:id="2"/>
        </w:p>
      </w:tc>
      <w:tc>
        <w:tcPr>
          <w:tcW w:w="1524" w:type="dxa"/>
          <w:gridSpan w:val="2"/>
        </w:tcPr>
        <w:p w14:paraId="40939221" w14:textId="77777777" w:rsidR="00DB7C09" w:rsidRPr="00BD47E4" w:rsidRDefault="004E00D0" w:rsidP="00DB7C09">
          <w:pPr>
            <w:rPr>
              <w:b/>
              <w:sz w:val="32"/>
              <w:szCs w:val="32"/>
            </w:rPr>
          </w:pPr>
          <w:bookmarkStart w:id="3" w:name="number"/>
          <w:r w:rsidRPr="00BD47E4">
            <w:rPr>
              <w:b/>
              <w:sz w:val="32"/>
              <w:szCs w:val="32"/>
            </w:rPr>
            <w:t>74</w:t>
          </w:r>
          <w:bookmarkEnd w:id="3"/>
        </w:p>
      </w:tc>
    </w:tr>
    <w:tr w:rsidR="003165D5" w14:paraId="17E0490A" w14:textId="77777777" w:rsidTr="00490760">
      <w:trPr>
        <w:trHeight w:val="2165"/>
        <w:jc w:val="center"/>
      </w:trPr>
      <w:tc>
        <w:tcPr>
          <w:tcW w:w="5495" w:type="dxa"/>
        </w:tcPr>
        <w:p w14:paraId="2A55CD37" w14:textId="77777777" w:rsidR="00490760" w:rsidRPr="00EE4D48" w:rsidRDefault="004E00D0" w:rsidP="002A07BC">
          <w:pPr>
            <w:rPr>
              <w:b/>
              <w:sz w:val="28"/>
              <w:szCs w:val="28"/>
            </w:rPr>
          </w:pPr>
          <w:r>
            <w:rPr>
              <w:noProof/>
            </w:rPr>
            <w:drawing>
              <wp:inline distT="0" distB="0" distL="0" distR="0" wp14:anchorId="6D92AD30" wp14:editId="2F0AFC1B">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81437"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38AE758C" w14:textId="77777777" w:rsidR="00490760" w:rsidRPr="00FE5146" w:rsidRDefault="004E00D0" w:rsidP="00490760">
          <w:pPr>
            <w:jc w:val="right"/>
            <w:rPr>
              <w:sz w:val="144"/>
              <w:szCs w:val="144"/>
            </w:rPr>
          </w:pPr>
          <w:r w:rsidRPr="00FE5146">
            <w:rPr>
              <w:sz w:val="144"/>
              <w:szCs w:val="144"/>
            </w:rPr>
            <w:t>ENG</w:t>
          </w:r>
        </w:p>
      </w:tc>
    </w:tr>
    <w:tr w:rsidR="003165D5" w14:paraId="58A71D79" w14:textId="77777777" w:rsidTr="00BD47E4">
      <w:trPr>
        <w:trHeight w:val="409"/>
        <w:jc w:val="center"/>
      </w:trPr>
      <w:tc>
        <w:tcPr>
          <w:tcW w:w="9039" w:type="dxa"/>
          <w:gridSpan w:val="2"/>
        </w:tcPr>
        <w:p w14:paraId="125EBB8F" w14:textId="77777777" w:rsidR="00BD47E4" w:rsidRDefault="004E00D0" w:rsidP="002C30DA">
          <w:pPr>
            <w:jc w:val="right"/>
          </w:pPr>
          <w:r>
            <w:t>Agenda Item:</w:t>
          </w:r>
        </w:p>
      </w:tc>
      <w:tc>
        <w:tcPr>
          <w:tcW w:w="1843" w:type="dxa"/>
          <w:gridSpan w:val="2"/>
        </w:tcPr>
        <w:p w14:paraId="69A51890" w14:textId="77777777" w:rsidR="004E00D0" w:rsidRDefault="004E00D0" w:rsidP="002C30DA">
          <w:pPr>
            <w:jc w:val="right"/>
          </w:pPr>
          <w:bookmarkStart w:id="4" w:name="agenda"/>
          <w:r>
            <w:t>ATCM 11,</w:t>
          </w:r>
        </w:p>
        <w:p w14:paraId="574E15E5" w14:textId="3B91F65D" w:rsidR="00BD47E4" w:rsidRDefault="004E00D0" w:rsidP="002C30DA">
          <w:pPr>
            <w:jc w:val="right"/>
          </w:pPr>
          <w:r>
            <w:t xml:space="preserve"> CEP 13</w:t>
          </w:r>
          <w:bookmarkEnd w:id="4"/>
        </w:p>
      </w:tc>
      <w:tc>
        <w:tcPr>
          <w:tcW w:w="390" w:type="dxa"/>
        </w:tcPr>
        <w:p w14:paraId="69AACDD4" w14:textId="77777777" w:rsidR="00BD47E4" w:rsidRDefault="004E00D0" w:rsidP="00387A65">
          <w:pPr>
            <w:jc w:val="right"/>
          </w:pPr>
        </w:p>
      </w:tc>
    </w:tr>
    <w:tr w:rsidR="003165D5" w14:paraId="1D56FE2B" w14:textId="77777777" w:rsidTr="00BD47E4">
      <w:trPr>
        <w:trHeight w:val="397"/>
        <w:jc w:val="center"/>
      </w:trPr>
      <w:tc>
        <w:tcPr>
          <w:tcW w:w="9039" w:type="dxa"/>
          <w:gridSpan w:val="2"/>
        </w:tcPr>
        <w:p w14:paraId="1E229489" w14:textId="77777777" w:rsidR="00BD47E4" w:rsidRDefault="004E00D0" w:rsidP="002C30DA">
          <w:pPr>
            <w:jc w:val="right"/>
          </w:pPr>
          <w:r>
            <w:t>Presented by:</w:t>
          </w:r>
        </w:p>
      </w:tc>
      <w:tc>
        <w:tcPr>
          <w:tcW w:w="1843" w:type="dxa"/>
          <w:gridSpan w:val="2"/>
        </w:tcPr>
        <w:p w14:paraId="2FA8FCA0" w14:textId="77777777" w:rsidR="00BD47E4" w:rsidRDefault="004E00D0" w:rsidP="002C30DA">
          <w:pPr>
            <w:jc w:val="right"/>
          </w:pPr>
          <w:bookmarkStart w:id="5" w:name="party"/>
          <w:r>
            <w:t>WMO</w:t>
          </w:r>
          <w:bookmarkEnd w:id="5"/>
        </w:p>
      </w:tc>
      <w:tc>
        <w:tcPr>
          <w:tcW w:w="390" w:type="dxa"/>
        </w:tcPr>
        <w:p w14:paraId="00F04A17" w14:textId="77777777" w:rsidR="00BD47E4" w:rsidRDefault="004E00D0" w:rsidP="00387A65">
          <w:pPr>
            <w:jc w:val="right"/>
          </w:pPr>
        </w:p>
      </w:tc>
    </w:tr>
    <w:tr w:rsidR="003165D5" w14:paraId="3DD45E36" w14:textId="77777777" w:rsidTr="00BD47E4">
      <w:trPr>
        <w:trHeight w:val="409"/>
        <w:jc w:val="center"/>
      </w:trPr>
      <w:tc>
        <w:tcPr>
          <w:tcW w:w="9039" w:type="dxa"/>
          <w:gridSpan w:val="2"/>
        </w:tcPr>
        <w:p w14:paraId="2D6178BD" w14:textId="77777777" w:rsidR="00BD47E4" w:rsidRDefault="004E00D0" w:rsidP="002C30DA">
          <w:pPr>
            <w:jc w:val="right"/>
          </w:pPr>
          <w:r>
            <w:t>Original:</w:t>
          </w:r>
        </w:p>
      </w:tc>
      <w:tc>
        <w:tcPr>
          <w:tcW w:w="1843" w:type="dxa"/>
          <w:gridSpan w:val="2"/>
        </w:tcPr>
        <w:p w14:paraId="0F61A3B9" w14:textId="77777777" w:rsidR="00BD47E4" w:rsidRDefault="004E00D0" w:rsidP="002C30DA">
          <w:pPr>
            <w:jc w:val="right"/>
          </w:pPr>
          <w:bookmarkStart w:id="6" w:name="language"/>
          <w:r>
            <w:t>English</w:t>
          </w:r>
          <w:bookmarkEnd w:id="6"/>
        </w:p>
      </w:tc>
      <w:tc>
        <w:tcPr>
          <w:tcW w:w="390" w:type="dxa"/>
        </w:tcPr>
        <w:p w14:paraId="2FD29CC1" w14:textId="77777777" w:rsidR="00BD47E4" w:rsidRDefault="004E00D0" w:rsidP="00387A65">
          <w:pPr>
            <w:jc w:val="right"/>
          </w:pPr>
        </w:p>
      </w:tc>
    </w:tr>
    <w:tr w:rsidR="003165D5" w14:paraId="11B40A1F" w14:textId="77777777" w:rsidTr="00BD47E4">
      <w:trPr>
        <w:trHeight w:val="409"/>
        <w:jc w:val="center"/>
      </w:trPr>
      <w:tc>
        <w:tcPr>
          <w:tcW w:w="9039" w:type="dxa"/>
          <w:gridSpan w:val="2"/>
        </w:tcPr>
        <w:p w14:paraId="172F0165" w14:textId="77777777" w:rsidR="0097629D" w:rsidRDefault="004E00D0" w:rsidP="002C30DA">
          <w:pPr>
            <w:jc w:val="right"/>
          </w:pPr>
          <w:r>
            <w:t>Submitted:</w:t>
          </w:r>
        </w:p>
      </w:tc>
      <w:tc>
        <w:tcPr>
          <w:tcW w:w="1843" w:type="dxa"/>
          <w:gridSpan w:val="2"/>
        </w:tcPr>
        <w:p w14:paraId="01552B4E" w14:textId="77777777" w:rsidR="0097629D" w:rsidRDefault="004E00D0" w:rsidP="0097629D">
          <w:pPr>
            <w:jc w:val="right"/>
          </w:pPr>
          <w:bookmarkStart w:id="7" w:name="date_submission"/>
          <w:r>
            <w:t>22/4/2022</w:t>
          </w:r>
          <w:bookmarkEnd w:id="7"/>
        </w:p>
      </w:tc>
      <w:tc>
        <w:tcPr>
          <w:tcW w:w="390" w:type="dxa"/>
        </w:tcPr>
        <w:p w14:paraId="3B6AF7DF" w14:textId="77777777" w:rsidR="0097629D" w:rsidRDefault="004E00D0" w:rsidP="00387A65">
          <w:pPr>
            <w:jc w:val="right"/>
          </w:pPr>
        </w:p>
      </w:tc>
    </w:tr>
  </w:tbl>
  <w:p w14:paraId="42F4F99D" w14:textId="77777777" w:rsidR="00AE5DD0" w:rsidRDefault="004E00D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B13BB" w14:textId="77777777" w:rsidR="004E00D0" w:rsidRDefault="004E00D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3165D5" w14:paraId="01345C90" w14:textId="77777777">
      <w:trPr>
        <w:trHeight w:val="354"/>
        <w:jc w:val="center"/>
      </w:trPr>
      <w:tc>
        <w:tcPr>
          <w:tcW w:w="9694" w:type="dxa"/>
        </w:tcPr>
        <w:p w14:paraId="5EF53623" w14:textId="5A5BAB31" w:rsidR="00AE5DD0" w:rsidRPr="00BD47E4" w:rsidRDefault="004E00D0" w:rsidP="00C26F2D">
          <w:pPr>
            <w:jc w:val="right"/>
            <w:rPr>
              <w:b/>
              <w:sz w:val="32"/>
              <w:szCs w:val="32"/>
            </w:rPr>
          </w:pPr>
          <w:r>
            <w:rPr>
              <w:b/>
              <w:sz w:val="32"/>
              <w:szCs w:val="32"/>
            </w:rPr>
            <w:t>IP</w:t>
          </w:r>
        </w:p>
      </w:tc>
      <w:tc>
        <w:tcPr>
          <w:tcW w:w="1332" w:type="dxa"/>
        </w:tcPr>
        <w:p w14:paraId="002AB37C" w14:textId="3C039102" w:rsidR="00AE5DD0" w:rsidRPr="00BD47E4" w:rsidRDefault="004E00D0" w:rsidP="00080F4C">
          <w:pPr>
            <w:rPr>
              <w:b/>
              <w:sz w:val="32"/>
              <w:szCs w:val="32"/>
            </w:rPr>
          </w:pPr>
          <w:r>
            <w:rPr>
              <w:b/>
              <w:sz w:val="32"/>
              <w:szCs w:val="32"/>
            </w:rPr>
            <w:t>74</w:t>
          </w:r>
        </w:p>
      </w:tc>
    </w:tr>
  </w:tbl>
  <w:p w14:paraId="50CFC2D9" w14:textId="77777777" w:rsidR="00AE5DD0" w:rsidRDefault="004E00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F2E024EC">
      <w:start w:val="1"/>
      <w:numFmt w:val="bullet"/>
      <w:pStyle w:val="ATSBullet1"/>
      <w:lvlText w:val=""/>
      <w:lvlJc w:val="left"/>
      <w:pPr>
        <w:tabs>
          <w:tab w:val="num" w:pos="360"/>
        </w:tabs>
        <w:ind w:left="360" w:hanging="360"/>
      </w:pPr>
      <w:rPr>
        <w:rFonts w:ascii="Symbol" w:hAnsi="Symbol" w:hint="default"/>
        <w:color w:val="auto"/>
      </w:rPr>
    </w:lvl>
    <w:lvl w:ilvl="1" w:tplc="D258197C" w:tentative="1">
      <w:start w:val="1"/>
      <w:numFmt w:val="bullet"/>
      <w:lvlText w:val="o"/>
      <w:lvlJc w:val="left"/>
      <w:pPr>
        <w:tabs>
          <w:tab w:val="num" w:pos="1440"/>
        </w:tabs>
        <w:ind w:left="1440" w:hanging="360"/>
      </w:pPr>
      <w:rPr>
        <w:rFonts w:ascii="Courier New" w:hAnsi="Courier New" w:cs="Courier New" w:hint="default"/>
      </w:rPr>
    </w:lvl>
    <w:lvl w:ilvl="2" w:tplc="FB126674" w:tentative="1">
      <w:start w:val="1"/>
      <w:numFmt w:val="bullet"/>
      <w:lvlText w:val=""/>
      <w:lvlJc w:val="left"/>
      <w:pPr>
        <w:tabs>
          <w:tab w:val="num" w:pos="2160"/>
        </w:tabs>
        <w:ind w:left="2160" w:hanging="360"/>
      </w:pPr>
      <w:rPr>
        <w:rFonts w:ascii="Wingdings" w:hAnsi="Wingdings" w:hint="default"/>
      </w:rPr>
    </w:lvl>
    <w:lvl w:ilvl="3" w:tplc="F78EB102" w:tentative="1">
      <w:start w:val="1"/>
      <w:numFmt w:val="bullet"/>
      <w:lvlText w:val=""/>
      <w:lvlJc w:val="left"/>
      <w:pPr>
        <w:tabs>
          <w:tab w:val="num" w:pos="2880"/>
        </w:tabs>
        <w:ind w:left="2880" w:hanging="360"/>
      </w:pPr>
      <w:rPr>
        <w:rFonts w:ascii="Symbol" w:hAnsi="Symbol" w:hint="default"/>
      </w:rPr>
    </w:lvl>
    <w:lvl w:ilvl="4" w:tplc="2F7C0704" w:tentative="1">
      <w:start w:val="1"/>
      <w:numFmt w:val="bullet"/>
      <w:lvlText w:val="o"/>
      <w:lvlJc w:val="left"/>
      <w:pPr>
        <w:tabs>
          <w:tab w:val="num" w:pos="3600"/>
        </w:tabs>
        <w:ind w:left="3600" w:hanging="360"/>
      </w:pPr>
      <w:rPr>
        <w:rFonts w:ascii="Courier New" w:hAnsi="Courier New" w:cs="Courier New" w:hint="default"/>
      </w:rPr>
    </w:lvl>
    <w:lvl w:ilvl="5" w:tplc="891A5452" w:tentative="1">
      <w:start w:val="1"/>
      <w:numFmt w:val="bullet"/>
      <w:lvlText w:val=""/>
      <w:lvlJc w:val="left"/>
      <w:pPr>
        <w:tabs>
          <w:tab w:val="num" w:pos="4320"/>
        </w:tabs>
        <w:ind w:left="4320" w:hanging="360"/>
      </w:pPr>
      <w:rPr>
        <w:rFonts w:ascii="Wingdings" w:hAnsi="Wingdings" w:hint="default"/>
      </w:rPr>
    </w:lvl>
    <w:lvl w:ilvl="6" w:tplc="65F4D830" w:tentative="1">
      <w:start w:val="1"/>
      <w:numFmt w:val="bullet"/>
      <w:lvlText w:val=""/>
      <w:lvlJc w:val="left"/>
      <w:pPr>
        <w:tabs>
          <w:tab w:val="num" w:pos="5040"/>
        </w:tabs>
        <w:ind w:left="5040" w:hanging="360"/>
      </w:pPr>
      <w:rPr>
        <w:rFonts w:ascii="Symbol" w:hAnsi="Symbol" w:hint="default"/>
      </w:rPr>
    </w:lvl>
    <w:lvl w:ilvl="7" w:tplc="3F6EEEB4" w:tentative="1">
      <w:start w:val="1"/>
      <w:numFmt w:val="bullet"/>
      <w:lvlText w:val="o"/>
      <w:lvlJc w:val="left"/>
      <w:pPr>
        <w:tabs>
          <w:tab w:val="num" w:pos="5760"/>
        </w:tabs>
        <w:ind w:left="5760" w:hanging="360"/>
      </w:pPr>
      <w:rPr>
        <w:rFonts w:ascii="Courier New" w:hAnsi="Courier New" w:cs="Courier New" w:hint="default"/>
      </w:rPr>
    </w:lvl>
    <w:lvl w:ilvl="8" w:tplc="F0ACA76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63181540">
      <w:start w:val="1"/>
      <w:numFmt w:val="decimal"/>
      <w:lvlText w:val="%1)"/>
      <w:lvlJc w:val="left"/>
      <w:pPr>
        <w:tabs>
          <w:tab w:val="num" w:pos="340"/>
        </w:tabs>
        <w:ind w:left="340" w:hanging="340"/>
      </w:pPr>
      <w:rPr>
        <w:rFonts w:hint="default"/>
      </w:rPr>
    </w:lvl>
    <w:lvl w:ilvl="1" w:tplc="BB482D9E" w:tentative="1">
      <w:start w:val="1"/>
      <w:numFmt w:val="lowerLetter"/>
      <w:lvlText w:val="%2."/>
      <w:lvlJc w:val="left"/>
      <w:pPr>
        <w:tabs>
          <w:tab w:val="num" w:pos="1440"/>
        </w:tabs>
        <w:ind w:left="1440" w:hanging="360"/>
      </w:pPr>
    </w:lvl>
    <w:lvl w:ilvl="2" w:tplc="6950850C" w:tentative="1">
      <w:start w:val="1"/>
      <w:numFmt w:val="lowerRoman"/>
      <w:lvlText w:val="%3."/>
      <w:lvlJc w:val="right"/>
      <w:pPr>
        <w:tabs>
          <w:tab w:val="num" w:pos="2160"/>
        </w:tabs>
        <w:ind w:left="2160" w:hanging="180"/>
      </w:pPr>
    </w:lvl>
    <w:lvl w:ilvl="3" w:tplc="B6BA8CCA" w:tentative="1">
      <w:start w:val="1"/>
      <w:numFmt w:val="decimal"/>
      <w:lvlText w:val="%4."/>
      <w:lvlJc w:val="left"/>
      <w:pPr>
        <w:tabs>
          <w:tab w:val="num" w:pos="2880"/>
        </w:tabs>
        <w:ind w:left="2880" w:hanging="360"/>
      </w:pPr>
    </w:lvl>
    <w:lvl w:ilvl="4" w:tplc="99944B24" w:tentative="1">
      <w:start w:val="1"/>
      <w:numFmt w:val="lowerLetter"/>
      <w:lvlText w:val="%5."/>
      <w:lvlJc w:val="left"/>
      <w:pPr>
        <w:tabs>
          <w:tab w:val="num" w:pos="3600"/>
        </w:tabs>
        <w:ind w:left="3600" w:hanging="360"/>
      </w:pPr>
    </w:lvl>
    <w:lvl w:ilvl="5" w:tplc="F4620B7A" w:tentative="1">
      <w:start w:val="1"/>
      <w:numFmt w:val="lowerRoman"/>
      <w:lvlText w:val="%6."/>
      <w:lvlJc w:val="right"/>
      <w:pPr>
        <w:tabs>
          <w:tab w:val="num" w:pos="4320"/>
        </w:tabs>
        <w:ind w:left="4320" w:hanging="180"/>
      </w:pPr>
    </w:lvl>
    <w:lvl w:ilvl="6" w:tplc="C6B236E4" w:tentative="1">
      <w:start w:val="1"/>
      <w:numFmt w:val="decimal"/>
      <w:lvlText w:val="%7."/>
      <w:lvlJc w:val="left"/>
      <w:pPr>
        <w:tabs>
          <w:tab w:val="num" w:pos="5040"/>
        </w:tabs>
        <w:ind w:left="5040" w:hanging="360"/>
      </w:pPr>
    </w:lvl>
    <w:lvl w:ilvl="7" w:tplc="5B66D6CC" w:tentative="1">
      <w:start w:val="1"/>
      <w:numFmt w:val="lowerLetter"/>
      <w:lvlText w:val="%8."/>
      <w:lvlJc w:val="left"/>
      <w:pPr>
        <w:tabs>
          <w:tab w:val="num" w:pos="5760"/>
        </w:tabs>
        <w:ind w:left="5760" w:hanging="360"/>
      </w:pPr>
    </w:lvl>
    <w:lvl w:ilvl="8" w:tplc="C7465C1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85E8B75C">
      <w:start w:val="1"/>
      <w:numFmt w:val="decimal"/>
      <w:lvlText w:val="%1."/>
      <w:lvlJc w:val="left"/>
      <w:pPr>
        <w:tabs>
          <w:tab w:val="num" w:pos="1057"/>
        </w:tabs>
        <w:ind w:left="1057" w:hanging="360"/>
      </w:pPr>
      <w:rPr>
        <w:rFonts w:hint="default"/>
      </w:rPr>
    </w:lvl>
    <w:lvl w:ilvl="1" w:tplc="E974C458" w:tentative="1">
      <w:start w:val="1"/>
      <w:numFmt w:val="lowerLetter"/>
      <w:lvlText w:val="%2."/>
      <w:lvlJc w:val="left"/>
      <w:pPr>
        <w:tabs>
          <w:tab w:val="num" w:pos="2137"/>
        </w:tabs>
        <w:ind w:left="2137" w:hanging="360"/>
      </w:pPr>
    </w:lvl>
    <w:lvl w:ilvl="2" w:tplc="E0584DDA" w:tentative="1">
      <w:start w:val="1"/>
      <w:numFmt w:val="lowerRoman"/>
      <w:lvlText w:val="%3."/>
      <w:lvlJc w:val="right"/>
      <w:pPr>
        <w:tabs>
          <w:tab w:val="num" w:pos="2857"/>
        </w:tabs>
        <w:ind w:left="2857" w:hanging="180"/>
      </w:pPr>
    </w:lvl>
    <w:lvl w:ilvl="3" w:tplc="1256D772" w:tentative="1">
      <w:start w:val="1"/>
      <w:numFmt w:val="decimal"/>
      <w:lvlText w:val="%4."/>
      <w:lvlJc w:val="left"/>
      <w:pPr>
        <w:tabs>
          <w:tab w:val="num" w:pos="3577"/>
        </w:tabs>
        <w:ind w:left="3577" w:hanging="360"/>
      </w:pPr>
    </w:lvl>
    <w:lvl w:ilvl="4" w:tplc="A9BE65A6" w:tentative="1">
      <w:start w:val="1"/>
      <w:numFmt w:val="lowerLetter"/>
      <w:lvlText w:val="%5."/>
      <w:lvlJc w:val="left"/>
      <w:pPr>
        <w:tabs>
          <w:tab w:val="num" w:pos="4297"/>
        </w:tabs>
        <w:ind w:left="4297" w:hanging="360"/>
      </w:pPr>
    </w:lvl>
    <w:lvl w:ilvl="5" w:tplc="2E2A73F8" w:tentative="1">
      <w:start w:val="1"/>
      <w:numFmt w:val="lowerRoman"/>
      <w:lvlText w:val="%6."/>
      <w:lvlJc w:val="right"/>
      <w:pPr>
        <w:tabs>
          <w:tab w:val="num" w:pos="5017"/>
        </w:tabs>
        <w:ind w:left="5017" w:hanging="180"/>
      </w:pPr>
    </w:lvl>
    <w:lvl w:ilvl="6" w:tplc="7C30E12C" w:tentative="1">
      <w:start w:val="1"/>
      <w:numFmt w:val="decimal"/>
      <w:lvlText w:val="%7."/>
      <w:lvlJc w:val="left"/>
      <w:pPr>
        <w:tabs>
          <w:tab w:val="num" w:pos="5737"/>
        </w:tabs>
        <w:ind w:left="5737" w:hanging="360"/>
      </w:pPr>
    </w:lvl>
    <w:lvl w:ilvl="7" w:tplc="0B16AE70" w:tentative="1">
      <w:start w:val="1"/>
      <w:numFmt w:val="lowerLetter"/>
      <w:lvlText w:val="%8."/>
      <w:lvlJc w:val="left"/>
      <w:pPr>
        <w:tabs>
          <w:tab w:val="num" w:pos="6457"/>
        </w:tabs>
        <w:ind w:left="6457" w:hanging="360"/>
      </w:pPr>
    </w:lvl>
    <w:lvl w:ilvl="8" w:tplc="957C4CDE"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DA929C64">
      <w:start w:val="1"/>
      <w:numFmt w:val="decimal"/>
      <w:pStyle w:val="ATSNumber1"/>
      <w:lvlText w:val="%1)"/>
      <w:lvlJc w:val="left"/>
      <w:pPr>
        <w:tabs>
          <w:tab w:val="num" w:pos="720"/>
        </w:tabs>
        <w:ind w:left="720" w:hanging="360"/>
      </w:pPr>
    </w:lvl>
    <w:lvl w:ilvl="1" w:tplc="1CCC1AE2" w:tentative="1">
      <w:start w:val="1"/>
      <w:numFmt w:val="lowerLetter"/>
      <w:lvlText w:val="%2."/>
      <w:lvlJc w:val="left"/>
      <w:pPr>
        <w:tabs>
          <w:tab w:val="num" w:pos="1440"/>
        </w:tabs>
        <w:ind w:left="1440" w:hanging="360"/>
      </w:pPr>
    </w:lvl>
    <w:lvl w:ilvl="2" w:tplc="8F94BE70" w:tentative="1">
      <w:start w:val="1"/>
      <w:numFmt w:val="lowerRoman"/>
      <w:lvlText w:val="%3."/>
      <w:lvlJc w:val="right"/>
      <w:pPr>
        <w:tabs>
          <w:tab w:val="num" w:pos="2160"/>
        </w:tabs>
        <w:ind w:left="2160" w:hanging="180"/>
      </w:pPr>
    </w:lvl>
    <w:lvl w:ilvl="3" w:tplc="451E1450" w:tentative="1">
      <w:start w:val="1"/>
      <w:numFmt w:val="decimal"/>
      <w:lvlText w:val="%4."/>
      <w:lvlJc w:val="left"/>
      <w:pPr>
        <w:tabs>
          <w:tab w:val="num" w:pos="2880"/>
        </w:tabs>
        <w:ind w:left="2880" w:hanging="360"/>
      </w:pPr>
    </w:lvl>
    <w:lvl w:ilvl="4" w:tplc="9DF441E8" w:tentative="1">
      <w:start w:val="1"/>
      <w:numFmt w:val="lowerLetter"/>
      <w:lvlText w:val="%5."/>
      <w:lvlJc w:val="left"/>
      <w:pPr>
        <w:tabs>
          <w:tab w:val="num" w:pos="3600"/>
        </w:tabs>
        <w:ind w:left="3600" w:hanging="360"/>
      </w:pPr>
    </w:lvl>
    <w:lvl w:ilvl="5" w:tplc="CF382E46" w:tentative="1">
      <w:start w:val="1"/>
      <w:numFmt w:val="lowerRoman"/>
      <w:lvlText w:val="%6."/>
      <w:lvlJc w:val="right"/>
      <w:pPr>
        <w:tabs>
          <w:tab w:val="num" w:pos="4320"/>
        </w:tabs>
        <w:ind w:left="4320" w:hanging="180"/>
      </w:pPr>
    </w:lvl>
    <w:lvl w:ilvl="6" w:tplc="A2C4B948" w:tentative="1">
      <w:start w:val="1"/>
      <w:numFmt w:val="decimal"/>
      <w:lvlText w:val="%7."/>
      <w:lvlJc w:val="left"/>
      <w:pPr>
        <w:tabs>
          <w:tab w:val="num" w:pos="5040"/>
        </w:tabs>
        <w:ind w:left="5040" w:hanging="360"/>
      </w:pPr>
    </w:lvl>
    <w:lvl w:ilvl="7" w:tplc="86584ADA" w:tentative="1">
      <w:start w:val="1"/>
      <w:numFmt w:val="lowerLetter"/>
      <w:lvlText w:val="%8."/>
      <w:lvlJc w:val="left"/>
      <w:pPr>
        <w:tabs>
          <w:tab w:val="num" w:pos="5760"/>
        </w:tabs>
        <w:ind w:left="5760" w:hanging="360"/>
      </w:pPr>
    </w:lvl>
    <w:lvl w:ilvl="8" w:tplc="FEC0C5E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78D0274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0E2AC14E" w:tentative="1">
      <w:start w:val="1"/>
      <w:numFmt w:val="bullet"/>
      <w:lvlText w:val="o"/>
      <w:lvlJc w:val="left"/>
      <w:pPr>
        <w:tabs>
          <w:tab w:val="num" w:pos="2517"/>
        </w:tabs>
        <w:ind w:left="2517" w:hanging="360"/>
      </w:pPr>
      <w:rPr>
        <w:rFonts w:ascii="Courier New" w:hAnsi="Courier New" w:cs="Courier New" w:hint="default"/>
      </w:rPr>
    </w:lvl>
    <w:lvl w:ilvl="2" w:tplc="58B0C3D4" w:tentative="1">
      <w:start w:val="1"/>
      <w:numFmt w:val="bullet"/>
      <w:lvlText w:val=""/>
      <w:lvlJc w:val="left"/>
      <w:pPr>
        <w:tabs>
          <w:tab w:val="num" w:pos="3237"/>
        </w:tabs>
        <w:ind w:left="3237" w:hanging="360"/>
      </w:pPr>
      <w:rPr>
        <w:rFonts w:ascii="Wingdings" w:hAnsi="Wingdings" w:hint="default"/>
      </w:rPr>
    </w:lvl>
    <w:lvl w:ilvl="3" w:tplc="391072FE" w:tentative="1">
      <w:start w:val="1"/>
      <w:numFmt w:val="bullet"/>
      <w:lvlText w:val=""/>
      <w:lvlJc w:val="left"/>
      <w:pPr>
        <w:tabs>
          <w:tab w:val="num" w:pos="3957"/>
        </w:tabs>
        <w:ind w:left="3957" w:hanging="360"/>
      </w:pPr>
      <w:rPr>
        <w:rFonts w:ascii="Symbol" w:hAnsi="Symbol" w:hint="default"/>
      </w:rPr>
    </w:lvl>
    <w:lvl w:ilvl="4" w:tplc="090EA3A2" w:tentative="1">
      <w:start w:val="1"/>
      <w:numFmt w:val="bullet"/>
      <w:lvlText w:val="o"/>
      <w:lvlJc w:val="left"/>
      <w:pPr>
        <w:tabs>
          <w:tab w:val="num" w:pos="4677"/>
        </w:tabs>
        <w:ind w:left="4677" w:hanging="360"/>
      </w:pPr>
      <w:rPr>
        <w:rFonts w:ascii="Courier New" w:hAnsi="Courier New" w:cs="Courier New" w:hint="default"/>
      </w:rPr>
    </w:lvl>
    <w:lvl w:ilvl="5" w:tplc="00180700" w:tentative="1">
      <w:start w:val="1"/>
      <w:numFmt w:val="bullet"/>
      <w:lvlText w:val=""/>
      <w:lvlJc w:val="left"/>
      <w:pPr>
        <w:tabs>
          <w:tab w:val="num" w:pos="5397"/>
        </w:tabs>
        <w:ind w:left="5397" w:hanging="360"/>
      </w:pPr>
      <w:rPr>
        <w:rFonts w:ascii="Wingdings" w:hAnsi="Wingdings" w:hint="default"/>
      </w:rPr>
    </w:lvl>
    <w:lvl w:ilvl="6" w:tplc="C4D6B706" w:tentative="1">
      <w:start w:val="1"/>
      <w:numFmt w:val="bullet"/>
      <w:lvlText w:val=""/>
      <w:lvlJc w:val="left"/>
      <w:pPr>
        <w:tabs>
          <w:tab w:val="num" w:pos="6117"/>
        </w:tabs>
        <w:ind w:left="6117" w:hanging="360"/>
      </w:pPr>
      <w:rPr>
        <w:rFonts w:ascii="Symbol" w:hAnsi="Symbol" w:hint="default"/>
      </w:rPr>
    </w:lvl>
    <w:lvl w:ilvl="7" w:tplc="FBB4D416" w:tentative="1">
      <w:start w:val="1"/>
      <w:numFmt w:val="bullet"/>
      <w:lvlText w:val="o"/>
      <w:lvlJc w:val="left"/>
      <w:pPr>
        <w:tabs>
          <w:tab w:val="num" w:pos="6837"/>
        </w:tabs>
        <w:ind w:left="6837" w:hanging="360"/>
      </w:pPr>
      <w:rPr>
        <w:rFonts w:ascii="Courier New" w:hAnsi="Courier New" w:cs="Courier New" w:hint="default"/>
      </w:rPr>
    </w:lvl>
    <w:lvl w:ilvl="8" w:tplc="DE364FB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C2DE5598">
      <w:start w:val="1"/>
      <w:numFmt w:val="decimal"/>
      <w:pStyle w:val="ATSNumber2"/>
      <w:lvlText w:val="%1."/>
      <w:lvlJc w:val="left"/>
      <w:pPr>
        <w:tabs>
          <w:tab w:val="num" w:pos="720"/>
        </w:tabs>
        <w:ind w:left="720" w:hanging="360"/>
      </w:pPr>
      <w:rPr>
        <w:rFonts w:hint="default"/>
      </w:rPr>
    </w:lvl>
    <w:lvl w:ilvl="1" w:tplc="190AD99A" w:tentative="1">
      <w:start w:val="1"/>
      <w:numFmt w:val="lowerLetter"/>
      <w:lvlText w:val="%2."/>
      <w:lvlJc w:val="left"/>
      <w:pPr>
        <w:tabs>
          <w:tab w:val="num" w:pos="1440"/>
        </w:tabs>
        <w:ind w:left="1440" w:hanging="360"/>
      </w:pPr>
    </w:lvl>
    <w:lvl w:ilvl="2" w:tplc="7AEAEDA8" w:tentative="1">
      <w:start w:val="1"/>
      <w:numFmt w:val="lowerRoman"/>
      <w:lvlText w:val="%3."/>
      <w:lvlJc w:val="right"/>
      <w:pPr>
        <w:tabs>
          <w:tab w:val="num" w:pos="2160"/>
        </w:tabs>
        <w:ind w:left="2160" w:hanging="180"/>
      </w:pPr>
    </w:lvl>
    <w:lvl w:ilvl="3" w:tplc="C77C5EC0" w:tentative="1">
      <w:start w:val="1"/>
      <w:numFmt w:val="decimal"/>
      <w:lvlText w:val="%4."/>
      <w:lvlJc w:val="left"/>
      <w:pPr>
        <w:tabs>
          <w:tab w:val="num" w:pos="2880"/>
        </w:tabs>
        <w:ind w:left="2880" w:hanging="360"/>
      </w:pPr>
    </w:lvl>
    <w:lvl w:ilvl="4" w:tplc="78860844" w:tentative="1">
      <w:start w:val="1"/>
      <w:numFmt w:val="lowerLetter"/>
      <w:lvlText w:val="%5."/>
      <w:lvlJc w:val="left"/>
      <w:pPr>
        <w:tabs>
          <w:tab w:val="num" w:pos="3600"/>
        </w:tabs>
        <w:ind w:left="3600" w:hanging="360"/>
      </w:pPr>
    </w:lvl>
    <w:lvl w:ilvl="5" w:tplc="84B23C6A" w:tentative="1">
      <w:start w:val="1"/>
      <w:numFmt w:val="lowerRoman"/>
      <w:lvlText w:val="%6."/>
      <w:lvlJc w:val="right"/>
      <w:pPr>
        <w:tabs>
          <w:tab w:val="num" w:pos="4320"/>
        </w:tabs>
        <w:ind w:left="4320" w:hanging="180"/>
      </w:pPr>
    </w:lvl>
    <w:lvl w:ilvl="6" w:tplc="FA82DF02" w:tentative="1">
      <w:start w:val="1"/>
      <w:numFmt w:val="decimal"/>
      <w:lvlText w:val="%7."/>
      <w:lvlJc w:val="left"/>
      <w:pPr>
        <w:tabs>
          <w:tab w:val="num" w:pos="5040"/>
        </w:tabs>
        <w:ind w:left="5040" w:hanging="360"/>
      </w:pPr>
    </w:lvl>
    <w:lvl w:ilvl="7" w:tplc="E2B033EC" w:tentative="1">
      <w:start w:val="1"/>
      <w:numFmt w:val="lowerLetter"/>
      <w:lvlText w:val="%8."/>
      <w:lvlJc w:val="left"/>
      <w:pPr>
        <w:tabs>
          <w:tab w:val="num" w:pos="5760"/>
        </w:tabs>
        <w:ind w:left="5760" w:hanging="360"/>
      </w:pPr>
    </w:lvl>
    <w:lvl w:ilvl="8" w:tplc="51C43060" w:tentative="1">
      <w:start w:val="1"/>
      <w:numFmt w:val="lowerRoman"/>
      <w:lvlText w:val="%9."/>
      <w:lvlJc w:val="right"/>
      <w:pPr>
        <w:tabs>
          <w:tab w:val="num" w:pos="6480"/>
        </w:tabs>
        <w:ind w:left="6480" w:hanging="180"/>
      </w:pPr>
    </w:lvl>
  </w:abstractNum>
  <w:num w:numId="1" w16cid:durableId="736711703">
    <w:abstractNumId w:val="9"/>
  </w:num>
  <w:num w:numId="2" w16cid:durableId="2020815489">
    <w:abstractNumId w:val="7"/>
  </w:num>
  <w:num w:numId="3" w16cid:durableId="1371220965">
    <w:abstractNumId w:val="6"/>
  </w:num>
  <w:num w:numId="4" w16cid:durableId="505174082">
    <w:abstractNumId w:val="5"/>
  </w:num>
  <w:num w:numId="5" w16cid:durableId="217326119">
    <w:abstractNumId w:val="4"/>
  </w:num>
  <w:num w:numId="6" w16cid:durableId="959527609">
    <w:abstractNumId w:val="8"/>
  </w:num>
  <w:num w:numId="7" w16cid:durableId="1624575238">
    <w:abstractNumId w:val="3"/>
  </w:num>
  <w:num w:numId="8" w16cid:durableId="2050107878">
    <w:abstractNumId w:val="2"/>
  </w:num>
  <w:num w:numId="9" w16cid:durableId="665741884">
    <w:abstractNumId w:val="1"/>
  </w:num>
  <w:num w:numId="10" w16cid:durableId="644512752">
    <w:abstractNumId w:val="0"/>
  </w:num>
  <w:num w:numId="11" w16cid:durableId="1154175644">
    <w:abstractNumId w:val="11"/>
  </w:num>
  <w:num w:numId="12" w16cid:durableId="1911306655">
    <w:abstractNumId w:val="15"/>
  </w:num>
  <w:num w:numId="13" w16cid:durableId="297691280">
    <w:abstractNumId w:val="14"/>
  </w:num>
  <w:num w:numId="14" w16cid:durableId="1839420089">
    <w:abstractNumId w:val="12"/>
  </w:num>
  <w:num w:numId="15" w16cid:durableId="1071736294">
    <w:abstractNumId w:val="13"/>
  </w:num>
  <w:num w:numId="16" w16cid:durableId="737829933">
    <w:abstractNumId w:val="10"/>
  </w:num>
  <w:num w:numId="17" w16cid:durableId="702246477">
    <w:abstractNumId w:val="11"/>
  </w:num>
  <w:num w:numId="18" w16cid:durableId="818226853">
    <w:abstractNumId w:val="15"/>
  </w:num>
  <w:num w:numId="19" w16cid:durableId="1995864982">
    <w:abstractNumId w:val="14"/>
  </w:num>
  <w:num w:numId="20" w16cid:durableId="3861015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5D5"/>
    <w:rsid w:val="003165D5"/>
    <w:rsid w:val="004E00D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F5D9CB8"/>
  <w15:chartTrackingRefBased/>
  <w15:docId w15:val="{B8269BBA-796C-480D-8741-7D6159AD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link w:val="Ttulo1Car"/>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link w:val="Ttulo2Car"/>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link w:val="TextonotapieCar"/>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tulo1Car">
    <w:name w:val="Título 1 Car"/>
    <w:basedOn w:val="Fuentedeprrafopredeter"/>
    <w:link w:val="Ttulo1"/>
    <w:rsid w:val="004E00D0"/>
    <w:rPr>
      <w:rFonts w:ascii="Arial" w:hAnsi="Arial"/>
      <w:b/>
      <w:kern w:val="28"/>
      <w:sz w:val="32"/>
      <w:lang w:val="en-GB" w:eastAsia="en-US"/>
    </w:rPr>
  </w:style>
  <w:style w:type="character" w:customStyle="1" w:styleId="Ttulo2Car">
    <w:name w:val="Título 2 Car"/>
    <w:basedOn w:val="Fuentedeprrafopredeter"/>
    <w:link w:val="Ttulo2"/>
    <w:rsid w:val="004E00D0"/>
    <w:rPr>
      <w:b/>
      <w:i/>
      <w:sz w:val="28"/>
      <w:lang w:val="en-GB" w:eastAsia="en-US"/>
    </w:rPr>
  </w:style>
  <w:style w:type="character" w:customStyle="1" w:styleId="TextonotapieCar">
    <w:name w:val="Texto nota pie Car"/>
    <w:basedOn w:val="Fuentedeprrafopredeter"/>
    <w:link w:val="Textonotapie"/>
    <w:rsid w:val="004E00D0"/>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nvanderwel@wmo.in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wcrp-climate.org/WCRP-publications/2021/CliC_StrategicPlan_2022-2031-c.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776</Words>
  <Characters>4415</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2022-04-22T13:36:00Z</dcterms:modified>
</cp:coreProperties>
</file>