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0292E" w14:textId="77777777" w:rsidR="00C26F2D" w:rsidRPr="00BF077B" w:rsidRDefault="00F200E8" w:rsidP="00BF077B">
      <w:pPr>
        <w:pStyle w:val="ATSNormal"/>
        <w:rPr>
          <w:rStyle w:val="Ttulodellibro"/>
        </w:rPr>
      </w:pPr>
    </w:p>
    <w:p w14:paraId="1298B995" w14:textId="77777777" w:rsidR="002F0A13" w:rsidRDefault="00F200E8" w:rsidP="004B4A60">
      <w:pPr>
        <w:rPr>
          <w:b/>
          <w:u w:val="single"/>
          <w:lang w:val="es-ES_tradnl"/>
        </w:rPr>
      </w:pPr>
    </w:p>
    <w:p w14:paraId="081443E0" w14:textId="77777777" w:rsidR="002F0A13" w:rsidRDefault="00F200E8" w:rsidP="004B4A60">
      <w:pPr>
        <w:rPr>
          <w:b/>
          <w:u w:val="single"/>
          <w:lang w:val="es-ES_tradnl"/>
        </w:rPr>
      </w:pPr>
    </w:p>
    <w:p w14:paraId="0C7CAB70" w14:textId="77777777" w:rsidR="002F0A13" w:rsidRDefault="00F200E8" w:rsidP="004B4A60">
      <w:pPr>
        <w:rPr>
          <w:b/>
          <w:u w:val="single"/>
          <w:lang w:val="es-ES_tradnl"/>
        </w:rPr>
      </w:pPr>
    </w:p>
    <w:p w14:paraId="25C9B0F8" w14:textId="77777777" w:rsidR="002F0A13" w:rsidRDefault="00F200E8" w:rsidP="004B4A60">
      <w:pPr>
        <w:rPr>
          <w:b/>
          <w:u w:val="single"/>
          <w:lang w:val="es-ES_tradnl"/>
        </w:rPr>
      </w:pPr>
    </w:p>
    <w:p w14:paraId="4596E64C" w14:textId="77777777" w:rsidR="00C26F2D" w:rsidRDefault="00F200E8" w:rsidP="004B4A60">
      <w:pPr>
        <w:rPr>
          <w:b/>
          <w:u w:val="single"/>
          <w:lang w:val="es-ES_tradnl"/>
        </w:rPr>
      </w:pPr>
    </w:p>
    <w:p w14:paraId="490DC108" w14:textId="77777777" w:rsidR="004B4A60" w:rsidRPr="0057246E" w:rsidRDefault="001B0A36" w:rsidP="001B789F">
      <w:pPr>
        <w:pStyle w:val="ATSTitle"/>
      </w:pPr>
      <w:bookmarkStart w:id="0" w:name="name"/>
      <w:r>
        <w:t>ASOC report to the ATCM</w:t>
      </w:r>
      <w:bookmarkEnd w:id="0"/>
    </w:p>
    <w:p w14:paraId="2FB33E6D" w14:textId="77777777" w:rsidR="004B4A60" w:rsidRPr="0057246E" w:rsidRDefault="00F200E8" w:rsidP="00F75424">
      <w:pPr>
        <w:jc w:val="center"/>
      </w:pPr>
    </w:p>
    <w:p w14:paraId="0A6EB25E" w14:textId="77777777" w:rsidR="004B4A60" w:rsidRPr="002F0A13" w:rsidRDefault="00F200E8" w:rsidP="002F0A13"/>
    <w:p w14:paraId="53BD80A9" w14:textId="77777777" w:rsidR="004B4A60" w:rsidRDefault="00F200E8" w:rsidP="00F75424">
      <w:pPr>
        <w:jc w:val="center"/>
      </w:pPr>
      <w:bookmarkStart w:id="1" w:name="memo"/>
      <w:bookmarkEnd w:id="1"/>
    </w:p>
    <w:p w14:paraId="27FDBC4C" w14:textId="77777777" w:rsidR="0097629D" w:rsidRDefault="00F200E8" w:rsidP="00F75424">
      <w:pPr>
        <w:jc w:val="center"/>
      </w:pPr>
    </w:p>
    <w:p w14:paraId="4C2D6E79" w14:textId="77777777" w:rsidR="0097629D" w:rsidRDefault="00F200E8" w:rsidP="00F75424">
      <w:pPr>
        <w:jc w:val="center"/>
      </w:pPr>
    </w:p>
    <w:p w14:paraId="05F40103" w14:textId="77777777" w:rsidR="0097629D" w:rsidRDefault="00F200E8" w:rsidP="00F75424">
      <w:pPr>
        <w:jc w:val="center"/>
      </w:pPr>
    </w:p>
    <w:p w14:paraId="7CD77686" w14:textId="77777777" w:rsidR="0097629D" w:rsidRPr="00C26F2D" w:rsidRDefault="00F200E8" w:rsidP="00F75424">
      <w:pPr>
        <w:jc w:val="center"/>
      </w:pPr>
    </w:p>
    <w:p w14:paraId="70EAF9D9" w14:textId="77777777" w:rsidR="004B4A60" w:rsidRPr="0057246E" w:rsidRDefault="00F200E8" w:rsidP="004B4A60"/>
    <w:p w14:paraId="017FEDC0" w14:textId="77777777" w:rsidR="00C26F2D" w:rsidRDefault="00F200E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78007A7" w14:textId="77777777" w:rsidR="001B0A36" w:rsidRPr="00055D5E" w:rsidRDefault="001B0A36" w:rsidP="001B0A36">
      <w:pPr>
        <w:pStyle w:val="ATSHeading1"/>
      </w:pPr>
      <w:r w:rsidRPr="00055D5E">
        <w:lastRenderedPageBreak/>
        <w:t xml:space="preserve">ASOC </w:t>
      </w:r>
      <w:r>
        <w:t>r</w:t>
      </w:r>
      <w:r w:rsidRPr="00055D5E">
        <w:t>eport to the ATCM</w:t>
      </w:r>
    </w:p>
    <w:p w14:paraId="75B25B78" w14:textId="77777777" w:rsidR="001B0A36" w:rsidRPr="00A10AF1" w:rsidRDefault="001B0A36" w:rsidP="001B0A36">
      <w:pPr>
        <w:pStyle w:val="ATSHeading2"/>
        <w:spacing w:before="0" w:after="100" w:afterAutospacing="1"/>
        <w:jc w:val="center"/>
        <w:rPr>
          <w:i w:val="0"/>
          <w:iCs/>
          <w:sz w:val="22"/>
        </w:rPr>
      </w:pPr>
      <w:r w:rsidRPr="00A10AF1">
        <w:rPr>
          <w:i w:val="0"/>
          <w:iCs/>
          <w:sz w:val="22"/>
        </w:rPr>
        <w:t>Information Paper submitted by ASOC</w:t>
      </w:r>
    </w:p>
    <w:p w14:paraId="566C0793" w14:textId="77777777" w:rsidR="001B0A36" w:rsidRPr="00C54C38" w:rsidRDefault="001B0A36" w:rsidP="001B0A36">
      <w:pPr>
        <w:pStyle w:val="ATSHeading2"/>
        <w:spacing w:before="120"/>
        <w:rPr>
          <w:rFonts w:cs="Arial"/>
        </w:rPr>
      </w:pPr>
      <w:r w:rsidRPr="00C54C38">
        <w:rPr>
          <w:rFonts w:cs="Arial"/>
        </w:rPr>
        <w:t>Introduction</w:t>
      </w:r>
    </w:p>
    <w:p w14:paraId="096B6B59" w14:textId="77777777" w:rsidR="001B0A36" w:rsidRPr="008D00A5" w:rsidRDefault="001B0A36" w:rsidP="001B0A36"/>
    <w:p w14:paraId="7901D9BE" w14:textId="77777777" w:rsidR="001B0A36" w:rsidRPr="006B32AA" w:rsidRDefault="001B0A36" w:rsidP="001B0A36">
      <w:pPr>
        <w:jc w:val="both"/>
        <w:rPr>
          <w:szCs w:val="22"/>
        </w:rPr>
      </w:pPr>
      <w:r w:rsidRPr="006B32AA">
        <w:rPr>
          <w:szCs w:val="22"/>
        </w:rPr>
        <w:t xml:space="preserve">ASOC is pleased to be attending the XLIV Antarctic Treaty Consultative Meeting. This report briefly describes ASOC’s work over the last year. </w:t>
      </w:r>
    </w:p>
    <w:p w14:paraId="570B58DD" w14:textId="77777777" w:rsidR="001B0A36" w:rsidRPr="006B32AA" w:rsidRDefault="001B0A36" w:rsidP="001B0A36">
      <w:pPr>
        <w:jc w:val="both"/>
        <w:rPr>
          <w:szCs w:val="22"/>
        </w:rPr>
      </w:pPr>
    </w:p>
    <w:p w14:paraId="695D0673" w14:textId="77777777" w:rsidR="001B0A36" w:rsidRPr="006B32AA" w:rsidRDefault="001B0A36" w:rsidP="001B0A36">
      <w:pPr>
        <w:jc w:val="both"/>
        <w:rPr>
          <w:szCs w:val="22"/>
        </w:rPr>
      </w:pPr>
      <w:r w:rsidRPr="006B32AA">
        <w:rPr>
          <w:szCs w:val="22"/>
        </w:rPr>
        <w:t xml:space="preserve">ASOC’s Secretariat is </w:t>
      </w:r>
      <w:r>
        <w:rPr>
          <w:szCs w:val="22"/>
        </w:rPr>
        <w:t xml:space="preserve">located </w:t>
      </w:r>
      <w:r w:rsidRPr="006B32AA">
        <w:rPr>
          <w:szCs w:val="22"/>
        </w:rPr>
        <w:t xml:space="preserve">in Washington, DC, USA, and its website is </w:t>
      </w:r>
      <w:hyperlink r:id="rId11" w:history="1">
        <w:r w:rsidRPr="006B32AA">
          <w:rPr>
            <w:szCs w:val="22"/>
          </w:rPr>
          <w:t>https://www.asoc.org</w:t>
        </w:r>
      </w:hyperlink>
      <w:r w:rsidRPr="006B32AA">
        <w:rPr>
          <w:szCs w:val="22"/>
        </w:rPr>
        <w:t>. ASOC has 24 member</w:t>
      </w:r>
      <w:r>
        <w:rPr>
          <w:szCs w:val="22"/>
        </w:rPr>
        <w:t xml:space="preserve"> organizations</w:t>
      </w:r>
      <w:r w:rsidRPr="006B32AA">
        <w:rPr>
          <w:szCs w:val="22"/>
        </w:rPr>
        <w:t xml:space="preserve"> </w:t>
      </w:r>
      <w:r>
        <w:rPr>
          <w:szCs w:val="22"/>
        </w:rPr>
        <w:t xml:space="preserve">active in </w:t>
      </w:r>
      <w:r w:rsidRPr="006B32AA">
        <w:rPr>
          <w:szCs w:val="22"/>
        </w:rPr>
        <w:t xml:space="preserve">a wide range of </w:t>
      </w:r>
      <w:r>
        <w:rPr>
          <w:szCs w:val="22"/>
        </w:rPr>
        <w:t xml:space="preserve">Antarctic Treaty </w:t>
      </w:r>
      <w:r w:rsidRPr="006B32AA">
        <w:rPr>
          <w:szCs w:val="22"/>
        </w:rPr>
        <w:t>countries who are committed to the preservation of Antarctica as a place for peace and science. We are pleased to report that the International Cryosphere Climate Initiative has re-joined ASOC since the XLIII ATCM.</w:t>
      </w:r>
    </w:p>
    <w:p w14:paraId="30CD66C2" w14:textId="77777777" w:rsidR="001B0A36" w:rsidRPr="006B32AA" w:rsidRDefault="001B0A36" w:rsidP="001B0A36">
      <w:pPr>
        <w:jc w:val="both"/>
        <w:rPr>
          <w:szCs w:val="22"/>
        </w:rPr>
      </w:pPr>
    </w:p>
    <w:p w14:paraId="52EBF96A" w14:textId="77777777" w:rsidR="001B0A36" w:rsidRPr="006B32AA" w:rsidRDefault="001B0A36" w:rsidP="001B0A36">
      <w:pPr>
        <w:jc w:val="both"/>
        <w:rPr>
          <w:szCs w:val="22"/>
        </w:rPr>
      </w:pPr>
      <w:r>
        <w:rPr>
          <w:szCs w:val="22"/>
        </w:rPr>
        <w:t>Although t</w:t>
      </w:r>
      <w:r w:rsidRPr="006B32AA">
        <w:rPr>
          <w:szCs w:val="22"/>
        </w:rPr>
        <w:t xml:space="preserve">he ongoing pandemic and current global affairs prove undoubted difficulties to the work of the ATCM, </w:t>
      </w:r>
      <w:r>
        <w:rPr>
          <w:szCs w:val="22"/>
        </w:rPr>
        <w:t>it is</w:t>
      </w:r>
      <w:r w:rsidRPr="006B32AA">
        <w:rPr>
          <w:szCs w:val="22"/>
        </w:rPr>
        <w:t xml:space="preserve"> now more than ever, </w:t>
      </w:r>
      <w:r>
        <w:rPr>
          <w:szCs w:val="22"/>
        </w:rPr>
        <w:t xml:space="preserve">that </w:t>
      </w:r>
      <w:r w:rsidRPr="006B32AA">
        <w:rPr>
          <w:szCs w:val="22"/>
        </w:rPr>
        <w:t xml:space="preserve">Consultative Parties need urgently to address the impacts of climate change in Antarctica and its surrounding ocean. </w:t>
      </w:r>
      <w:r w:rsidRPr="00F108A9">
        <w:rPr>
          <w:color w:val="222222"/>
          <w:shd w:val="clear" w:color="auto" w:fill="FFFFFF"/>
        </w:rPr>
        <w:t>In the words of the UN Secretary-General on the publication of the Intergovernmental Panel on Climate Change’s Working Group III Report </w:t>
      </w:r>
      <w:r w:rsidRPr="00F108A9">
        <w:rPr>
          <w:i/>
          <w:iCs/>
          <w:color w:val="222222"/>
          <w:shd w:val="clear" w:color="auto" w:fill="FFFFFF"/>
        </w:rPr>
        <w:t>“Mitigation of Climate Change”</w:t>
      </w:r>
      <w:r w:rsidRPr="00F108A9">
        <w:rPr>
          <w:color w:val="222222"/>
          <w:shd w:val="clear" w:color="auto" w:fill="FFFFFF"/>
        </w:rPr>
        <w:t> in April, “</w:t>
      </w:r>
      <w:r w:rsidRPr="00F108A9">
        <w:rPr>
          <w:i/>
          <w:iCs/>
          <w:color w:val="222222"/>
          <w:shd w:val="clear" w:color="auto" w:fill="FFFFFF"/>
        </w:rPr>
        <w:t>The jury has reached a verdict. And it is damning</w:t>
      </w:r>
      <w:r>
        <w:rPr>
          <w:i/>
          <w:iCs/>
          <w:color w:val="222222"/>
          <w:shd w:val="clear" w:color="auto" w:fill="FFFFFF"/>
        </w:rPr>
        <w:t>…</w:t>
      </w:r>
      <w:r w:rsidRPr="00F108A9">
        <w:rPr>
          <w:i/>
          <w:iCs/>
          <w:color w:val="222222"/>
          <w:shd w:val="clear" w:color="auto" w:fill="FFFFFF"/>
        </w:rPr>
        <w:t>It is a file of shame, cataloguing the empty pledges that put us firmly on track towards an unliveable world......Climate scientists warn that we are already perilously close to tipping points that could lead to cascading and irreversible climate impacts.”</w:t>
      </w:r>
      <w:r>
        <w:rPr>
          <w:rFonts w:ascii="Arial" w:hAnsi="Arial" w:cs="Arial"/>
          <w:i/>
          <w:iCs/>
          <w:color w:val="222222"/>
          <w:shd w:val="clear" w:color="auto" w:fill="FFFFFF"/>
        </w:rPr>
        <w:t> </w:t>
      </w:r>
      <w:r w:rsidRPr="006B32AA">
        <w:rPr>
          <w:szCs w:val="22"/>
        </w:rPr>
        <w:t xml:space="preserve">ASOC therefore encourages the </w:t>
      </w:r>
      <w:r>
        <w:rPr>
          <w:szCs w:val="22"/>
        </w:rPr>
        <w:t>ATCM t</w:t>
      </w:r>
      <w:r w:rsidRPr="006B32AA">
        <w:rPr>
          <w:szCs w:val="22"/>
        </w:rPr>
        <w:t xml:space="preserve">o rise to the occasion and </w:t>
      </w:r>
      <w:r>
        <w:rPr>
          <w:szCs w:val="22"/>
        </w:rPr>
        <w:t>provide urgent protection to vulnerable ecosystems and prevent irreversible damage at this time of rapid change.</w:t>
      </w:r>
      <w:r w:rsidRPr="006B32AA">
        <w:rPr>
          <w:szCs w:val="22"/>
        </w:rPr>
        <w:t xml:space="preserve"> </w:t>
      </w:r>
    </w:p>
    <w:p w14:paraId="41CC48A6" w14:textId="77777777" w:rsidR="001B0A36" w:rsidRPr="006B32AA" w:rsidRDefault="001B0A36" w:rsidP="001B0A36">
      <w:pPr>
        <w:jc w:val="both"/>
        <w:rPr>
          <w:szCs w:val="22"/>
        </w:rPr>
      </w:pPr>
    </w:p>
    <w:p w14:paraId="550BECC8" w14:textId="77777777" w:rsidR="001B0A36" w:rsidRPr="006B32AA" w:rsidRDefault="001B0A36" w:rsidP="001B0A36">
      <w:pPr>
        <w:jc w:val="both"/>
        <w:rPr>
          <w:szCs w:val="22"/>
        </w:rPr>
      </w:pPr>
      <w:r w:rsidRPr="006B32AA" w:rsidDel="00805DA9">
        <w:rPr>
          <w:szCs w:val="22"/>
        </w:rPr>
        <w:t>2021 marked several major Antarctic anniversaries</w:t>
      </w:r>
      <w:r>
        <w:rPr>
          <w:szCs w:val="22"/>
        </w:rPr>
        <w:t xml:space="preserve">, including the </w:t>
      </w:r>
      <w:r w:rsidRPr="006B32AA">
        <w:rPr>
          <w:szCs w:val="22"/>
        </w:rPr>
        <w:t>60</w:t>
      </w:r>
      <w:r w:rsidRPr="006B32AA">
        <w:rPr>
          <w:szCs w:val="22"/>
          <w:vertAlign w:val="superscript"/>
        </w:rPr>
        <w:t>th</w:t>
      </w:r>
      <w:r w:rsidRPr="006B32AA">
        <w:rPr>
          <w:szCs w:val="22"/>
        </w:rPr>
        <w:t xml:space="preserve"> anniversary of the </w:t>
      </w:r>
      <w:r>
        <w:rPr>
          <w:szCs w:val="22"/>
        </w:rPr>
        <w:t xml:space="preserve">entry into force of the </w:t>
      </w:r>
      <w:r w:rsidRPr="006B32AA">
        <w:rPr>
          <w:szCs w:val="22"/>
        </w:rPr>
        <w:t>Antarctic Treaty, the 30</w:t>
      </w:r>
      <w:r w:rsidRPr="006B32AA">
        <w:rPr>
          <w:szCs w:val="22"/>
          <w:vertAlign w:val="superscript"/>
        </w:rPr>
        <w:t>th</w:t>
      </w:r>
      <w:r w:rsidRPr="006B32AA">
        <w:rPr>
          <w:szCs w:val="22"/>
        </w:rPr>
        <w:t xml:space="preserve"> anniversary of the Madrid Protocol on Environmental Protection, and the 40</w:t>
      </w:r>
      <w:r w:rsidRPr="006B32AA">
        <w:rPr>
          <w:szCs w:val="22"/>
          <w:vertAlign w:val="superscript"/>
        </w:rPr>
        <w:t>th</w:t>
      </w:r>
      <w:r w:rsidRPr="006B32AA">
        <w:rPr>
          <w:szCs w:val="22"/>
        </w:rPr>
        <w:t xml:space="preserve"> meeting of the Commission for the Conservation of Antarctic Marine Living Resources (CCAMLR). </w:t>
      </w:r>
      <w:r>
        <w:rPr>
          <w:szCs w:val="22"/>
        </w:rPr>
        <w:t xml:space="preserve">Furthermore, </w:t>
      </w:r>
      <w:r w:rsidRPr="00FB1332">
        <w:rPr>
          <w:szCs w:val="22"/>
        </w:rPr>
        <w:t>the 40</w:t>
      </w:r>
      <w:r w:rsidRPr="00A63993">
        <w:rPr>
          <w:szCs w:val="22"/>
          <w:vertAlign w:val="superscript"/>
        </w:rPr>
        <w:t>th</w:t>
      </w:r>
      <w:r w:rsidRPr="00FB1332">
        <w:rPr>
          <w:szCs w:val="22"/>
        </w:rPr>
        <w:t xml:space="preserve"> anniversary of the CAMLR Convention coming into force</w:t>
      </w:r>
      <w:r>
        <w:rPr>
          <w:szCs w:val="22"/>
        </w:rPr>
        <w:t xml:space="preserve"> was celebrated earlier in 2022.</w:t>
      </w:r>
      <w:r w:rsidRPr="006B32AA" w:rsidDel="00805DA9">
        <w:rPr>
          <w:szCs w:val="22"/>
        </w:rPr>
        <w:t xml:space="preserve"> </w:t>
      </w:r>
      <w:r w:rsidRPr="006B32AA">
        <w:rPr>
          <w:szCs w:val="22"/>
        </w:rPr>
        <w:t xml:space="preserve">These milestones highlight the need to embark on a new era of Antarctic </w:t>
      </w:r>
      <w:r>
        <w:rPr>
          <w:szCs w:val="22"/>
        </w:rPr>
        <w:t xml:space="preserve">preservation and </w:t>
      </w:r>
      <w:r w:rsidRPr="006B32AA">
        <w:rPr>
          <w:szCs w:val="22"/>
        </w:rPr>
        <w:t xml:space="preserve">conservation, including designating </w:t>
      </w:r>
      <w:r>
        <w:rPr>
          <w:szCs w:val="22"/>
        </w:rPr>
        <w:t xml:space="preserve">new </w:t>
      </w:r>
      <w:r w:rsidRPr="006B32AA">
        <w:rPr>
          <w:szCs w:val="22"/>
        </w:rPr>
        <w:t xml:space="preserve">protected areas, assigning emperor penguins the status of </w:t>
      </w:r>
      <w:r>
        <w:rPr>
          <w:szCs w:val="22"/>
        </w:rPr>
        <w:t>S</w:t>
      </w:r>
      <w:r w:rsidRPr="006B32AA">
        <w:rPr>
          <w:szCs w:val="22"/>
        </w:rPr>
        <w:t xml:space="preserve">pecially </w:t>
      </w:r>
      <w:r>
        <w:rPr>
          <w:szCs w:val="22"/>
        </w:rPr>
        <w:t>P</w:t>
      </w:r>
      <w:r w:rsidRPr="006B32AA">
        <w:rPr>
          <w:szCs w:val="22"/>
        </w:rPr>
        <w:t xml:space="preserve">rotected </w:t>
      </w:r>
      <w:r>
        <w:rPr>
          <w:szCs w:val="22"/>
        </w:rPr>
        <w:t>S</w:t>
      </w:r>
      <w:r w:rsidRPr="006B32AA">
        <w:rPr>
          <w:szCs w:val="22"/>
        </w:rPr>
        <w:t xml:space="preserve">pecies, and responding to </w:t>
      </w:r>
      <w:r>
        <w:rPr>
          <w:szCs w:val="22"/>
        </w:rPr>
        <w:t xml:space="preserve">the impact of </w:t>
      </w:r>
      <w:r w:rsidRPr="006B32AA">
        <w:rPr>
          <w:szCs w:val="22"/>
        </w:rPr>
        <w:t>climate change.</w:t>
      </w:r>
      <w:r w:rsidDel="00161452">
        <w:rPr>
          <w:szCs w:val="22"/>
        </w:rPr>
        <w:t xml:space="preserve"> </w:t>
      </w:r>
    </w:p>
    <w:p w14:paraId="4587A4C0" w14:textId="77777777" w:rsidR="001B0A36" w:rsidRDefault="001B0A36" w:rsidP="001B0A36">
      <w:pPr>
        <w:pStyle w:val="ATSHeading3"/>
        <w:spacing w:before="0" w:after="0"/>
      </w:pPr>
    </w:p>
    <w:p w14:paraId="7FC82965" w14:textId="77777777" w:rsidR="001B0A36" w:rsidRPr="00C54C38" w:rsidRDefault="001B0A36" w:rsidP="001B0A36">
      <w:pPr>
        <w:pStyle w:val="ATSHeading3"/>
        <w:spacing w:before="0" w:after="0"/>
        <w:rPr>
          <w:rFonts w:ascii="Arial" w:hAnsi="Arial" w:cs="Arial"/>
          <w:i/>
          <w:iCs/>
          <w:sz w:val="24"/>
        </w:rPr>
      </w:pPr>
      <w:r w:rsidRPr="00C54C38">
        <w:rPr>
          <w:rFonts w:ascii="Arial" w:hAnsi="Arial" w:cs="Arial"/>
          <w:i/>
          <w:iCs/>
          <w:sz w:val="24"/>
        </w:rPr>
        <w:t xml:space="preserve">Intersessional Activities </w:t>
      </w:r>
    </w:p>
    <w:p w14:paraId="3CE90B1E" w14:textId="77777777" w:rsidR="001B0A36" w:rsidRPr="008D00A5" w:rsidRDefault="001B0A36" w:rsidP="001B0A36">
      <w:pPr>
        <w:jc w:val="both"/>
      </w:pPr>
    </w:p>
    <w:p w14:paraId="535C4874" w14:textId="77777777" w:rsidR="001B0A36" w:rsidRDefault="001B0A36" w:rsidP="001B0A36">
      <w:pPr>
        <w:jc w:val="both"/>
        <w:rPr>
          <w:szCs w:val="22"/>
        </w:rPr>
      </w:pPr>
      <w:r>
        <w:rPr>
          <w:szCs w:val="22"/>
        </w:rPr>
        <w:t>Many of ASOC’s activities in 2021 focused on celebrating and reflecting on the above-mentioned anniversaries. Some highlights are listed below, together with other intersessional activities.</w:t>
      </w:r>
    </w:p>
    <w:p w14:paraId="165459B8" w14:textId="77777777" w:rsidR="001B0A36" w:rsidRDefault="001B0A36" w:rsidP="001B0A36">
      <w:pPr>
        <w:jc w:val="both"/>
        <w:rPr>
          <w:szCs w:val="22"/>
        </w:rPr>
      </w:pPr>
    </w:p>
    <w:p w14:paraId="3D029793" w14:textId="77777777" w:rsidR="001B0A36" w:rsidRPr="00D7108A" w:rsidRDefault="001B0A36" w:rsidP="001B0A36">
      <w:pPr>
        <w:jc w:val="both"/>
        <w:rPr>
          <w:i/>
          <w:iCs/>
          <w:szCs w:val="22"/>
        </w:rPr>
      </w:pPr>
      <w:r w:rsidRPr="00D7108A">
        <w:rPr>
          <w:color w:val="222222"/>
          <w:shd w:val="clear" w:color="auto" w:fill="FFFFFF"/>
        </w:rPr>
        <w:t>On March</w:t>
      </w:r>
      <w:r>
        <w:rPr>
          <w:color w:val="222222"/>
          <w:shd w:val="clear" w:color="auto" w:fill="FFFFFF"/>
        </w:rPr>
        <w:t xml:space="preserve"> 30,</w:t>
      </w:r>
      <w:r w:rsidRPr="00D7108A">
        <w:rPr>
          <w:color w:val="222222"/>
          <w:shd w:val="clear" w:color="auto" w:fill="FFFFFF"/>
        </w:rPr>
        <w:t xml:space="preserve"> 2021, The Pew Charitable Trusts organized a workshop at The Woodrow Wilson International </w:t>
      </w:r>
      <w:proofErr w:type="spellStart"/>
      <w:r w:rsidRPr="00D7108A">
        <w:rPr>
          <w:color w:val="222222"/>
          <w:shd w:val="clear" w:color="auto" w:fill="FFFFFF"/>
        </w:rPr>
        <w:t>Center</w:t>
      </w:r>
      <w:proofErr w:type="spellEnd"/>
      <w:r w:rsidRPr="00D7108A">
        <w:rPr>
          <w:color w:val="222222"/>
          <w:shd w:val="clear" w:color="auto" w:fill="FFFFFF"/>
        </w:rPr>
        <w:t xml:space="preserve"> for Scholars in Washington, DC. Twenty international experts discussed how changes in the Southern Ocean impact global climate regulation, marine ecosystems and human communities, and the policy responses needed to address climate risks. The </w:t>
      </w:r>
      <w:r w:rsidRPr="00D7108A">
        <w:rPr>
          <w:rStyle w:val="il"/>
          <w:color w:val="222222"/>
          <w:shd w:val="clear" w:color="auto" w:fill="FFFFFF"/>
        </w:rPr>
        <w:t>report</w:t>
      </w:r>
      <w:r w:rsidRPr="00D7108A">
        <w:rPr>
          <w:color w:val="222222"/>
          <w:shd w:val="clear" w:color="auto" w:fill="FFFFFF"/>
        </w:rPr>
        <w:t> echoed grave concerns about the ongoing climate crisis.</w:t>
      </w:r>
      <w:r>
        <w:rPr>
          <w:color w:val="222222"/>
          <w:shd w:val="clear" w:color="auto" w:fill="FFFFFF"/>
        </w:rPr>
        <w:t xml:space="preserve"> Pew</w:t>
      </w:r>
      <w:r w:rsidRPr="00D7108A">
        <w:rPr>
          <w:color w:val="222222"/>
          <w:shd w:val="clear" w:color="auto" w:fill="FFFFFF"/>
        </w:rPr>
        <w:t xml:space="preserve"> also supported </w:t>
      </w:r>
      <w:r>
        <w:rPr>
          <w:color w:val="222222"/>
          <w:shd w:val="clear" w:color="auto" w:fill="FFFFFF"/>
        </w:rPr>
        <w:t>various</w:t>
      </w:r>
      <w:r w:rsidRPr="00D7108A">
        <w:rPr>
          <w:color w:val="222222"/>
          <w:shd w:val="clear" w:color="auto" w:fill="FFFFFF"/>
        </w:rPr>
        <w:t xml:space="preserve"> technical </w:t>
      </w:r>
      <w:r>
        <w:rPr>
          <w:color w:val="222222"/>
          <w:shd w:val="clear" w:color="auto" w:fill="FFFFFF"/>
        </w:rPr>
        <w:t>and</w:t>
      </w:r>
      <w:r w:rsidRPr="00D7108A">
        <w:rPr>
          <w:color w:val="222222"/>
          <w:shd w:val="clear" w:color="auto" w:fill="FFFFFF"/>
        </w:rPr>
        <w:t xml:space="preserve"> management focused events throughout the last year including</w:t>
      </w:r>
      <w:r>
        <w:rPr>
          <w:color w:val="222222"/>
          <w:shd w:val="clear" w:color="auto" w:fill="FFFFFF"/>
        </w:rPr>
        <w:t xml:space="preserve">: </w:t>
      </w:r>
      <w:r w:rsidRPr="00D7108A">
        <w:rPr>
          <w:i/>
          <w:iCs/>
          <w:color w:val="222222"/>
          <w:shd w:val="clear" w:color="auto" w:fill="FFFFFF"/>
        </w:rPr>
        <w:t>A Global Dialogue on Biodiversity, Law and Governance</w:t>
      </w:r>
      <w:r w:rsidRPr="00D7108A">
        <w:rPr>
          <w:color w:val="222222"/>
          <w:shd w:val="clear" w:color="auto" w:fill="FFFFFF"/>
        </w:rPr>
        <w:t xml:space="preserve"> with </w:t>
      </w:r>
      <w:r>
        <w:rPr>
          <w:color w:val="222222"/>
          <w:shd w:val="clear" w:color="auto" w:fill="FFFFFF"/>
        </w:rPr>
        <w:t xml:space="preserve">the </w:t>
      </w:r>
      <w:r w:rsidRPr="00D7108A">
        <w:rPr>
          <w:color w:val="222222"/>
          <w:shd w:val="clear" w:color="auto" w:fill="FFFFFF"/>
        </w:rPr>
        <w:t>University of Colorado, Macquarie University and Wuhan University</w:t>
      </w:r>
      <w:r>
        <w:rPr>
          <w:color w:val="222222"/>
          <w:shd w:val="clear" w:color="auto" w:fill="FFFFFF"/>
        </w:rPr>
        <w:t xml:space="preserve"> and a </w:t>
      </w:r>
      <w:r w:rsidRPr="00D7108A">
        <w:rPr>
          <w:color w:val="222222"/>
          <w:shd w:val="clear" w:color="auto" w:fill="FFFFFF"/>
        </w:rPr>
        <w:t xml:space="preserve">task force planning for the </w:t>
      </w:r>
      <w:r w:rsidRPr="00D7108A">
        <w:rPr>
          <w:i/>
          <w:iCs/>
          <w:color w:val="222222"/>
          <w:shd w:val="clear" w:color="auto" w:fill="FFFFFF"/>
        </w:rPr>
        <w:t>Second</w:t>
      </w:r>
      <w:r>
        <w:rPr>
          <w:i/>
          <w:iCs/>
          <w:color w:val="222222"/>
          <w:shd w:val="clear" w:color="auto" w:fill="FFFFFF"/>
        </w:rPr>
        <w:t xml:space="preserve"> Southern Ocean Decade </w:t>
      </w:r>
      <w:r w:rsidRPr="00D7108A">
        <w:rPr>
          <w:color w:val="222222"/>
          <w:shd w:val="clear" w:color="auto" w:fill="FFFFFF"/>
        </w:rPr>
        <w:t>workshop</w:t>
      </w:r>
      <w:r>
        <w:rPr>
          <w:color w:val="222222"/>
          <w:shd w:val="clear" w:color="auto" w:fill="FFFFFF"/>
        </w:rPr>
        <w:t xml:space="preserve"> in September 2021.</w:t>
      </w:r>
    </w:p>
    <w:p w14:paraId="277DB0EE" w14:textId="77777777" w:rsidR="001B0A36" w:rsidRDefault="001B0A36" w:rsidP="001B0A36">
      <w:pPr>
        <w:jc w:val="both"/>
        <w:rPr>
          <w:szCs w:val="22"/>
        </w:rPr>
      </w:pPr>
    </w:p>
    <w:p w14:paraId="1BF95BBA" w14:textId="77777777" w:rsidR="001B0A36" w:rsidRPr="006B32AA" w:rsidRDefault="001B0A36" w:rsidP="001B0A36">
      <w:pPr>
        <w:jc w:val="both"/>
        <w:rPr>
          <w:szCs w:val="22"/>
        </w:rPr>
      </w:pPr>
      <w:r w:rsidRPr="006B32AA">
        <w:rPr>
          <w:szCs w:val="22"/>
        </w:rPr>
        <w:t xml:space="preserve">In June 2021, ASOC launched and promoted its online digital story map during </w:t>
      </w:r>
      <w:r>
        <w:rPr>
          <w:szCs w:val="22"/>
        </w:rPr>
        <w:t>last year’s ATCM</w:t>
      </w:r>
      <w:r w:rsidRPr="006B32AA">
        <w:rPr>
          <w:szCs w:val="22"/>
        </w:rPr>
        <w:t xml:space="preserve">. The story map, </w:t>
      </w:r>
      <w:r w:rsidRPr="006B32AA">
        <w:rPr>
          <w:i/>
          <w:iCs/>
          <w:szCs w:val="22"/>
        </w:rPr>
        <w:t>Securing the Next Thirty Years of Antarctic Protection</w:t>
      </w:r>
      <w:r w:rsidRPr="006B32AA">
        <w:rPr>
          <w:szCs w:val="22"/>
        </w:rPr>
        <w:t>, features infographics, animation and video on black carbon pollutants, climate change,</w:t>
      </w:r>
      <w:r>
        <w:rPr>
          <w:szCs w:val="22"/>
        </w:rPr>
        <w:t xml:space="preserve"> current status of some </w:t>
      </w:r>
      <w:r w:rsidRPr="006B32AA">
        <w:rPr>
          <w:szCs w:val="22"/>
        </w:rPr>
        <w:t xml:space="preserve">penguin species, </w:t>
      </w:r>
      <w:r>
        <w:rPr>
          <w:szCs w:val="22"/>
        </w:rPr>
        <w:t>and also</w:t>
      </w:r>
      <w:r w:rsidRPr="006B32AA">
        <w:rPr>
          <w:szCs w:val="22"/>
        </w:rPr>
        <w:t xml:space="preserve"> protected areas. It also highlights Antarctic governance and environmental </w:t>
      </w:r>
      <w:r w:rsidRPr="006B32AA">
        <w:rPr>
          <w:szCs w:val="22"/>
        </w:rPr>
        <w:lastRenderedPageBreak/>
        <w:t xml:space="preserve">protection issues, and reiterates the importance of the ATS to </w:t>
      </w:r>
      <w:r>
        <w:rPr>
          <w:szCs w:val="22"/>
        </w:rPr>
        <w:t xml:space="preserve">secure </w:t>
      </w:r>
      <w:r w:rsidRPr="006B32AA">
        <w:rPr>
          <w:szCs w:val="22"/>
        </w:rPr>
        <w:t>full-scale Antarctic environmental protection.</w:t>
      </w:r>
    </w:p>
    <w:p w14:paraId="4840AA10" w14:textId="77777777" w:rsidR="001B0A36" w:rsidRPr="006B32AA" w:rsidRDefault="001B0A36" w:rsidP="001B0A36">
      <w:pPr>
        <w:jc w:val="both"/>
        <w:rPr>
          <w:szCs w:val="22"/>
        </w:rPr>
      </w:pPr>
    </w:p>
    <w:p w14:paraId="73C90A31" w14:textId="77777777" w:rsidR="001B0A36" w:rsidRPr="006B32AA" w:rsidRDefault="001B0A36" w:rsidP="001B0A36">
      <w:pPr>
        <w:jc w:val="both"/>
        <w:rPr>
          <w:szCs w:val="22"/>
        </w:rPr>
      </w:pPr>
      <w:r w:rsidRPr="006B32AA">
        <w:rPr>
          <w:szCs w:val="22"/>
        </w:rPr>
        <w:t>ASOC also</w:t>
      </w:r>
      <w:r>
        <w:rPr>
          <w:szCs w:val="22"/>
        </w:rPr>
        <w:t xml:space="preserve"> </w:t>
      </w:r>
      <w:r w:rsidRPr="006B32AA">
        <w:rPr>
          <w:szCs w:val="22"/>
        </w:rPr>
        <w:t>organised a public outreach campaign on</w:t>
      </w:r>
      <w:r>
        <w:rPr>
          <w:szCs w:val="22"/>
        </w:rPr>
        <w:t xml:space="preserve"> </w:t>
      </w:r>
      <w:r w:rsidRPr="006B32AA">
        <w:rPr>
          <w:szCs w:val="22"/>
        </w:rPr>
        <w:t xml:space="preserve">Southern Ocean protection. In September 2021, musicians from around the world took part in a virtual performance called </w:t>
      </w:r>
      <w:proofErr w:type="spellStart"/>
      <w:r w:rsidRPr="006B32AA">
        <w:rPr>
          <w:i/>
          <w:iCs/>
          <w:szCs w:val="22"/>
        </w:rPr>
        <w:t>OnlyOne</w:t>
      </w:r>
      <w:proofErr w:type="spellEnd"/>
      <w:r w:rsidRPr="006B32AA">
        <w:rPr>
          <w:i/>
          <w:iCs/>
          <w:szCs w:val="22"/>
        </w:rPr>
        <w:t xml:space="preserve"> Antarctica</w:t>
      </w:r>
      <w:r w:rsidRPr="006B32AA">
        <w:rPr>
          <w:szCs w:val="22"/>
        </w:rPr>
        <w:t>. The virtual</w:t>
      </w:r>
      <w:r>
        <w:rPr>
          <w:szCs w:val="22"/>
        </w:rPr>
        <w:t xml:space="preserve"> </w:t>
      </w:r>
      <w:r w:rsidRPr="006B32AA">
        <w:rPr>
          <w:szCs w:val="22"/>
        </w:rPr>
        <w:t xml:space="preserve">concert, supported by the Blue Nature Alliance, in collaboration with </w:t>
      </w:r>
      <w:proofErr w:type="spellStart"/>
      <w:r w:rsidRPr="006B32AA">
        <w:rPr>
          <w:szCs w:val="22"/>
        </w:rPr>
        <w:t>Lookport</w:t>
      </w:r>
      <w:proofErr w:type="spellEnd"/>
      <w:r w:rsidRPr="006B32AA">
        <w:rPr>
          <w:szCs w:val="22"/>
        </w:rPr>
        <w:t xml:space="preserve"> and </w:t>
      </w:r>
      <w:proofErr w:type="spellStart"/>
      <w:r w:rsidRPr="006B32AA">
        <w:rPr>
          <w:szCs w:val="22"/>
        </w:rPr>
        <w:t>OnlyOne</w:t>
      </w:r>
      <w:proofErr w:type="spellEnd"/>
      <w:r w:rsidRPr="006B32AA">
        <w:rPr>
          <w:szCs w:val="22"/>
        </w:rPr>
        <w:t xml:space="preserve"> was streamed live across social and media channels including </w:t>
      </w:r>
      <w:proofErr w:type="spellStart"/>
      <w:r w:rsidRPr="006B32AA">
        <w:rPr>
          <w:szCs w:val="22"/>
        </w:rPr>
        <w:t>Tencent</w:t>
      </w:r>
      <w:proofErr w:type="spellEnd"/>
      <w:r w:rsidRPr="006B32AA">
        <w:rPr>
          <w:szCs w:val="22"/>
        </w:rPr>
        <w:t xml:space="preserve"> in China and </w:t>
      </w:r>
      <w:proofErr w:type="spellStart"/>
      <w:r w:rsidRPr="006B32AA">
        <w:rPr>
          <w:szCs w:val="22"/>
        </w:rPr>
        <w:t>Lookport</w:t>
      </w:r>
      <w:proofErr w:type="spellEnd"/>
      <w:r w:rsidRPr="006B32AA">
        <w:rPr>
          <w:szCs w:val="22"/>
        </w:rPr>
        <w:t xml:space="preserve">. The concert was a success with </w:t>
      </w:r>
      <w:r>
        <w:rPr>
          <w:szCs w:val="22"/>
        </w:rPr>
        <w:t>over 270,000</w:t>
      </w:r>
      <w:r w:rsidRPr="006B32AA">
        <w:rPr>
          <w:szCs w:val="22"/>
        </w:rPr>
        <w:t xml:space="preserve"> views across multiple platforms.</w:t>
      </w:r>
    </w:p>
    <w:p w14:paraId="0298E69A" w14:textId="77777777" w:rsidR="001B0A36" w:rsidRPr="006B32AA" w:rsidRDefault="001B0A36" w:rsidP="001B0A36">
      <w:pPr>
        <w:jc w:val="both"/>
        <w:rPr>
          <w:szCs w:val="22"/>
        </w:rPr>
      </w:pPr>
    </w:p>
    <w:p w14:paraId="3ED34B88" w14:textId="1443F0C0" w:rsidR="001B0A36" w:rsidRPr="006B32AA" w:rsidRDefault="001B0A36" w:rsidP="001B0A36">
      <w:pPr>
        <w:jc w:val="both"/>
        <w:rPr>
          <w:szCs w:val="22"/>
        </w:rPr>
      </w:pPr>
      <w:proofErr w:type="spellStart"/>
      <w:r w:rsidRPr="006B32AA">
        <w:rPr>
          <w:szCs w:val="22"/>
        </w:rPr>
        <w:t>OnlyOne</w:t>
      </w:r>
      <w:proofErr w:type="spellEnd"/>
      <w:r w:rsidRPr="006B32AA">
        <w:rPr>
          <w:szCs w:val="22"/>
        </w:rPr>
        <w:t xml:space="preserve"> and </w:t>
      </w:r>
      <w:proofErr w:type="spellStart"/>
      <w:r w:rsidRPr="006B32AA">
        <w:rPr>
          <w:szCs w:val="22"/>
        </w:rPr>
        <w:t>SeaLegacy</w:t>
      </w:r>
      <w:proofErr w:type="spellEnd"/>
      <w:r w:rsidRPr="006B32AA">
        <w:rPr>
          <w:szCs w:val="22"/>
        </w:rPr>
        <w:t xml:space="preserve"> hosted a</w:t>
      </w:r>
      <w:r>
        <w:rPr>
          <w:szCs w:val="22"/>
        </w:rPr>
        <w:t xml:space="preserve"> </w:t>
      </w:r>
      <w:r w:rsidRPr="006B32AA">
        <w:rPr>
          <w:szCs w:val="22"/>
        </w:rPr>
        <w:t xml:space="preserve">public Antarctic art exhibit in New York City in September 2021. The exhibit, </w:t>
      </w:r>
      <w:r w:rsidRPr="006B32AA">
        <w:rPr>
          <w:i/>
          <w:iCs/>
          <w:szCs w:val="22"/>
        </w:rPr>
        <w:t>Antarctica: The Greatest Sanctuary</w:t>
      </w:r>
      <w:r w:rsidRPr="006B32AA">
        <w:rPr>
          <w:szCs w:val="22"/>
        </w:rPr>
        <w:t xml:space="preserve"> featured photography from ocean conservationists </w:t>
      </w:r>
      <w:r>
        <w:rPr>
          <w:szCs w:val="22"/>
        </w:rPr>
        <w:t xml:space="preserve">Paul Nicklen, Cristina </w:t>
      </w:r>
      <w:proofErr w:type="spellStart"/>
      <w:r>
        <w:rPr>
          <w:szCs w:val="22"/>
        </w:rPr>
        <w:t>Mittermeier</w:t>
      </w:r>
      <w:proofErr w:type="spellEnd"/>
      <w:r>
        <w:rPr>
          <w:szCs w:val="22"/>
        </w:rPr>
        <w:t xml:space="preserve">, Andy Mann, and John Weller </w:t>
      </w:r>
      <w:r w:rsidRPr="006B32AA">
        <w:rPr>
          <w:szCs w:val="22"/>
        </w:rPr>
        <w:t xml:space="preserve">showing the power and beauty of Antarctica. Panels of the exhibit </w:t>
      </w:r>
      <w:r>
        <w:rPr>
          <w:szCs w:val="22"/>
        </w:rPr>
        <w:t>were also</w:t>
      </w:r>
      <w:r w:rsidR="00173BA0">
        <w:rPr>
          <w:szCs w:val="22"/>
        </w:rPr>
        <w:t xml:space="preserve"> on display at the Our</w:t>
      </w:r>
      <w:r w:rsidRPr="006B32AA">
        <w:rPr>
          <w:szCs w:val="22"/>
        </w:rPr>
        <w:t xml:space="preserve"> Ocean Conference in Palau</w:t>
      </w:r>
      <w:r>
        <w:rPr>
          <w:szCs w:val="22"/>
        </w:rPr>
        <w:t xml:space="preserve"> in April 2022.</w:t>
      </w:r>
    </w:p>
    <w:p w14:paraId="4B0572FB" w14:textId="77777777" w:rsidR="001B0A36" w:rsidRPr="006B32AA" w:rsidRDefault="001B0A36" w:rsidP="001B0A36">
      <w:pPr>
        <w:jc w:val="both"/>
        <w:rPr>
          <w:szCs w:val="22"/>
        </w:rPr>
      </w:pPr>
    </w:p>
    <w:p w14:paraId="2B18D81C" w14:textId="77777777" w:rsidR="001B0A36" w:rsidRPr="006B32AA" w:rsidRDefault="001B0A36" w:rsidP="001B0A36">
      <w:pPr>
        <w:jc w:val="both"/>
        <w:rPr>
          <w:szCs w:val="22"/>
        </w:rPr>
      </w:pPr>
      <w:r w:rsidRPr="006B32AA">
        <w:rPr>
          <w:szCs w:val="22"/>
        </w:rPr>
        <w:t>ASOC participated in the</w:t>
      </w:r>
      <w:r>
        <w:rPr>
          <w:szCs w:val="22"/>
        </w:rPr>
        <w:t xml:space="preserve"> </w:t>
      </w:r>
      <w:r w:rsidRPr="006B32AA">
        <w:rPr>
          <w:szCs w:val="22"/>
        </w:rPr>
        <w:t xml:space="preserve">international conference </w:t>
      </w:r>
      <w:r w:rsidRPr="006B32AA">
        <w:rPr>
          <w:i/>
          <w:iCs/>
          <w:szCs w:val="22"/>
        </w:rPr>
        <w:t>Antarctica: Present and Future</w:t>
      </w:r>
      <w:r w:rsidRPr="006B32AA">
        <w:rPr>
          <w:szCs w:val="22"/>
        </w:rPr>
        <w:t xml:space="preserve"> in Madrid, Spain, on October 4, 2021. Th</w:t>
      </w:r>
      <w:r>
        <w:rPr>
          <w:szCs w:val="22"/>
        </w:rPr>
        <w:t>is</w:t>
      </w:r>
      <w:r w:rsidRPr="006B32AA">
        <w:rPr>
          <w:szCs w:val="22"/>
        </w:rPr>
        <w:t xml:space="preserve"> conference welcomed ministers, leading scientists, experts and </w:t>
      </w:r>
      <w:r>
        <w:rPr>
          <w:szCs w:val="22"/>
        </w:rPr>
        <w:t xml:space="preserve">representatives of </w:t>
      </w:r>
      <w:r w:rsidRPr="006B32AA">
        <w:rPr>
          <w:szCs w:val="22"/>
        </w:rPr>
        <w:t>the NGO community from around the world to commemorate the 30</w:t>
      </w:r>
      <w:r w:rsidRPr="006B32AA">
        <w:rPr>
          <w:szCs w:val="22"/>
          <w:vertAlign w:val="superscript"/>
        </w:rPr>
        <w:t>th</w:t>
      </w:r>
      <w:r w:rsidRPr="006B32AA">
        <w:rPr>
          <w:szCs w:val="22"/>
        </w:rPr>
        <w:t xml:space="preserve"> anniversary of the Madrid Protocol. The event reviewed the achievements </w:t>
      </w:r>
      <w:r>
        <w:rPr>
          <w:szCs w:val="22"/>
        </w:rPr>
        <w:t>since the implementation of the Protocol</w:t>
      </w:r>
      <w:r w:rsidRPr="006B32AA">
        <w:rPr>
          <w:szCs w:val="22"/>
        </w:rPr>
        <w:t xml:space="preserve"> and reflected on challenges ahead for the next thirty years of Antarctic protection. </w:t>
      </w:r>
    </w:p>
    <w:p w14:paraId="7327643D" w14:textId="77777777" w:rsidR="001B0A36" w:rsidRPr="006B32AA" w:rsidRDefault="001B0A36" w:rsidP="001B0A36">
      <w:pPr>
        <w:jc w:val="both"/>
        <w:rPr>
          <w:szCs w:val="22"/>
        </w:rPr>
      </w:pPr>
    </w:p>
    <w:p w14:paraId="493D6F98" w14:textId="77777777" w:rsidR="001B0A36" w:rsidRPr="006B32AA" w:rsidRDefault="001B0A36" w:rsidP="001B0A36">
      <w:pPr>
        <w:jc w:val="both"/>
        <w:rPr>
          <w:szCs w:val="22"/>
        </w:rPr>
      </w:pPr>
      <w:r w:rsidRPr="006B32AA">
        <w:rPr>
          <w:szCs w:val="22"/>
        </w:rPr>
        <w:t>ASOC also participated in the virtual fortieth CCAMLR meeting in October of 2021; and at the virtual SC-CAMLR symposium in March 2022. During the CCAMLR meeting, ASOC shared on its social media platforms</w:t>
      </w:r>
      <w:r>
        <w:rPr>
          <w:szCs w:val="22"/>
        </w:rPr>
        <w:t xml:space="preserve"> </w:t>
      </w:r>
      <w:r w:rsidRPr="006B32AA">
        <w:rPr>
          <w:szCs w:val="22"/>
        </w:rPr>
        <w:t>messages from Antarctic youth to the countries that govern Antarctica. Video participants expressed their reasons for valuing Antarctic conservation and their vision for future Antarctic protection.</w:t>
      </w:r>
    </w:p>
    <w:p w14:paraId="54EF08BD" w14:textId="77777777" w:rsidR="001B0A36" w:rsidRPr="006B32AA" w:rsidRDefault="001B0A36" w:rsidP="001B0A36">
      <w:pPr>
        <w:jc w:val="both"/>
        <w:rPr>
          <w:b/>
          <w:bCs/>
          <w:szCs w:val="22"/>
        </w:rPr>
      </w:pPr>
    </w:p>
    <w:p w14:paraId="712F116D" w14:textId="77777777" w:rsidR="001B0A36" w:rsidRDefault="001B0A36" w:rsidP="001B0A36">
      <w:pPr>
        <w:pStyle w:val="ATSNormal"/>
        <w:spacing w:before="0" w:after="0"/>
        <w:jc w:val="both"/>
        <w:rPr>
          <w:szCs w:val="22"/>
        </w:rPr>
      </w:pPr>
      <w:r w:rsidRPr="006B32AA">
        <w:rPr>
          <w:szCs w:val="22"/>
        </w:rPr>
        <w:t>At the IUCN World Conservation Congress in Marseille</w:t>
      </w:r>
      <w:r>
        <w:rPr>
          <w:szCs w:val="22"/>
        </w:rPr>
        <w:t xml:space="preserve"> (September 2021)</w:t>
      </w:r>
      <w:r w:rsidRPr="006B32AA">
        <w:rPr>
          <w:szCs w:val="22"/>
        </w:rPr>
        <w:t>,</w:t>
      </w:r>
      <w:r>
        <w:rPr>
          <w:szCs w:val="22"/>
        </w:rPr>
        <w:t xml:space="preserve"> </w:t>
      </w:r>
      <w:r w:rsidRPr="006B32AA">
        <w:rPr>
          <w:szCs w:val="22"/>
        </w:rPr>
        <w:t xml:space="preserve">Pascal </w:t>
      </w:r>
      <w:proofErr w:type="spellStart"/>
      <w:r w:rsidRPr="006B32AA">
        <w:rPr>
          <w:szCs w:val="22"/>
        </w:rPr>
        <w:t>Lamy</w:t>
      </w:r>
      <w:proofErr w:type="spellEnd"/>
      <w:r w:rsidRPr="006B32AA">
        <w:rPr>
          <w:szCs w:val="22"/>
        </w:rPr>
        <w:t xml:space="preserve"> and Genevi</w:t>
      </w:r>
      <w:r w:rsidRPr="00BE6D9C">
        <w:rPr>
          <w:szCs w:val="22"/>
        </w:rPr>
        <w:t>è</w:t>
      </w:r>
      <w:r w:rsidRPr="006B32AA">
        <w:rPr>
          <w:szCs w:val="22"/>
        </w:rPr>
        <w:t xml:space="preserve">ve Pons </w:t>
      </w:r>
      <w:r>
        <w:rPr>
          <w:szCs w:val="22"/>
        </w:rPr>
        <w:t xml:space="preserve">– “champions” of ASOC Member Antarctica2020 – </w:t>
      </w:r>
      <w:r w:rsidRPr="006B32AA">
        <w:rPr>
          <w:szCs w:val="22"/>
        </w:rPr>
        <w:t>delivered a petition to</w:t>
      </w:r>
      <w:r>
        <w:rPr>
          <w:szCs w:val="22"/>
        </w:rPr>
        <w:t xml:space="preserve"> the</w:t>
      </w:r>
      <w:r w:rsidRPr="006B32AA">
        <w:rPr>
          <w:szCs w:val="22"/>
        </w:rPr>
        <w:t xml:space="preserve"> President </w:t>
      </w:r>
      <w:r>
        <w:rPr>
          <w:szCs w:val="22"/>
        </w:rPr>
        <w:t xml:space="preserve">of France Emmanuel </w:t>
      </w:r>
      <w:r w:rsidRPr="006B32AA">
        <w:rPr>
          <w:szCs w:val="22"/>
        </w:rPr>
        <w:t xml:space="preserve">Macron of 1.5 million worldwide signatures that call for the protection of Antarctica. The petition was subsequently handed over to the European Commission President Ursula von der </w:t>
      </w:r>
      <w:proofErr w:type="spellStart"/>
      <w:r w:rsidRPr="006B32AA">
        <w:rPr>
          <w:szCs w:val="22"/>
        </w:rPr>
        <w:t>Leyen</w:t>
      </w:r>
      <w:proofErr w:type="spellEnd"/>
      <w:r w:rsidRPr="006B32AA">
        <w:rPr>
          <w:szCs w:val="22"/>
        </w:rPr>
        <w:t xml:space="preserve">, and to the President of Spain </w:t>
      </w:r>
      <w:r w:rsidRPr="00BE6D9C">
        <w:rPr>
          <w:szCs w:val="22"/>
        </w:rPr>
        <w:t>Pedro Sán</w:t>
      </w:r>
      <w:bookmarkStart w:id="8" w:name="_GoBack"/>
      <w:bookmarkEnd w:id="8"/>
      <w:r w:rsidRPr="00BE6D9C">
        <w:rPr>
          <w:szCs w:val="22"/>
        </w:rPr>
        <w:t>chez</w:t>
      </w:r>
      <w:r>
        <w:rPr>
          <w:szCs w:val="22"/>
        </w:rPr>
        <w:t>.</w:t>
      </w:r>
    </w:p>
    <w:p w14:paraId="35BC697A" w14:textId="77777777" w:rsidR="001B0A36" w:rsidRDefault="001B0A36" w:rsidP="001B0A36">
      <w:pPr>
        <w:pStyle w:val="ATSNormal"/>
        <w:spacing w:before="0" w:after="0"/>
        <w:jc w:val="both"/>
        <w:rPr>
          <w:szCs w:val="22"/>
        </w:rPr>
      </w:pPr>
    </w:p>
    <w:p w14:paraId="18272FEF" w14:textId="77777777" w:rsidR="001B0A36" w:rsidRDefault="001B0A36" w:rsidP="001B0A36">
      <w:pPr>
        <w:pStyle w:val="ATSNormal"/>
        <w:spacing w:before="0" w:after="0"/>
        <w:jc w:val="both"/>
        <w:rPr>
          <w:szCs w:val="22"/>
        </w:rPr>
      </w:pPr>
      <w:r>
        <w:rPr>
          <w:szCs w:val="22"/>
        </w:rPr>
        <w:t>ASOC has participated via the Friends of the Earth International (FOEI) delegation in the meetings of the International Maritime Organization (IMO), including the meetings of the Maritime Safety Committee and its Navigation, Communications, and Search &amp; Rescue sub-committee and a correspondence group which have adopted guidelines for fishing vessels and pleasure yachts operating in polar regions and developed mandatory regulations on navigation and voyage planning for these vessels in polar regions. ASOC has also contributed to work at the IMO on marking and reporting of abandoned lost and discarded fishing gear and developed an infographic on marine plastic pollution from shipping.</w:t>
      </w:r>
    </w:p>
    <w:p w14:paraId="3266A9A9" w14:textId="77777777" w:rsidR="001B0A36" w:rsidRDefault="001B0A36" w:rsidP="001B0A36">
      <w:pPr>
        <w:pStyle w:val="ATSNormal"/>
        <w:spacing w:before="0" w:after="0"/>
        <w:jc w:val="both"/>
        <w:rPr>
          <w:szCs w:val="22"/>
        </w:rPr>
      </w:pPr>
    </w:p>
    <w:p w14:paraId="278776F6" w14:textId="77777777" w:rsidR="001B0A36" w:rsidRDefault="001B0A36" w:rsidP="001B0A36">
      <w:pPr>
        <w:pStyle w:val="ATSNormal"/>
        <w:spacing w:before="0" w:after="0"/>
        <w:jc w:val="both"/>
        <w:rPr>
          <w:szCs w:val="22"/>
        </w:rPr>
      </w:pPr>
      <w:r>
        <w:rPr>
          <w:szCs w:val="22"/>
        </w:rPr>
        <w:t>ASOC attended the 26</w:t>
      </w:r>
      <w:r w:rsidRPr="00BA22BD">
        <w:rPr>
          <w:szCs w:val="22"/>
          <w:vertAlign w:val="superscript"/>
        </w:rPr>
        <w:t>th</w:t>
      </w:r>
      <w:r>
        <w:rPr>
          <w:szCs w:val="22"/>
        </w:rPr>
        <w:t xml:space="preserve"> Conference of Parties to the United Nations Framework Convention on Climate Change, supporting a WWF event on blue carbon at the Panda Pavilion and several official side events. ASOC member the International Cryosphere Climate Initiative hosted a Cryosphere Pavilion, which included many Antarctic climate-related events.</w:t>
      </w:r>
    </w:p>
    <w:p w14:paraId="12EB888C" w14:textId="77777777" w:rsidR="001B0A36" w:rsidRPr="00055D5E" w:rsidRDefault="001B0A36" w:rsidP="001B0A36">
      <w:pPr>
        <w:shd w:val="clear" w:color="auto" w:fill="FFFFFF"/>
        <w:spacing w:before="100" w:beforeAutospacing="1" w:after="100" w:afterAutospacing="1"/>
        <w:jc w:val="both"/>
        <w:rPr>
          <w:color w:val="222222"/>
          <w:szCs w:val="22"/>
          <w:lang w:val="en-US"/>
        </w:rPr>
      </w:pPr>
      <w:r w:rsidRPr="003B4DD5">
        <w:rPr>
          <w:color w:val="222222"/>
          <w:szCs w:val="22"/>
          <w:lang w:val="en-US"/>
        </w:rPr>
        <w:t>ASOC</w:t>
      </w:r>
      <w:r>
        <w:rPr>
          <w:color w:val="222222"/>
          <w:szCs w:val="22"/>
          <w:lang w:val="en-US"/>
        </w:rPr>
        <w:t xml:space="preserve"> member Agenda Antarctica</w:t>
      </w:r>
      <w:r w:rsidRPr="003B4DD5">
        <w:rPr>
          <w:color w:val="222222"/>
          <w:szCs w:val="22"/>
          <w:lang w:val="en-US"/>
        </w:rPr>
        <w:t xml:space="preserve"> published the 8th volume of its </w:t>
      </w:r>
      <w:r>
        <w:rPr>
          <w:color w:val="222222"/>
          <w:szCs w:val="22"/>
          <w:lang w:val="en-US"/>
        </w:rPr>
        <w:t>publication</w:t>
      </w:r>
      <w:r w:rsidRPr="003B4DD5">
        <w:rPr>
          <w:color w:val="222222"/>
          <w:szCs w:val="22"/>
          <w:lang w:val="en-US"/>
        </w:rPr>
        <w:t xml:space="preserve"> </w:t>
      </w:r>
      <w:r w:rsidRPr="00055D5E">
        <w:rPr>
          <w:i/>
          <w:color w:val="222222"/>
          <w:szCs w:val="22"/>
          <w:lang w:val="en-US"/>
        </w:rPr>
        <w:t>Antarctic Affairs</w:t>
      </w:r>
      <w:r w:rsidRPr="003B4DD5">
        <w:rPr>
          <w:color w:val="222222"/>
          <w:szCs w:val="22"/>
          <w:lang w:val="en-US"/>
        </w:rPr>
        <w:t xml:space="preserve"> with a focus on the 30</w:t>
      </w:r>
      <w:r w:rsidRPr="00A10AF1">
        <w:rPr>
          <w:color w:val="222222"/>
          <w:szCs w:val="22"/>
          <w:vertAlign w:val="superscript"/>
          <w:lang w:val="en-US"/>
        </w:rPr>
        <w:t>th</w:t>
      </w:r>
      <w:r w:rsidRPr="003B4DD5">
        <w:rPr>
          <w:color w:val="222222"/>
          <w:szCs w:val="22"/>
          <w:lang w:val="en-US"/>
        </w:rPr>
        <w:t xml:space="preserve"> anniversary of the Protocol.</w:t>
      </w:r>
    </w:p>
    <w:p w14:paraId="70E219C7" w14:textId="77777777" w:rsidR="001B0A36" w:rsidRPr="006B32AA" w:rsidRDefault="001B0A36" w:rsidP="001B0A36">
      <w:pPr>
        <w:shd w:val="clear" w:color="auto" w:fill="FFFFFF"/>
        <w:spacing w:before="100" w:beforeAutospacing="1" w:after="100" w:afterAutospacing="1"/>
        <w:jc w:val="both"/>
        <w:rPr>
          <w:color w:val="222222"/>
          <w:szCs w:val="22"/>
          <w:lang w:val="en-US"/>
        </w:rPr>
      </w:pPr>
      <w:r>
        <w:rPr>
          <w:color w:val="222222"/>
          <w:szCs w:val="22"/>
          <w:lang w:val="en-US"/>
        </w:rPr>
        <w:t xml:space="preserve">Throughout the past twelve months </w:t>
      </w:r>
      <w:r w:rsidRPr="006B32AA">
        <w:rPr>
          <w:color w:val="222222"/>
          <w:szCs w:val="22"/>
          <w:lang w:val="en-US"/>
        </w:rPr>
        <w:t xml:space="preserve">ASOC contributed to intersessional discussions at the </w:t>
      </w:r>
      <w:r>
        <w:rPr>
          <w:szCs w:val="22"/>
        </w:rPr>
        <w:t xml:space="preserve">online </w:t>
      </w:r>
      <w:r w:rsidRPr="006B32AA">
        <w:rPr>
          <w:color w:val="222222"/>
          <w:szCs w:val="22"/>
          <w:lang w:val="en-US"/>
        </w:rPr>
        <w:t xml:space="preserve">ATCM and CEP fora including discussions on climate change, protected areas, and tourism. </w:t>
      </w:r>
      <w:r>
        <w:rPr>
          <w:color w:val="222222"/>
          <w:szCs w:val="22"/>
          <w:lang w:val="en-US"/>
        </w:rPr>
        <w:t xml:space="preserve">Additionally, </w:t>
      </w:r>
      <w:r w:rsidRPr="00937DC0">
        <w:rPr>
          <w:szCs w:val="22"/>
          <w:lang w:val="en-US"/>
        </w:rPr>
        <w:t xml:space="preserve">ASOC appreciates working with other observers and experts including SCAR, IAATO, </w:t>
      </w:r>
      <w:r>
        <w:rPr>
          <w:szCs w:val="22"/>
          <w:lang w:val="en-US"/>
        </w:rPr>
        <w:t xml:space="preserve">and </w:t>
      </w:r>
      <w:r w:rsidRPr="00937DC0">
        <w:rPr>
          <w:szCs w:val="22"/>
          <w:lang w:val="en-US"/>
        </w:rPr>
        <w:t>COMNAP</w:t>
      </w:r>
      <w:r>
        <w:rPr>
          <w:szCs w:val="22"/>
          <w:lang w:val="en-US"/>
        </w:rPr>
        <w:t>.</w:t>
      </w:r>
    </w:p>
    <w:p w14:paraId="2D03ECF7" w14:textId="77777777" w:rsidR="001B0A36" w:rsidRPr="00C54C38" w:rsidRDefault="001B0A36" w:rsidP="001B0A36">
      <w:pPr>
        <w:pStyle w:val="ATSHeading3"/>
        <w:spacing w:after="120" w:line="360" w:lineRule="auto"/>
        <w:rPr>
          <w:rFonts w:ascii="Arial" w:hAnsi="Arial" w:cs="Arial"/>
          <w:i/>
          <w:iCs/>
          <w:sz w:val="24"/>
        </w:rPr>
      </w:pPr>
      <w:r w:rsidRPr="00C54C38">
        <w:rPr>
          <w:rFonts w:ascii="Arial" w:hAnsi="Arial" w:cs="Arial"/>
          <w:i/>
          <w:iCs/>
          <w:sz w:val="24"/>
        </w:rPr>
        <w:lastRenderedPageBreak/>
        <w:t>Support for policy-relevant science</w:t>
      </w:r>
      <w:r>
        <w:rPr>
          <w:rFonts w:ascii="Arial" w:hAnsi="Arial" w:cs="Arial"/>
          <w:i/>
          <w:iCs/>
          <w:sz w:val="24"/>
        </w:rPr>
        <w:t xml:space="preserve"> and science communications</w:t>
      </w:r>
    </w:p>
    <w:p w14:paraId="0AA69B5F" w14:textId="77777777" w:rsidR="001B0A36" w:rsidRPr="006B32AA" w:rsidRDefault="001B0A36" w:rsidP="001B0A36">
      <w:pPr>
        <w:jc w:val="both"/>
        <w:rPr>
          <w:szCs w:val="22"/>
          <w:lang w:val="en-US"/>
        </w:rPr>
      </w:pPr>
      <w:r w:rsidRPr="006B32AA">
        <w:rPr>
          <w:szCs w:val="22"/>
          <w:lang w:val="en-US"/>
        </w:rPr>
        <w:t xml:space="preserve">Greenpeace undertook an expedition to </w:t>
      </w:r>
      <w:r>
        <w:rPr>
          <w:szCs w:val="22"/>
          <w:lang w:val="en-US"/>
        </w:rPr>
        <w:t xml:space="preserve">the Antarctic Peninsula region with a focus on the </w:t>
      </w:r>
      <w:r w:rsidRPr="006B32AA">
        <w:rPr>
          <w:szCs w:val="22"/>
          <w:lang w:val="en-US"/>
        </w:rPr>
        <w:t>remote Weddell Sea</w:t>
      </w:r>
      <w:r>
        <w:rPr>
          <w:szCs w:val="22"/>
          <w:lang w:val="en-US"/>
        </w:rPr>
        <w:t xml:space="preserve"> (January-March 2022)</w:t>
      </w:r>
      <w:r w:rsidRPr="006B32AA">
        <w:rPr>
          <w:szCs w:val="22"/>
          <w:lang w:val="en-US"/>
        </w:rPr>
        <w:t>.</w:t>
      </w:r>
      <w:r>
        <w:rPr>
          <w:szCs w:val="22"/>
          <w:lang w:val="en-US"/>
        </w:rPr>
        <w:t xml:space="preserve"> S</w:t>
      </w:r>
      <w:r w:rsidRPr="006B32AA">
        <w:rPr>
          <w:szCs w:val="22"/>
          <w:lang w:val="en-US"/>
        </w:rPr>
        <w:t xml:space="preserve">ea ice in </w:t>
      </w:r>
      <w:r>
        <w:rPr>
          <w:szCs w:val="22"/>
          <w:lang w:val="en-US"/>
        </w:rPr>
        <w:t xml:space="preserve">Antarctic waters has </w:t>
      </w:r>
      <w:r w:rsidRPr="006B32AA">
        <w:rPr>
          <w:szCs w:val="22"/>
          <w:lang w:val="en-US"/>
        </w:rPr>
        <w:t xml:space="preserve">reached the lowest extent on satellite record since 2017. </w:t>
      </w:r>
      <w:r>
        <w:rPr>
          <w:szCs w:val="22"/>
          <w:lang w:val="en-US"/>
        </w:rPr>
        <w:t xml:space="preserve">This enabled the expedition to reach into the Weddell Sea, where it conducted a deep </w:t>
      </w:r>
      <w:r w:rsidRPr="00A63993">
        <w:rPr>
          <w:szCs w:val="22"/>
          <w:lang w:val="en-US"/>
        </w:rPr>
        <w:t xml:space="preserve">submarine dive believed to be the </w:t>
      </w:r>
      <w:r>
        <w:rPr>
          <w:szCs w:val="22"/>
          <w:lang w:val="en-US"/>
        </w:rPr>
        <w:t xml:space="preserve">southernmost scientific </w:t>
      </w:r>
      <w:r w:rsidRPr="00A63993">
        <w:rPr>
          <w:szCs w:val="22"/>
          <w:lang w:val="en-US"/>
        </w:rPr>
        <w:t>dive</w:t>
      </w:r>
      <w:r>
        <w:rPr>
          <w:szCs w:val="22"/>
          <w:lang w:val="en-US"/>
        </w:rPr>
        <w:t xml:space="preserve"> in a crewed submarine</w:t>
      </w:r>
      <w:r w:rsidRPr="00A63993">
        <w:rPr>
          <w:szCs w:val="22"/>
          <w:lang w:val="en-US"/>
        </w:rPr>
        <w:t>.</w:t>
      </w:r>
      <w:r>
        <w:rPr>
          <w:rStyle w:val="Refdenotaalpie"/>
          <w:szCs w:val="22"/>
          <w:lang w:val="en-US"/>
        </w:rPr>
        <w:footnoteReference w:id="1"/>
      </w:r>
      <w:r>
        <w:rPr>
          <w:szCs w:val="22"/>
          <w:lang w:val="en-US"/>
        </w:rPr>
        <w:t xml:space="preserve"> R</w:t>
      </w:r>
      <w:r w:rsidRPr="006B32AA">
        <w:rPr>
          <w:szCs w:val="22"/>
          <w:lang w:val="en-US"/>
        </w:rPr>
        <w:t xml:space="preserve">esearchers </w:t>
      </w:r>
      <w:r>
        <w:rPr>
          <w:szCs w:val="22"/>
          <w:lang w:val="en-US"/>
        </w:rPr>
        <w:t>documented and</w:t>
      </w:r>
      <w:r w:rsidRPr="006B32AA">
        <w:rPr>
          <w:szCs w:val="22"/>
          <w:lang w:val="en-US"/>
        </w:rPr>
        <w:t xml:space="preserve"> identif</w:t>
      </w:r>
      <w:r>
        <w:rPr>
          <w:szCs w:val="22"/>
          <w:lang w:val="en-US"/>
        </w:rPr>
        <w:t>ied</w:t>
      </w:r>
      <w:r w:rsidRPr="006B32AA">
        <w:rPr>
          <w:szCs w:val="22"/>
          <w:lang w:val="en-US"/>
        </w:rPr>
        <w:t xml:space="preserve"> an abundance of life and vulnerable ecosystems on the Antarctic seafloor.</w:t>
      </w:r>
      <w:r>
        <w:rPr>
          <w:szCs w:val="22"/>
          <w:lang w:val="en-US"/>
        </w:rPr>
        <w:t xml:space="preserve"> </w:t>
      </w:r>
      <w:r w:rsidRPr="006B32AA">
        <w:rPr>
          <w:szCs w:val="22"/>
          <w:lang w:val="en-US"/>
        </w:rPr>
        <w:t xml:space="preserve">This expedition is part of Greenpeace’s </w:t>
      </w:r>
      <w:r>
        <w:rPr>
          <w:szCs w:val="22"/>
          <w:lang w:val="en-US"/>
        </w:rPr>
        <w:t>“</w:t>
      </w:r>
      <w:r w:rsidRPr="006B32AA">
        <w:rPr>
          <w:szCs w:val="22"/>
          <w:lang w:val="en-US"/>
        </w:rPr>
        <w:t>30x30</w:t>
      </w:r>
      <w:r>
        <w:rPr>
          <w:szCs w:val="22"/>
          <w:lang w:val="en-US"/>
        </w:rPr>
        <w:t>”</w:t>
      </w:r>
      <w:r w:rsidRPr="006B32AA">
        <w:rPr>
          <w:szCs w:val="22"/>
          <w:lang w:val="en-US"/>
        </w:rPr>
        <w:t xml:space="preserve"> campaign to protect thirty percent of the global ocean by 2030. Research conducted from this scientific dive will be used to </w:t>
      </w:r>
      <w:r>
        <w:rPr>
          <w:szCs w:val="22"/>
          <w:lang w:val="en-US"/>
        </w:rPr>
        <w:t xml:space="preserve">identify and designate Vulnerable Marine Ecosystems </w:t>
      </w:r>
      <w:r w:rsidRPr="006B32AA">
        <w:rPr>
          <w:szCs w:val="22"/>
          <w:lang w:val="en-US"/>
        </w:rPr>
        <w:t xml:space="preserve">and secure the crucial protection it urgently needs. </w:t>
      </w:r>
    </w:p>
    <w:p w14:paraId="34A3449C" w14:textId="77777777" w:rsidR="001B0A36" w:rsidRPr="006B32AA" w:rsidRDefault="001B0A36" w:rsidP="001B0A36">
      <w:pPr>
        <w:jc w:val="both"/>
        <w:rPr>
          <w:szCs w:val="22"/>
          <w:lang w:val="en-US"/>
        </w:rPr>
      </w:pPr>
    </w:p>
    <w:p w14:paraId="768BD7E1" w14:textId="77777777" w:rsidR="001B0A36" w:rsidRPr="006B32AA" w:rsidRDefault="001B0A36" w:rsidP="001B0A36">
      <w:pPr>
        <w:shd w:val="clear" w:color="auto" w:fill="FFFFFF"/>
        <w:jc w:val="both"/>
        <w:rPr>
          <w:color w:val="000000"/>
          <w:szCs w:val="22"/>
          <w:lang w:val="en-US"/>
        </w:rPr>
      </w:pPr>
      <w:r w:rsidRPr="006B32AA">
        <w:rPr>
          <w:szCs w:val="22"/>
          <w:lang w:val="en-US"/>
        </w:rPr>
        <w:t xml:space="preserve">In March 2021, </w:t>
      </w:r>
      <w:r>
        <w:rPr>
          <w:szCs w:val="22"/>
          <w:lang w:val="en-US"/>
        </w:rPr>
        <w:t xml:space="preserve">with the support of </w:t>
      </w:r>
      <w:r w:rsidRPr="006B32AA">
        <w:rPr>
          <w:szCs w:val="22"/>
          <w:lang w:val="en-US"/>
        </w:rPr>
        <w:t>the Blue Nature Alliance</w:t>
      </w:r>
      <w:r>
        <w:rPr>
          <w:szCs w:val="22"/>
          <w:lang w:val="en-US"/>
        </w:rPr>
        <w:t xml:space="preserve">, ASOC </w:t>
      </w:r>
      <w:r w:rsidRPr="006B32AA">
        <w:rPr>
          <w:szCs w:val="22"/>
          <w:lang w:val="en-US"/>
        </w:rPr>
        <w:t xml:space="preserve">partnered with the Museum of Natural History in Paris, France to develop biodiversity indicators for Southern Ocean conservation planning. </w:t>
      </w:r>
      <w:r w:rsidRPr="006B32AA">
        <w:rPr>
          <w:color w:val="000000"/>
          <w:szCs w:val="22"/>
          <w:lang w:val="en-US"/>
        </w:rPr>
        <w:t>The project will produce a map of bio</w:t>
      </w:r>
      <w:r w:rsidRPr="00B36797">
        <w:rPr>
          <w:color w:val="000000"/>
          <w:szCs w:val="22"/>
        </w:rPr>
        <w:t>regions based on species phylogenetic diversity (</w:t>
      </w:r>
      <w:proofErr w:type="spellStart"/>
      <w:r w:rsidRPr="00B36797">
        <w:rPr>
          <w:color w:val="000000"/>
          <w:szCs w:val="22"/>
        </w:rPr>
        <w:t>phyloregions</w:t>
      </w:r>
      <w:proofErr w:type="spellEnd"/>
      <w:r w:rsidRPr="00B36797">
        <w:rPr>
          <w:color w:val="000000"/>
          <w:szCs w:val="22"/>
        </w:rPr>
        <w:t xml:space="preserve">). Identification of </w:t>
      </w:r>
      <w:proofErr w:type="spellStart"/>
      <w:r w:rsidRPr="00B36797">
        <w:rPr>
          <w:color w:val="000000"/>
          <w:szCs w:val="22"/>
        </w:rPr>
        <w:t>phyloregions</w:t>
      </w:r>
      <w:proofErr w:type="spellEnd"/>
      <w:r w:rsidRPr="00B36797">
        <w:rPr>
          <w:color w:val="000000"/>
          <w:szCs w:val="22"/>
        </w:rPr>
        <w:t xml:space="preserve"> is a powerful method that allows </w:t>
      </w:r>
      <w:r w:rsidRPr="006B32AA">
        <w:rPr>
          <w:color w:val="000000"/>
          <w:szCs w:val="22"/>
        </w:rPr>
        <w:t>researchers</w:t>
      </w:r>
      <w:r w:rsidRPr="00B36797">
        <w:rPr>
          <w:color w:val="000000"/>
          <w:szCs w:val="22"/>
        </w:rPr>
        <w:t xml:space="preserve"> to map </w:t>
      </w:r>
      <w:r>
        <w:rPr>
          <w:color w:val="000000"/>
          <w:szCs w:val="22"/>
        </w:rPr>
        <w:t xml:space="preserve">distance among </w:t>
      </w:r>
      <w:r w:rsidRPr="00B36797">
        <w:rPr>
          <w:color w:val="000000"/>
          <w:szCs w:val="22"/>
        </w:rPr>
        <w:t>species</w:t>
      </w:r>
      <w:r>
        <w:rPr>
          <w:color w:val="000000"/>
          <w:szCs w:val="22"/>
        </w:rPr>
        <w:t xml:space="preserve"> assemblages (“</w:t>
      </w:r>
      <w:r w:rsidRPr="00B36797">
        <w:rPr>
          <w:color w:val="000000"/>
          <w:szCs w:val="22"/>
        </w:rPr>
        <w:t>phylogenetic turnover</w:t>
      </w:r>
      <w:r>
        <w:rPr>
          <w:color w:val="000000"/>
          <w:szCs w:val="22"/>
        </w:rPr>
        <w:t>”)</w:t>
      </w:r>
      <w:r w:rsidRPr="00B36797">
        <w:rPr>
          <w:color w:val="000000"/>
          <w:szCs w:val="22"/>
        </w:rPr>
        <w:t xml:space="preserve"> between regions and determine priority areas for conservation.</w:t>
      </w:r>
    </w:p>
    <w:p w14:paraId="6DE5D051" w14:textId="77777777" w:rsidR="001B0A36" w:rsidRPr="006B32AA" w:rsidRDefault="001B0A36" w:rsidP="001B0A36">
      <w:pPr>
        <w:jc w:val="both"/>
        <w:rPr>
          <w:szCs w:val="22"/>
          <w:lang w:val="en-US"/>
        </w:rPr>
      </w:pPr>
    </w:p>
    <w:p w14:paraId="24759DC0" w14:textId="77777777" w:rsidR="001B0A36" w:rsidRDefault="001B0A36" w:rsidP="001B0A36">
      <w:pPr>
        <w:jc w:val="both"/>
        <w:rPr>
          <w:color w:val="222222"/>
          <w:szCs w:val="22"/>
          <w:shd w:val="clear" w:color="auto" w:fill="FFFFFF"/>
        </w:rPr>
      </w:pPr>
      <w:r w:rsidRPr="006B32AA">
        <w:rPr>
          <w:szCs w:val="22"/>
          <w:lang w:val="en-US"/>
        </w:rPr>
        <w:t xml:space="preserve">In August 2021, ASOC </w:t>
      </w:r>
      <w:r>
        <w:rPr>
          <w:szCs w:val="22"/>
          <w:lang w:val="en-US"/>
        </w:rPr>
        <w:t>gave a presentation on c</w:t>
      </w:r>
      <w:r w:rsidRPr="006B32AA">
        <w:rPr>
          <w:szCs w:val="22"/>
          <w:lang w:val="en-US"/>
        </w:rPr>
        <w:t xml:space="preserve">limate </w:t>
      </w:r>
      <w:r>
        <w:rPr>
          <w:szCs w:val="22"/>
          <w:lang w:val="en-US"/>
        </w:rPr>
        <w:t>c</w:t>
      </w:r>
      <w:r w:rsidRPr="006B32AA">
        <w:rPr>
          <w:szCs w:val="22"/>
          <w:lang w:val="en-US"/>
        </w:rPr>
        <w:t xml:space="preserve">hange and Southern Ocean </w:t>
      </w:r>
      <w:r w:rsidRPr="006B32AA">
        <w:rPr>
          <w:color w:val="222222"/>
          <w:szCs w:val="22"/>
          <w:shd w:val="clear" w:color="auto" w:fill="FFFFFF"/>
        </w:rPr>
        <w:t>resilience at an online lecture series organised</w:t>
      </w:r>
      <w:r>
        <w:rPr>
          <w:color w:val="222222"/>
          <w:szCs w:val="22"/>
          <w:shd w:val="clear" w:color="auto" w:fill="FFFFFF"/>
        </w:rPr>
        <w:t xml:space="preserve"> jointly with </w:t>
      </w:r>
      <w:proofErr w:type="spellStart"/>
      <w:r w:rsidRPr="006B32AA">
        <w:rPr>
          <w:color w:val="222222"/>
          <w:szCs w:val="22"/>
          <w:shd w:val="clear" w:color="auto" w:fill="FFFFFF"/>
        </w:rPr>
        <w:t>Lomonosov</w:t>
      </w:r>
      <w:proofErr w:type="spellEnd"/>
      <w:r w:rsidRPr="006B32AA">
        <w:rPr>
          <w:color w:val="222222"/>
          <w:szCs w:val="22"/>
          <w:shd w:val="clear" w:color="auto" w:fill="FFFFFF"/>
        </w:rPr>
        <w:t xml:space="preserve"> Moscow State University Marine Research </w:t>
      </w:r>
      <w:proofErr w:type="spellStart"/>
      <w:r w:rsidRPr="006B32AA">
        <w:rPr>
          <w:color w:val="222222"/>
          <w:szCs w:val="22"/>
          <w:shd w:val="clear" w:color="auto" w:fill="FFFFFF"/>
        </w:rPr>
        <w:t>Center</w:t>
      </w:r>
      <w:proofErr w:type="spellEnd"/>
      <w:r>
        <w:rPr>
          <w:color w:val="222222"/>
          <w:szCs w:val="22"/>
          <w:shd w:val="clear" w:color="auto" w:fill="FFFFFF"/>
        </w:rPr>
        <w:t xml:space="preserve"> </w:t>
      </w:r>
      <w:r w:rsidRPr="006B32AA">
        <w:rPr>
          <w:color w:val="222222"/>
          <w:szCs w:val="22"/>
          <w:shd w:val="clear" w:color="auto" w:fill="FFFFFF"/>
        </w:rPr>
        <w:t xml:space="preserve">and </w:t>
      </w:r>
      <w:r>
        <w:rPr>
          <w:color w:val="222222"/>
          <w:szCs w:val="22"/>
          <w:shd w:val="clear" w:color="auto" w:fill="FFFFFF"/>
        </w:rPr>
        <w:t xml:space="preserve">the </w:t>
      </w:r>
      <w:r w:rsidRPr="006B32AA">
        <w:rPr>
          <w:color w:val="222222"/>
          <w:szCs w:val="22"/>
          <w:shd w:val="clear" w:color="auto" w:fill="FFFFFF"/>
        </w:rPr>
        <w:t xml:space="preserve">International Humanitarian Cooperation </w:t>
      </w:r>
      <w:r>
        <w:rPr>
          <w:color w:val="222222"/>
          <w:szCs w:val="22"/>
          <w:shd w:val="clear" w:color="auto" w:fill="FFFFFF"/>
        </w:rPr>
        <w:t>in the context of several o</w:t>
      </w:r>
      <w:r w:rsidRPr="006B32AA">
        <w:rPr>
          <w:color w:val="222222"/>
          <w:szCs w:val="22"/>
          <w:shd w:val="clear" w:color="auto" w:fill="FFFFFF"/>
        </w:rPr>
        <w:t xml:space="preserve">cean and </w:t>
      </w:r>
      <w:r>
        <w:rPr>
          <w:color w:val="222222"/>
          <w:szCs w:val="22"/>
          <w:shd w:val="clear" w:color="auto" w:fill="FFFFFF"/>
        </w:rPr>
        <w:t>c</w:t>
      </w:r>
      <w:r w:rsidRPr="006B32AA">
        <w:rPr>
          <w:color w:val="222222"/>
          <w:szCs w:val="22"/>
          <w:shd w:val="clear" w:color="auto" w:fill="FFFFFF"/>
        </w:rPr>
        <w:t xml:space="preserve">limate </w:t>
      </w:r>
      <w:r>
        <w:rPr>
          <w:color w:val="222222"/>
          <w:szCs w:val="22"/>
          <w:shd w:val="clear" w:color="auto" w:fill="FFFFFF"/>
        </w:rPr>
        <w:t>s</w:t>
      </w:r>
      <w:r w:rsidRPr="006B32AA">
        <w:rPr>
          <w:color w:val="222222"/>
          <w:szCs w:val="22"/>
          <w:shd w:val="clear" w:color="auto" w:fill="FFFFFF"/>
        </w:rPr>
        <w:t xml:space="preserve">cience </w:t>
      </w:r>
      <w:r>
        <w:rPr>
          <w:color w:val="222222"/>
          <w:szCs w:val="22"/>
          <w:shd w:val="clear" w:color="auto" w:fill="FFFFFF"/>
        </w:rPr>
        <w:t>e</w:t>
      </w:r>
      <w:r w:rsidRPr="006B32AA">
        <w:rPr>
          <w:color w:val="222222"/>
          <w:szCs w:val="22"/>
          <w:shd w:val="clear" w:color="auto" w:fill="FFFFFF"/>
        </w:rPr>
        <w:t>vents devoted to the launch of the UN Decade of Ocean Science.</w:t>
      </w:r>
    </w:p>
    <w:p w14:paraId="4F319EFF" w14:textId="77777777" w:rsidR="001B0A36" w:rsidRPr="00A63993" w:rsidRDefault="001B0A36" w:rsidP="001B0A36">
      <w:pPr>
        <w:pStyle w:val="ATSHeading3"/>
        <w:spacing w:after="120" w:line="360" w:lineRule="auto"/>
        <w:rPr>
          <w:rFonts w:ascii="Arial" w:hAnsi="Arial" w:cs="Arial"/>
          <w:i/>
          <w:iCs/>
          <w:sz w:val="24"/>
          <w:lang w:val="en-US"/>
        </w:rPr>
      </w:pPr>
      <w:r w:rsidRPr="00A63993">
        <w:rPr>
          <w:rFonts w:ascii="Arial" w:hAnsi="Arial" w:cs="Arial"/>
          <w:i/>
          <w:iCs/>
          <w:sz w:val="24"/>
          <w:lang w:val="en-US"/>
        </w:rPr>
        <w:t>Concluding remarks</w:t>
      </w:r>
    </w:p>
    <w:p w14:paraId="3DAD8B15" w14:textId="77777777" w:rsidR="001B0A36" w:rsidRPr="00A63993" w:rsidRDefault="001B0A36" w:rsidP="001B0A36">
      <w:pPr>
        <w:jc w:val="both"/>
        <w:rPr>
          <w:lang w:val="en-US"/>
        </w:rPr>
      </w:pPr>
      <w:r w:rsidRPr="00A63993">
        <w:rPr>
          <w:szCs w:val="22"/>
          <w:lang w:val="en-US"/>
        </w:rPr>
        <w:t>ASOC</w:t>
      </w:r>
      <w:r>
        <w:rPr>
          <w:szCs w:val="22"/>
          <w:lang w:val="en-US"/>
        </w:rPr>
        <w:t xml:space="preserve"> </w:t>
      </w:r>
      <w:r w:rsidRPr="00A63993">
        <w:rPr>
          <w:lang w:val="en-US"/>
        </w:rPr>
        <w:t>is delighted to attend the XLIV ATCM as the world continues to navigate</w:t>
      </w:r>
      <w:r>
        <w:rPr>
          <w:lang w:val="en-US"/>
        </w:rPr>
        <w:t xml:space="preserve"> multiple global crises.</w:t>
      </w:r>
      <w:r w:rsidRPr="00A63993">
        <w:rPr>
          <w:lang w:val="en-US"/>
        </w:rPr>
        <w:t xml:space="preserve"> The Antarctic Treaty</w:t>
      </w:r>
      <w:r>
        <w:rPr>
          <w:lang w:val="en-US"/>
        </w:rPr>
        <w:t xml:space="preserve"> </w:t>
      </w:r>
      <w:r w:rsidRPr="00A63993">
        <w:rPr>
          <w:lang w:val="en-US"/>
        </w:rPr>
        <w:t>is one of the most successful multilateral treaties in history</w:t>
      </w:r>
      <w:r>
        <w:rPr>
          <w:lang w:val="en-US"/>
        </w:rPr>
        <w:t xml:space="preserve"> and has successfully promoted a spirit of international cooperation for decades</w:t>
      </w:r>
      <w:r w:rsidRPr="00A63993">
        <w:rPr>
          <w:lang w:val="en-US"/>
        </w:rPr>
        <w:t>. The milestone anniversaries celebrated in 2021 give us reason to reflect on strengthening Antarctic cooperation and to address the dual cris</w:t>
      </w:r>
      <w:r>
        <w:rPr>
          <w:lang w:val="en-US"/>
        </w:rPr>
        <w:t>e</w:t>
      </w:r>
      <w:r w:rsidRPr="00A63993">
        <w:rPr>
          <w:lang w:val="en-US"/>
        </w:rPr>
        <w:t xml:space="preserve">s of climate change and biodiversity loss. </w:t>
      </w:r>
      <w:r>
        <w:rPr>
          <w:lang w:val="en-US"/>
        </w:rPr>
        <w:t>Successful</w:t>
      </w:r>
      <w:r w:rsidRPr="00A63993">
        <w:rPr>
          <w:lang w:val="en-US"/>
        </w:rPr>
        <w:t xml:space="preserve"> Antarctic governance requires </w:t>
      </w:r>
      <w:r>
        <w:rPr>
          <w:lang w:val="en-US"/>
        </w:rPr>
        <w:t xml:space="preserve">increasing the commitment </w:t>
      </w:r>
      <w:r w:rsidRPr="00A63993">
        <w:rPr>
          <w:lang w:val="en-US"/>
        </w:rPr>
        <w:t>to full-scale Antarctic environmental protection.</w:t>
      </w:r>
    </w:p>
    <w:p w14:paraId="45BD746D" w14:textId="77777777" w:rsidR="001B0A36" w:rsidRDefault="001B0A36" w:rsidP="001B0A36">
      <w:pPr>
        <w:jc w:val="both"/>
        <w:rPr>
          <w:szCs w:val="22"/>
          <w:lang w:val="en-US"/>
        </w:rPr>
      </w:pPr>
    </w:p>
    <w:p w14:paraId="10286499" w14:textId="77777777" w:rsidR="001B0A36" w:rsidRPr="00A63993" w:rsidRDefault="001B0A36" w:rsidP="001B0A36">
      <w:pPr>
        <w:jc w:val="both"/>
        <w:rPr>
          <w:szCs w:val="22"/>
          <w:lang w:val="en-US"/>
        </w:rPr>
      </w:pPr>
      <w:r w:rsidRPr="00A63993">
        <w:rPr>
          <w:szCs w:val="22"/>
          <w:lang w:val="en-US"/>
        </w:rPr>
        <w:t xml:space="preserve">There is an overwhelming political will to address the threats to the health of Antarctica, including adopting new comprehensive protection measures such as </w:t>
      </w:r>
      <w:r>
        <w:rPr>
          <w:szCs w:val="22"/>
          <w:lang w:val="en-US"/>
        </w:rPr>
        <w:t>marine protected areas,</w:t>
      </w:r>
      <w:r w:rsidRPr="00A63993">
        <w:rPr>
          <w:szCs w:val="22"/>
          <w:lang w:val="en-US"/>
        </w:rPr>
        <w:t xml:space="preserve"> </w:t>
      </w:r>
      <w:r>
        <w:rPr>
          <w:szCs w:val="22"/>
          <w:lang w:val="en-US"/>
        </w:rPr>
        <w:t xml:space="preserve">expanding the system of specially protected areas, assigning Specially Protected Species status to the emperor penguin, and taking action on climate change. </w:t>
      </w:r>
      <w:r w:rsidRPr="00A63993">
        <w:rPr>
          <w:szCs w:val="22"/>
          <w:lang w:val="en-US"/>
        </w:rPr>
        <w:t>ASOC urges ATCPs, and all</w:t>
      </w:r>
      <w:r>
        <w:rPr>
          <w:szCs w:val="22"/>
          <w:lang w:val="en-US"/>
        </w:rPr>
        <w:t xml:space="preserve"> Antarctic bodies and actors</w:t>
      </w:r>
      <w:r w:rsidRPr="00A63993">
        <w:rPr>
          <w:szCs w:val="22"/>
          <w:lang w:val="en-US"/>
        </w:rPr>
        <w:t xml:space="preserve">, to constructively and fully engage in international discussions that restore the ambition of the </w:t>
      </w:r>
      <w:r>
        <w:rPr>
          <w:szCs w:val="22"/>
          <w:lang w:val="en-US"/>
        </w:rPr>
        <w:t>Antarctic Treaty system</w:t>
      </w:r>
      <w:r w:rsidRPr="00A63993">
        <w:rPr>
          <w:szCs w:val="22"/>
          <w:lang w:val="en-US"/>
        </w:rPr>
        <w:t>.</w:t>
      </w:r>
    </w:p>
    <w:p w14:paraId="7DF36369" w14:textId="77777777" w:rsidR="001B0A36" w:rsidRPr="001B0A36" w:rsidRDefault="001B0A36" w:rsidP="00952E9F">
      <w:pPr>
        <w:rPr>
          <w:lang w:val="en-US"/>
        </w:rPr>
      </w:pPr>
    </w:p>
    <w:sectPr w:rsidR="001B0A36" w:rsidRPr="001B0A36"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3BBB2" w14:textId="77777777" w:rsidR="00F200E8" w:rsidRDefault="00F200E8">
      <w:r>
        <w:separator/>
      </w:r>
    </w:p>
  </w:endnote>
  <w:endnote w:type="continuationSeparator" w:id="0">
    <w:p w14:paraId="0F838FF3" w14:textId="77777777" w:rsidR="00F200E8" w:rsidRDefault="00F2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20454" w14:textId="77777777" w:rsidR="00FA0B9F" w:rsidRDefault="001B0A36" w:rsidP="00CF5C82">
    <w:pPr>
      <w:framePr w:wrap="around" w:vAnchor="text" w:hAnchor="margin" w:xAlign="right" w:y="1"/>
    </w:pPr>
    <w:r>
      <w:fldChar w:fldCharType="begin"/>
    </w:r>
    <w:r>
      <w:instrText xml:space="preserve">PAGE  </w:instrText>
    </w:r>
    <w:r>
      <w:fldChar w:fldCharType="end"/>
    </w:r>
  </w:p>
  <w:p w14:paraId="700D0CE3" w14:textId="77777777" w:rsidR="00FA0B9F" w:rsidRDefault="00F200E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CE40" w14:textId="5A28332E" w:rsidR="00FA0B9F" w:rsidRDefault="001B0A36" w:rsidP="00CF5C82">
    <w:pPr>
      <w:framePr w:wrap="around" w:vAnchor="text" w:hAnchor="margin" w:xAlign="right" w:y="1"/>
    </w:pPr>
    <w:r>
      <w:fldChar w:fldCharType="begin"/>
    </w:r>
    <w:r>
      <w:instrText xml:space="preserve">PAGE  </w:instrText>
    </w:r>
    <w:r>
      <w:fldChar w:fldCharType="separate"/>
    </w:r>
    <w:r w:rsidR="00173BA0">
      <w:rPr>
        <w:noProof/>
      </w:rPr>
      <w:t>1</w:t>
    </w:r>
    <w:r>
      <w:fldChar w:fldCharType="end"/>
    </w:r>
  </w:p>
  <w:p w14:paraId="0C1E26F3" w14:textId="59C85897" w:rsidR="00FA0B9F" w:rsidRDefault="00F200E8" w:rsidP="001B0A3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5349" w14:textId="2C59EE55" w:rsidR="00E311C9" w:rsidRDefault="001B0A36" w:rsidP="00CF5C82">
    <w:pPr>
      <w:framePr w:wrap="around" w:vAnchor="text" w:hAnchor="margin" w:xAlign="right" w:y="1"/>
    </w:pPr>
    <w:r>
      <w:fldChar w:fldCharType="begin"/>
    </w:r>
    <w:r>
      <w:instrText xml:space="preserve">PAGE  </w:instrText>
    </w:r>
    <w:r>
      <w:fldChar w:fldCharType="separate"/>
    </w:r>
    <w:r w:rsidR="00173BA0">
      <w:rPr>
        <w:noProof/>
      </w:rPr>
      <w:t>5</w:t>
    </w:r>
    <w:r>
      <w:fldChar w:fldCharType="end"/>
    </w:r>
  </w:p>
  <w:p w14:paraId="4562CAB2" w14:textId="77777777" w:rsidR="00E311C9" w:rsidRDefault="00F200E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A99BA" w14:textId="77777777" w:rsidR="00F200E8" w:rsidRDefault="00F200E8">
      <w:r>
        <w:separator/>
      </w:r>
    </w:p>
  </w:footnote>
  <w:footnote w:type="continuationSeparator" w:id="0">
    <w:p w14:paraId="1CFC89E9" w14:textId="77777777" w:rsidR="00F200E8" w:rsidRDefault="00F200E8">
      <w:r>
        <w:continuationSeparator/>
      </w:r>
    </w:p>
  </w:footnote>
  <w:footnote w:id="1">
    <w:p w14:paraId="78A803BE" w14:textId="77777777" w:rsidR="001B0A36" w:rsidRPr="00A10AF1" w:rsidRDefault="001B0A36" w:rsidP="001B0A36">
      <w:pPr>
        <w:pStyle w:val="Textonotapie"/>
        <w:rPr>
          <w:sz w:val="19"/>
          <w:szCs w:val="19"/>
        </w:rPr>
      </w:pPr>
      <w:r w:rsidRPr="00A10AF1">
        <w:rPr>
          <w:rStyle w:val="Refdenotaalpie"/>
          <w:sz w:val="19"/>
          <w:szCs w:val="19"/>
        </w:rPr>
        <w:footnoteRef/>
      </w:r>
      <w:r w:rsidRPr="00A10AF1">
        <w:rPr>
          <w:sz w:val="19"/>
          <w:szCs w:val="19"/>
        </w:rPr>
        <w:t xml:space="preserve"> The expedition </w:t>
      </w:r>
      <w:r w:rsidRPr="00A10AF1">
        <w:rPr>
          <w:color w:val="000000"/>
          <w:sz w:val="19"/>
          <w:szCs w:val="19"/>
          <w:shd w:val="clear" w:color="auto" w:fill="FFFFFF"/>
        </w:rPr>
        <w:t xml:space="preserve">completed 12 research dives in 10 days. </w:t>
      </w:r>
      <w:r w:rsidRPr="00A10AF1">
        <w:rPr>
          <w:sz w:val="19"/>
          <w:szCs w:val="19"/>
        </w:rPr>
        <w:t xml:space="preserve">The southernmost dive took place in the Weddell Sea at </w:t>
      </w:r>
      <w:r w:rsidRPr="00A10AF1">
        <w:rPr>
          <w:sz w:val="19"/>
          <w:szCs w:val="19"/>
          <w:lang w:val="en-US"/>
        </w:rPr>
        <w:t>65°03.624’S, 055°54.300’W, on 9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C92C1B" w14:paraId="2229E95A" w14:textId="77777777" w:rsidTr="00490760">
      <w:trPr>
        <w:trHeight w:val="344"/>
        <w:jc w:val="center"/>
      </w:trPr>
      <w:tc>
        <w:tcPr>
          <w:tcW w:w="5495" w:type="dxa"/>
        </w:tcPr>
        <w:p w14:paraId="24FCC661" w14:textId="77777777" w:rsidR="00DB7C09" w:rsidRDefault="00F200E8" w:rsidP="00F968D4"/>
      </w:tc>
      <w:tc>
        <w:tcPr>
          <w:tcW w:w="4253" w:type="dxa"/>
          <w:gridSpan w:val="2"/>
        </w:tcPr>
        <w:p w14:paraId="10533E0C" w14:textId="77777777" w:rsidR="00DB7C09" w:rsidRPr="00BD47E4" w:rsidRDefault="001B0A36" w:rsidP="002A07BC">
          <w:pPr>
            <w:jc w:val="right"/>
            <w:rPr>
              <w:b/>
              <w:sz w:val="32"/>
              <w:szCs w:val="32"/>
            </w:rPr>
          </w:pPr>
          <w:bookmarkStart w:id="2" w:name="type"/>
          <w:r w:rsidRPr="00BD47E4">
            <w:rPr>
              <w:b/>
              <w:sz w:val="32"/>
              <w:szCs w:val="32"/>
            </w:rPr>
            <w:t>IP</w:t>
          </w:r>
          <w:bookmarkEnd w:id="2"/>
        </w:p>
      </w:tc>
      <w:tc>
        <w:tcPr>
          <w:tcW w:w="1524" w:type="dxa"/>
          <w:gridSpan w:val="2"/>
        </w:tcPr>
        <w:p w14:paraId="64801EC9" w14:textId="77777777" w:rsidR="00DB7C09" w:rsidRPr="00BD47E4" w:rsidRDefault="001B0A36" w:rsidP="00DB7C09">
          <w:pPr>
            <w:rPr>
              <w:b/>
              <w:sz w:val="32"/>
              <w:szCs w:val="32"/>
            </w:rPr>
          </w:pPr>
          <w:bookmarkStart w:id="3" w:name="number"/>
          <w:r w:rsidRPr="00BD47E4">
            <w:rPr>
              <w:b/>
              <w:sz w:val="32"/>
              <w:szCs w:val="32"/>
            </w:rPr>
            <w:t>88</w:t>
          </w:r>
          <w:bookmarkEnd w:id="3"/>
        </w:p>
      </w:tc>
    </w:tr>
    <w:tr w:rsidR="00C92C1B" w14:paraId="042A524A" w14:textId="77777777" w:rsidTr="00490760">
      <w:trPr>
        <w:trHeight w:val="2165"/>
        <w:jc w:val="center"/>
      </w:trPr>
      <w:tc>
        <w:tcPr>
          <w:tcW w:w="5495" w:type="dxa"/>
        </w:tcPr>
        <w:p w14:paraId="3CE9DD7D" w14:textId="77777777" w:rsidR="00490760" w:rsidRPr="00EE4D48" w:rsidRDefault="001B0A36" w:rsidP="002A07BC">
          <w:pPr>
            <w:rPr>
              <w:b/>
              <w:sz w:val="28"/>
              <w:szCs w:val="28"/>
            </w:rPr>
          </w:pPr>
          <w:r>
            <w:rPr>
              <w:noProof/>
              <w:lang w:val="en-US"/>
            </w:rPr>
            <w:drawing>
              <wp:inline distT="0" distB="0" distL="0" distR="0" wp14:anchorId="16AE29D9" wp14:editId="3288245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018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2E2DC4C" w14:textId="77777777" w:rsidR="00490760" w:rsidRPr="00FE5146" w:rsidRDefault="001B0A36" w:rsidP="00490760">
          <w:pPr>
            <w:jc w:val="right"/>
            <w:rPr>
              <w:sz w:val="144"/>
              <w:szCs w:val="144"/>
            </w:rPr>
          </w:pPr>
          <w:r w:rsidRPr="00FE5146">
            <w:rPr>
              <w:sz w:val="144"/>
              <w:szCs w:val="144"/>
            </w:rPr>
            <w:t>ENG</w:t>
          </w:r>
        </w:p>
      </w:tc>
    </w:tr>
    <w:tr w:rsidR="00C92C1B" w14:paraId="49B7EAB0" w14:textId="77777777" w:rsidTr="00BD47E4">
      <w:trPr>
        <w:trHeight w:val="409"/>
        <w:jc w:val="center"/>
      </w:trPr>
      <w:tc>
        <w:tcPr>
          <w:tcW w:w="9039" w:type="dxa"/>
          <w:gridSpan w:val="2"/>
        </w:tcPr>
        <w:p w14:paraId="66A38BF7" w14:textId="77777777" w:rsidR="00BD47E4" w:rsidRDefault="001B0A36" w:rsidP="002C30DA">
          <w:pPr>
            <w:jc w:val="right"/>
          </w:pPr>
          <w:r>
            <w:t>Agenda Item:</w:t>
          </w:r>
        </w:p>
      </w:tc>
      <w:tc>
        <w:tcPr>
          <w:tcW w:w="1843" w:type="dxa"/>
          <w:gridSpan w:val="2"/>
        </w:tcPr>
        <w:p w14:paraId="2B3D6D94" w14:textId="77777777" w:rsidR="00BD47E4" w:rsidRDefault="001B0A36" w:rsidP="002C30DA">
          <w:pPr>
            <w:jc w:val="right"/>
          </w:pPr>
          <w:bookmarkStart w:id="4" w:name="agenda"/>
          <w:r>
            <w:t>ATCM 4</w:t>
          </w:r>
          <w:bookmarkEnd w:id="4"/>
        </w:p>
      </w:tc>
      <w:tc>
        <w:tcPr>
          <w:tcW w:w="390" w:type="dxa"/>
        </w:tcPr>
        <w:p w14:paraId="6EA1A15A" w14:textId="77777777" w:rsidR="00BD47E4" w:rsidRDefault="00F200E8" w:rsidP="00387A65">
          <w:pPr>
            <w:jc w:val="right"/>
          </w:pPr>
        </w:p>
      </w:tc>
    </w:tr>
    <w:tr w:rsidR="00C92C1B" w14:paraId="53481590" w14:textId="77777777" w:rsidTr="00BD47E4">
      <w:trPr>
        <w:trHeight w:val="397"/>
        <w:jc w:val="center"/>
      </w:trPr>
      <w:tc>
        <w:tcPr>
          <w:tcW w:w="9039" w:type="dxa"/>
          <w:gridSpan w:val="2"/>
        </w:tcPr>
        <w:p w14:paraId="2FB3387B" w14:textId="77777777" w:rsidR="00BD47E4" w:rsidRDefault="001B0A36" w:rsidP="002C30DA">
          <w:pPr>
            <w:jc w:val="right"/>
          </w:pPr>
          <w:r>
            <w:t>Presented by:</w:t>
          </w:r>
        </w:p>
      </w:tc>
      <w:tc>
        <w:tcPr>
          <w:tcW w:w="1843" w:type="dxa"/>
          <w:gridSpan w:val="2"/>
        </w:tcPr>
        <w:p w14:paraId="098A98A9" w14:textId="77777777" w:rsidR="00BD47E4" w:rsidRDefault="001B0A36" w:rsidP="002C30DA">
          <w:pPr>
            <w:jc w:val="right"/>
          </w:pPr>
          <w:bookmarkStart w:id="5" w:name="party"/>
          <w:r>
            <w:t>ASOC</w:t>
          </w:r>
          <w:bookmarkEnd w:id="5"/>
        </w:p>
      </w:tc>
      <w:tc>
        <w:tcPr>
          <w:tcW w:w="390" w:type="dxa"/>
        </w:tcPr>
        <w:p w14:paraId="250F33EF" w14:textId="77777777" w:rsidR="00BD47E4" w:rsidRDefault="00F200E8" w:rsidP="00387A65">
          <w:pPr>
            <w:jc w:val="right"/>
          </w:pPr>
        </w:p>
      </w:tc>
    </w:tr>
    <w:tr w:rsidR="00C92C1B" w14:paraId="6EE4C51C" w14:textId="77777777" w:rsidTr="00BD47E4">
      <w:trPr>
        <w:trHeight w:val="409"/>
        <w:jc w:val="center"/>
      </w:trPr>
      <w:tc>
        <w:tcPr>
          <w:tcW w:w="9039" w:type="dxa"/>
          <w:gridSpan w:val="2"/>
        </w:tcPr>
        <w:p w14:paraId="0F7028EE" w14:textId="77777777" w:rsidR="00BD47E4" w:rsidRDefault="001B0A36" w:rsidP="002C30DA">
          <w:pPr>
            <w:jc w:val="right"/>
          </w:pPr>
          <w:r>
            <w:t>Original:</w:t>
          </w:r>
        </w:p>
      </w:tc>
      <w:tc>
        <w:tcPr>
          <w:tcW w:w="1843" w:type="dxa"/>
          <w:gridSpan w:val="2"/>
        </w:tcPr>
        <w:p w14:paraId="5CDEF05A" w14:textId="77777777" w:rsidR="00BD47E4" w:rsidRDefault="001B0A36" w:rsidP="002C30DA">
          <w:pPr>
            <w:jc w:val="right"/>
          </w:pPr>
          <w:bookmarkStart w:id="6" w:name="language"/>
          <w:r>
            <w:t>English</w:t>
          </w:r>
          <w:bookmarkEnd w:id="6"/>
        </w:p>
      </w:tc>
      <w:tc>
        <w:tcPr>
          <w:tcW w:w="390" w:type="dxa"/>
        </w:tcPr>
        <w:p w14:paraId="6FB787E1" w14:textId="77777777" w:rsidR="00BD47E4" w:rsidRDefault="00F200E8" w:rsidP="00387A65">
          <w:pPr>
            <w:jc w:val="right"/>
          </w:pPr>
        </w:p>
      </w:tc>
    </w:tr>
    <w:tr w:rsidR="00C92C1B" w14:paraId="50A53C31" w14:textId="77777777" w:rsidTr="00BD47E4">
      <w:trPr>
        <w:trHeight w:val="409"/>
        <w:jc w:val="center"/>
      </w:trPr>
      <w:tc>
        <w:tcPr>
          <w:tcW w:w="9039" w:type="dxa"/>
          <w:gridSpan w:val="2"/>
        </w:tcPr>
        <w:p w14:paraId="596AC579" w14:textId="77777777" w:rsidR="0097629D" w:rsidRDefault="001B0A36" w:rsidP="002C30DA">
          <w:pPr>
            <w:jc w:val="right"/>
          </w:pPr>
          <w:r>
            <w:t>Submitted:</w:t>
          </w:r>
        </w:p>
      </w:tc>
      <w:tc>
        <w:tcPr>
          <w:tcW w:w="1843" w:type="dxa"/>
          <w:gridSpan w:val="2"/>
        </w:tcPr>
        <w:p w14:paraId="702687FF" w14:textId="77777777" w:rsidR="0097629D" w:rsidRDefault="001B0A36" w:rsidP="0097629D">
          <w:pPr>
            <w:jc w:val="right"/>
          </w:pPr>
          <w:bookmarkStart w:id="7" w:name="date_submission"/>
          <w:r>
            <w:t>22/4/2022</w:t>
          </w:r>
          <w:bookmarkEnd w:id="7"/>
        </w:p>
      </w:tc>
      <w:tc>
        <w:tcPr>
          <w:tcW w:w="390" w:type="dxa"/>
        </w:tcPr>
        <w:p w14:paraId="113C4810" w14:textId="77777777" w:rsidR="0097629D" w:rsidRDefault="00F200E8" w:rsidP="00387A65">
          <w:pPr>
            <w:jc w:val="right"/>
          </w:pPr>
        </w:p>
      </w:tc>
    </w:tr>
  </w:tbl>
  <w:p w14:paraId="6E030E59" w14:textId="77777777" w:rsidR="00AE5DD0" w:rsidRDefault="00F200E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C92C1B" w14:paraId="2E7DB02D" w14:textId="77777777">
      <w:trPr>
        <w:trHeight w:val="354"/>
        <w:jc w:val="center"/>
      </w:trPr>
      <w:tc>
        <w:tcPr>
          <w:tcW w:w="9694" w:type="dxa"/>
        </w:tcPr>
        <w:p w14:paraId="653FE5D6" w14:textId="3DE70B8C" w:rsidR="00AE5DD0" w:rsidRPr="00BD47E4" w:rsidRDefault="001B0A36" w:rsidP="00C26F2D">
          <w:pPr>
            <w:jc w:val="right"/>
            <w:rPr>
              <w:b/>
              <w:sz w:val="32"/>
              <w:szCs w:val="32"/>
            </w:rPr>
          </w:pPr>
          <w:r>
            <w:rPr>
              <w:b/>
              <w:sz w:val="32"/>
              <w:szCs w:val="32"/>
            </w:rPr>
            <w:t>IP</w:t>
          </w:r>
        </w:p>
      </w:tc>
      <w:tc>
        <w:tcPr>
          <w:tcW w:w="1332" w:type="dxa"/>
        </w:tcPr>
        <w:p w14:paraId="5F613010" w14:textId="209D60E9" w:rsidR="00AE5DD0" w:rsidRPr="00BD47E4" w:rsidRDefault="001B0A36" w:rsidP="00080F4C">
          <w:pPr>
            <w:rPr>
              <w:b/>
              <w:sz w:val="32"/>
              <w:szCs w:val="32"/>
            </w:rPr>
          </w:pPr>
          <w:r>
            <w:rPr>
              <w:b/>
              <w:sz w:val="32"/>
              <w:szCs w:val="32"/>
            </w:rPr>
            <w:t>88</w:t>
          </w:r>
        </w:p>
      </w:tc>
    </w:tr>
  </w:tbl>
  <w:p w14:paraId="26DC8A70" w14:textId="77777777" w:rsidR="00AE5DD0" w:rsidRDefault="00F200E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EEC0922">
      <w:start w:val="1"/>
      <w:numFmt w:val="bullet"/>
      <w:pStyle w:val="ATSBullet1"/>
      <w:lvlText w:val=""/>
      <w:lvlJc w:val="left"/>
      <w:pPr>
        <w:tabs>
          <w:tab w:val="num" w:pos="360"/>
        </w:tabs>
        <w:ind w:left="360" w:hanging="360"/>
      </w:pPr>
      <w:rPr>
        <w:rFonts w:ascii="Symbol" w:hAnsi="Symbol" w:hint="default"/>
        <w:color w:val="auto"/>
      </w:rPr>
    </w:lvl>
    <w:lvl w:ilvl="1" w:tplc="99FE4126" w:tentative="1">
      <w:start w:val="1"/>
      <w:numFmt w:val="bullet"/>
      <w:lvlText w:val="o"/>
      <w:lvlJc w:val="left"/>
      <w:pPr>
        <w:tabs>
          <w:tab w:val="num" w:pos="1440"/>
        </w:tabs>
        <w:ind w:left="1440" w:hanging="360"/>
      </w:pPr>
      <w:rPr>
        <w:rFonts w:ascii="Courier New" w:hAnsi="Courier New" w:cs="Courier New" w:hint="default"/>
      </w:rPr>
    </w:lvl>
    <w:lvl w:ilvl="2" w:tplc="B7F01F1C" w:tentative="1">
      <w:start w:val="1"/>
      <w:numFmt w:val="bullet"/>
      <w:lvlText w:val=""/>
      <w:lvlJc w:val="left"/>
      <w:pPr>
        <w:tabs>
          <w:tab w:val="num" w:pos="2160"/>
        </w:tabs>
        <w:ind w:left="2160" w:hanging="360"/>
      </w:pPr>
      <w:rPr>
        <w:rFonts w:ascii="Wingdings" w:hAnsi="Wingdings" w:hint="default"/>
      </w:rPr>
    </w:lvl>
    <w:lvl w:ilvl="3" w:tplc="D0BEB0D2" w:tentative="1">
      <w:start w:val="1"/>
      <w:numFmt w:val="bullet"/>
      <w:lvlText w:val=""/>
      <w:lvlJc w:val="left"/>
      <w:pPr>
        <w:tabs>
          <w:tab w:val="num" w:pos="2880"/>
        </w:tabs>
        <w:ind w:left="2880" w:hanging="360"/>
      </w:pPr>
      <w:rPr>
        <w:rFonts w:ascii="Symbol" w:hAnsi="Symbol" w:hint="default"/>
      </w:rPr>
    </w:lvl>
    <w:lvl w:ilvl="4" w:tplc="1F66E2D2" w:tentative="1">
      <w:start w:val="1"/>
      <w:numFmt w:val="bullet"/>
      <w:lvlText w:val="o"/>
      <w:lvlJc w:val="left"/>
      <w:pPr>
        <w:tabs>
          <w:tab w:val="num" w:pos="3600"/>
        </w:tabs>
        <w:ind w:left="3600" w:hanging="360"/>
      </w:pPr>
      <w:rPr>
        <w:rFonts w:ascii="Courier New" w:hAnsi="Courier New" w:cs="Courier New" w:hint="default"/>
      </w:rPr>
    </w:lvl>
    <w:lvl w:ilvl="5" w:tplc="4FF863DC" w:tentative="1">
      <w:start w:val="1"/>
      <w:numFmt w:val="bullet"/>
      <w:lvlText w:val=""/>
      <w:lvlJc w:val="left"/>
      <w:pPr>
        <w:tabs>
          <w:tab w:val="num" w:pos="4320"/>
        </w:tabs>
        <w:ind w:left="4320" w:hanging="360"/>
      </w:pPr>
      <w:rPr>
        <w:rFonts w:ascii="Wingdings" w:hAnsi="Wingdings" w:hint="default"/>
      </w:rPr>
    </w:lvl>
    <w:lvl w:ilvl="6" w:tplc="68364B66" w:tentative="1">
      <w:start w:val="1"/>
      <w:numFmt w:val="bullet"/>
      <w:lvlText w:val=""/>
      <w:lvlJc w:val="left"/>
      <w:pPr>
        <w:tabs>
          <w:tab w:val="num" w:pos="5040"/>
        </w:tabs>
        <w:ind w:left="5040" w:hanging="360"/>
      </w:pPr>
      <w:rPr>
        <w:rFonts w:ascii="Symbol" w:hAnsi="Symbol" w:hint="default"/>
      </w:rPr>
    </w:lvl>
    <w:lvl w:ilvl="7" w:tplc="089CC1D4" w:tentative="1">
      <w:start w:val="1"/>
      <w:numFmt w:val="bullet"/>
      <w:lvlText w:val="o"/>
      <w:lvlJc w:val="left"/>
      <w:pPr>
        <w:tabs>
          <w:tab w:val="num" w:pos="5760"/>
        </w:tabs>
        <w:ind w:left="5760" w:hanging="360"/>
      </w:pPr>
      <w:rPr>
        <w:rFonts w:ascii="Courier New" w:hAnsi="Courier New" w:cs="Courier New" w:hint="default"/>
      </w:rPr>
    </w:lvl>
    <w:lvl w:ilvl="8" w:tplc="778CCB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AFC40CC">
      <w:start w:val="1"/>
      <w:numFmt w:val="decimal"/>
      <w:lvlText w:val="%1)"/>
      <w:lvlJc w:val="left"/>
      <w:pPr>
        <w:tabs>
          <w:tab w:val="num" w:pos="340"/>
        </w:tabs>
        <w:ind w:left="340" w:hanging="340"/>
      </w:pPr>
      <w:rPr>
        <w:rFonts w:hint="default"/>
      </w:rPr>
    </w:lvl>
    <w:lvl w:ilvl="1" w:tplc="36024028" w:tentative="1">
      <w:start w:val="1"/>
      <w:numFmt w:val="lowerLetter"/>
      <w:lvlText w:val="%2."/>
      <w:lvlJc w:val="left"/>
      <w:pPr>
        <w:tabs>
          <w:tab w:val="num" w:pos="1440"/>
        </w:tabs>
        <w:ind w:left="1440" w:hanging="360"/>
      </w:pPr>
    </w:lvl>
    <w:lvl w:ilvl="2" w:tplc="CAD26188" w:tentative="1">
      <w:start w:val="1"/>
      <w:numFmt w:val="lowerRoman"/>
      <w:lvlText w:val="%3."/>
      <w:lvlJc w:val="right"/>
      <w:pPr>
        <w:tabs>
          <w:tab w:val="num" w:pos="2160"/>
        </w:tabs>
        <w:ind w:left="2160" w:hanging="180"/>
      </w:pPr>
    </w:lvl>
    <w:lvl w:ilvl="3" w:tplc="3CA01F62" w:tentative="1">
      <w:start w:val="1"/>
      <w:numFmt w:val="decimal"/>
      <w:lvlText w:val="%4."/>
      <w:lvlJc w:val="left"/>
      <w:pPr>
        <w:tabs>
          <w:tab w:val="num" w:pos="2880"/>
        </w:tabs>
        <w:ind w:left="2880" w:hanging="360"/>
      </w:pPr>
    </w:lvl>
    <w:lvl w:ilvl="4" w:tplc="74101184" w:tentative="1">
      <w:start w:val="1"/>
      <w:numFmt w:val="lowerLetter"/>
      <w:lvlText w:val="%5."/>
      <w:lvlJc w:val="left"/>
      <w:pPr>
        <w:tabs>
          <w:tab w:val="num" w:pos="3600"/>
        </w:tabs>
        <w:ind w:left="3600" w:hanging="360"/>
      </w:pPr>
    </w:lvl>
    <w:lvl w:ilvl="5" w:tplc="30EAD0CC" w:tentative="1">
      <w:start w:val="1"/>
      <w:numFmt w:val="lowerRoman"/>
      <w:lvlText w:val="%6."/>
      <w:lvlJc w:val="right"/>
      <w:pPr>
        <w:tabs>
          <w:tab w:val="num" w:pos="4320"/>
        </w:tabs>
        <w:ind w:left="4320" w:hanging="180"/>
      </w:pPr>
    </w:lvl>
    <w:lvl w:ilvl="6" w:tplc="CE3A310A" w:tentative="1">
      <w:start w:val="1"/>
      <w:numFmt w:val="decimal"/>
      <w:lvlText w:val="%7."/>
      <w:lvlJc w:val="left"/>
      <w:pPr>
        <w:tabs>
          <w:tab w:val="num" w:pos="5040"/>
        </w:tabs>
        <w:ind w:left="5040" w:hanging="360"/>
      </w:pPr>
    </w:lvl>
    <w:lvl w:ilvl="7" w:tplc="C58E6E70" w:tentative="1">
      <w:start w:val="1"/>
      <w:numFmt w:val="lowerLetter"/>
      <w:lvlText w:val="%8."/>
      <w:lvlJc w:val="left"/>
      <w:pPr>
        <w:tabs>
          <w:tab w:val="num" w:pos="5760"/>
        </w:tabs>
        <w:ind w:left="5760" w:hanging="360"/>
      </w:pPr>
    </w:lvl>
    <w:lvl w:ilvl="8" w:tplc="1CC077A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CC8078A">
      <w:start w:val="1"/>
      <w:numFmt w:val="decimal"/>
      <w:lvlText w:val="%1."/>
      <w:lvlJc w:val="left"/>
      <w:pPr>
        <w:tabs>
          <w:tab w:val="num" w:pos="1057"/>
        </w:tabs>
        <w:ind w:left="1057" w:hanging="360"/>
      </w:pPr>
      <w:rPr>
        <w:rFonts w:hint="default"/>
      </w:rPr>
    </w:lvl>
    <w:lvl w:ilvl="1" w:tplc="942E1E20" w:tentative="1">
      <w:start w:val="1"/>
      <w:numFmt w:val="lowerLetter"/>
      <w:lvlText w:val="%2."/>
      <w:lvlJc w:val="left"/>
      <w:pPr>
        <w:tabs>
          <w:tab w:val="num" w:pos="2137"/>
        </w:tabs>
        <w:ind w:left="2137" w:hanging="360"/>
      </w:pPr>
    </w:lvl>
    <w:lvl w:ilvl="2" w:tplc="311ED7FA" w:tentative="1">
      <w:start w:val="1"/>
      <w:numFmt w:val="lowerRoman"/>
      <w:lvlText w:val="%3."/>
      <w:lvlJc w:val="right"/>
      <w:pPr>
        <w:tabs>
          <w:tab w:val="num" w:pos="2857"/>
        </w:tabs>
        <w:ind w:left="2857" w:hanging="180"/>
      </w:pPr>
    </w:lvl>
    <w:lvl w:ilvl="3" w:tplc="3586D42E" w:tentative="1">
      <w:start w:val="1"/>
      <w:numFmt w:val="decimal"/>
      <w:lvlText w:val="%4."/>
      <w:lvlJc w:val="left"/>
      <w:pPr>
        <w:tabs>
          <w:tab w:val="num" w:pos="3577"/>
        </w:tabs>
        <w:ind w:left="3577" w:hanging="360"/>
      </w:pPr>
    </w:lvl>
    <w:lvl w:ilvl="4" w:tplc="9196BC20" w:tentative="1">
      <w:start w:val="1"/>
      <w:numFmt w:val="lowerLetter"/>
      <w:lvlText w:val="%5."/>
      <w:lvlJc w:val="left"/>
      <w:pPr>
        <w:tabs>
          <w:tab w:val="num" w:pos="4297"/>
        </w:tabs>
        <w:ind w:left="4297" w:hanging="360"/>
      </w:pPr>
    </w:lvl>
    <w:lvl w:ilvl="5" w:tplc="C1E0410C" w:tentative="1">
      <w:start w:val="1"/>
      <w:numFmt w:val="lowerRoman"/>
      <w:lvlText w:val="%6."/>
      <w:lvlJc w:val="right"/>
      <w:pPr>
        <w:tabs>
          <w:tab w:val="num" w:pos="5017"/>
        </w:tabs>
        <w:ind w:left="5017" w:hanging="180"/>
      </w:pPr>
    </w:lvl>
    <w:lvl w:ilvl="6" w:tplc="C85A9DE0" w:tentative="1">
      <w:start w:val="1"/>
      <w:numFmt w:val="decimal"/>
      <w:lvlText w:val="%7."/>
      <w:lvlJc w:val="left"/>
      <w:pPr>
        <w:tabs>
          <w:tab w:val="num" w:pos="5737"/>
        </w:tabs>
        <w:ind w:left="5737" w:hanging="360"/>
      </w:pPr>
    </w:lvl>
    <w:lvl w:ilvl="7" w:tplc="39865478" w:tentative="1">
      <w:start w:val="1"/>
      <w:numFmt w:val="lowerLetter"/>
      <w:lvlText w:val="%8."/>
      <w:lvlJc w:val="left"/>
      <w:pPr>
        <w:tabs>
          <w:tab w:val="num" w:pos="6457"/>
        </w:tabs>
        <w:ind w:left="6457" w:hanging="360"/>
      </w:pPr>
    </w:lvl>
    <w:lvl w:ilvl="8" w:tplc="F6E08D9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FDA52E6">
      <w:start w:val="1"/>
      <w:numFmt w:val="decimal"/>
      <w:pStyle w:val="ATSNumber1"/>
      <w:lvlText w:val="%1)"/>
      <w:lvlJc w:val="left"/>
      <w:pPr>
        <w:tabs>
          <w:tab w:val="num" w:pos="720"/>
        </w:tabs>
        <w:ind w:left="720" w:hanging="360"/>
      </w:pPr>
    </w:lvl>
    <w:lvl w:ilvl="1" w:tplc="D9AAC766" w:tentative="1">
      <w:start w:val="1"/>
      <w:numFmt w:val="lowerLetter"/>
      <w:lvlText w:val="%2."/>
      <w:lvlJc w:val="left"/>
      <w:pPr>
        <w:tabs>
          <w:tab w:val="num" w:pos="1440"/>
        </w:tabs>
        <w:ind w:left="1440" w:hanging="360"/>
      </w:pPr>
    </w:lvl>
    <w:lvl w:ilvl="2" w:tplc="173CC4C6" w:tentative="1">
      <w:start w:val="1"/>
      <w:numFmt w:val="lowerRoman"/>
      <w:lvlText w:val="%3."/>
      <w:lvlJc w:val="right"/>
      <w:pPr>
        <w:tabs>
          <w:tab w:val="num" w:pos="2160"/>
        </w:tabs>
        <w:ind w:left="2160" w:hanging="180"/>
      </w:pPr>
    </w:lvl>
    <w:lvl w:ilvl="3" w:tplc="9AD4297A" w:tentative="1">
      <w:start w:val="1"/>
      <w:numFmt w:val="decimal"/>
      <w:lvlText w:val="%4."/>
      <w:lvlJc w:val="left"/>
      <w:pPr>
        <w:tabs>
          <w:tab w:val="num" w:pos="2880"/>
        </w:tabs>
        <w:ind w:left="2880" w:hanging="360"/>
      </w:pPr>
    </w:lvl>
    <w:lvl w:ilvl="4" w:tplc="8C96DAFE" w:tentative="1">
      <w:start w:val="1"/>
      <w:numFmt w:val="lowerLetter"/>
      <w:lvlText w:val="%5."/>
      <w:lvlJc w:val="left"/>
      <w:pPr>
        <w:tabs>
          <w:tab w:val="num" w:pos="3600"/>
        </w:tabs>
        <w:ind w:left="3600" w:hanging="360"/>
      </w:pPr>
    </w:lvl>
    <w:lvl w:ilvl="5" w:tplc="CB3680AA" w:tentative="1">
      <w:start w:val="1"/>
      <w:numFmt w:val="lowerRoman"/>
      <w:lvlText w:val="%6."/>
      <w:lvlJc w:val="right"/>
      <w:pPr>
        <w:tabs>
          <w:tab w:val="num" w:pos="4320"/>
        </w:tabs>
        <w:ind w:left="4320" w:hanging="180"/>
      </w:pPr>
    </w:lvl>
    <w:lvl w:ilvl="6" w:tplc="58400ED2" w:tentative="1">
      <w:start w:val="1"/>
      <w:numFmt w:val="decimal"/>
      <w:lvlText w:val="%7."/>
      <w:lvlJc w:val="left"/>
      <w:pPr>
        <w:tabs>
          <w:tab w:val="num" w:pos="5040"/>
        </w:tabs>
        <w:ind w:left="5040" w:hanging="360"/>
      </w:pPr>
    </w:lvl>
    <w:lvl w:ilvl="7" w:tplc="0C740606" w:tentative="1">
      <w:start w:val="1"/>
      <w:numFmt w:val="lowerLetter"/>
      <w:lvlText w:val="%8."/>
      <w:lvlJc w:val="left"/>
      <w:pPr>
        <w:tabs>
          <w:tab w:val="num" w:pos="5760"/>
        </w:tabs>
        <w:ind w:left="5760" w:hanging="360"/>
      </w:pPr>
    </w:lvl>
    <w:lvl w:ilvl="8" w:tplc="845A022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1C4A43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D2E9EA0" w:tentative="1">
      <w:start w:val="1"/>
      <w:numFmt w:val="bullet"/>
      <w:lvlText w:val="o"/>
      <w:lvlJc w:val="left"/>
      <w:pPr>
        <w:tabs>
          <w:tab w:val="num" w:pos="2517"/>
        </w:tabs>
        <w:ind w:left="2517" w:hanging="360"/>
      </w:pPr>
      <w:rPr>
        <w:rFonts w:ascii="Courier New" w:hAnsi="Courier New" w:cs="Courier New" w:hint="default"/>
      </w:rPr>
    </w:lvl>
    <w:lvl w:ilvl="2" w:tplc="106A23A6" w:tentative="1">
      <w:start w:val="1"/>
      <w:numFmt w:val="bullet"/>
      <w:lvlText w:val=""/>
      <w:lvlJc w:val="left"/>
      <w:pPr>
        <w:tabs>
          <w:tab w:val="num" w:pos="3237"/>
        </w:tabs>
        <w:ind w:left="3237" w:hanging="360"/>
      </w:pPr>
      <w:rPr>
        <w:rFonts w:ascii="Wingdings" w:hAnsi="Wingdings" w:hint="default"/>
      </w:rPr>
    </w:lvl>
    <w:lvl w:ilvl="3" w:tplc="047C712E" w:tentative="1">
      <w:start w:val="1"/>
      <w:numFmt w:val="bullet"/>
      <w:lvlText w:val=""/>
      <w:lvlJc w:val="left"/>
      <w:pPr>
        <w:tabs>
          <w:tab w:val="num" w:pos="3957"/>
        </w:tabs>
        <w:ind w:left="3957" w:hanging="360"/>
      </w:pPr>
      <w:rPr>
        <w:rFonts w:ascii="Symbol" w:hAnsi="Symbol" w:hint="default"/>
      </w:rPr>
    </w:lvl>
    <w:lvl w:ilvl="4" w:tplc="72408714" w:tentative="1">
      <w:start w:val="1"/>
      <w:numFmt w:val="bullet"/>
      <w:lvlText w:val="o"/>
      <w:lvlJc w:val="left"/>
      <w:pPr>
        <w:tabs>
          <w:tab w:val="num" w:pos="4677"/>
        </w:tabs>
        <w:ind w:left="4677" w:hanging="360"/>
      </w:pPr>
      <w:rPr>
        <w:rFonts w:ascii="Courier New" w:hAnsi="Courier New" w:cs="Courier New" w:hint="default"/>
      </w:rPr>
    </w:lvl>
    <w:lvl w:ilvl="5" w:tplc="96BC1152" w:tentative="1">
      <w:start w:val="1"/>
      <w:numFmt w:val="bullet"/>
      <w:lvlText w:val=""/>
      <w:lvlJc w:val="left"/>
      <w:pPr>
        <w:tabs>
          <w:tab w:val="num" w:pos="5397"/>
        </w:tabs>
        <w:ind w:left="5397" w:hanging="360"/>
      </w:pPr>
      <w:rPr>
        <w:rFonts w:ascii="Wingdings" w:hAnsi="Wingdings" w:hint="default"/>
      </w:rPr>
    </w:lvl>
    <w:lvl w:ilvl="6" w:tplc="FA4CC6E8" w:tentative="1">
      <w:start w:val="1"/>
      <w:numFmt w:val="bullet"/>
      <w:lvlText w:val=""/>
      <w:lvlJc w:val="left"/>
      <w:pPr>
        <w:tabs>
          <w:tab w:val="num" w:pos="6117"/>
        </w:tabs>
        <w:ind w:left="6117" w:hanging="360"/>
      </w:pPr>
      <w:rPr>
        <w:rFonts w:ascii="Symbol" w:hAnsi="Symbol" w:hint="default"/>
      </w:rPr>
    </w:lvl>
    <w:lvl w:ilvl="7" w:tplc="5D5AB09C" w:tentative="1">
      <w:start w:val="1"/>
      <w:numFmt w:val="bullet"/>
      <w:lvlText w:val="o"/>
      <w:lvlJc w:val="left"/>
      <w:pPr>
        <w:tabs>
          <w:tab w:val="num" w:pos="6837"/>
        </w:tabs>
        <w:ind w:left="6837" w:hanging="360"/>
      </w:pPr>
      <w:rPr>
        <w:rFonts w:ascii="Courier New" w:hAnsi="Courier New" w:cs="Courier New" w:hint="default"/>
      </w:rPr>
    </w:lvl>
    <w:lvl w:ilvl="8" w:tplc="FF6ECB9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D48E914">
      <w:start w:val="1"/>
      <w:numFmt w:val="decimal"/>
      <w:pStyle w:val="ATSNumber2"/>
      <w:lvlText w:val="%1."/>
      <w:lvlJc w:val="left"/>
      <w:pPr>
        <w:tabs>
          <w:tab w:val="num" w:pos="720"/>
        </w:tabs>
        <w:ind w:left="720" w:hanging="360"/>
      </w:pPr>
      <w:rPr>
        <w:rFonts w:hint="default"/>
      </w:rPr>
    </w:lvl>
    <w:lvl w:ilvl="1" w:tplc="2EE6A56C" w:tentative="1">
      <w:start w:val="1"/>
      <w:numFmt w:val="lowerLetter"/>
      <w:lvlText w:val="%2."/>
      <w:lvlJc w:val="left"/>
      <w:pPr>
        <w:tabs>
          <w:tab w:val="num" w:pos="1440"/>
        </w:tabs>
        <w:ind w:left="1440" w:hanging="360"/>
      </w:pPr>
    </w:lvl>
    <w:lvl w:ilvl="2" w:tplc="ABD21AF8" w:tentative="1">
      <w:start w:val="1"/>
      <w:numFmt w:val="lowerRoman"/>
      <w:lvlText w:val="%3."/>
      <w:lvlJc w:val="right"/>
      <w:pPr>
        <w:tabs>
          <w:tab w:val="num" w:pos="2160"/>
        </w:tabs>
        <w:ind w:left="2160" w:hanging="180"/>
      </w:pPr>
    </w:lvl>
    <w:lvl w:ilvl="3" w:tplc="F1060BEC" w:tentative="1">
      <w:start w:val="1"/>
      <w:numFmt w:val="decimal"/>
      <w:lvlText w:val="%4."/>
      <w:lvlJc w:val="left"/>
      <w:pPr>
        <w:tabs>
          <w:tab w:val="num" w:pos="2880"/>
        </w:tabs>
        <w:ind w:left="2880" w:hanging="360"/>
      </w:pPr>
    </w:lvl>
    <w:lvl w:ilvl="4" w:tplc="CBB44804" w:tentative="1">
      <w:start w:val="1"/>
      <w:numFmt w:val="lowerLetter"/>
      <w:lvlText w:val="%5."/>
      <w:lvlJc w:val="left"/>
      <w:pPr>
        <w:tabs>
          <w:tab w:val="num" w:pos="3600"/>
        </w:tabs>
        <w:ind w:left="3600" w:hanging="360"/>
      </w:pPr>
    </w:lvl>
    <w:lvl w:ilvl="5" w:tplc="37284C88" w:tentative="1">
      <w:start w:val="1"/>
      <w:numFmt w:val="lowerRoman"/>
      <w:lvlText w:val="%6."/>
      <w:lvlJc w:val="right"/>
      <w:pPr>
        <w:tabs>
          <w:tab w:val="num" w:pos="4320"/>
        </w:tabs>
        <w:ind w:left="4320" w:hanging="180"/>
      </w:pPr>
    </w:lvl>
    <w:lvl w:ilvl="6" w:tplc="8A9051E4" w:tentative="1">
      <w:start w:val="1"/>
      <w:numFmt w:val="decimal"/>
      <w:lvlText w:val="%7."/>
      <w:lvlJc w:val="left"/>
      <w:pPr>
        <w:tabs>
          <w:tab w:val="num" w:pos="5040"/>
        </w:tabs>
        <w:ind w:left="5040" w:hanging="360"/>
      </w:pPr>
    </w:lvl>
    <w:lvl w:ilvl="7" w:tplc="0C66E514" w:tentative="1">
      <w:start w:val="1"/>
      <w:numFmt w:val="lowerLetter"/>
      <w:lvlText w:val="%8."/>
      <w:lvlJc w:val="left"/>
      <w:pPr>
        <w:tabs>
          <w:tab w:val="num" w:pos="5760"/>
        </w:tabs>
        <w:ind w:left="5760" w:hanging="360"/>
      </w:pPr>
    </w:lvl>
    <w:lvl w:ilvl="8" w:tplc="CC7AE18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1B"/>
    <w:rsid w:val="00173BA0"/>
    <w:rsid w:val="001B0A36"/>
    <w:rsid w:val="00256E37"/>
    <w:rsid w:val="00C92C1B"/>
    <w:rsid w:val="00F20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2C49F"/>
  <w15:chartTrackingRefBased/>
  <w15:docId w15:val="{CF5974E6-BA64-4820-A595-25ED8883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1B0A36"/>
    <w:rPr>
      <w:sz w:val="22"/>
      <w:szCs w:val="24"/>
      <w:lang w:val="en-GB" w:eastAsia="en-GB"/>
    </w:rPr>
  </w:style>
  <w:style w:type="character" w:customStyle="1" w:styleId="il">
    <w:name w:val="il"/>
    <w:basedOn w:val="Fuentedeprrafopredeter"/>
    <w:rsid w:val="001B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o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1D85E-9930-4129-B0CB-03394991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1524</Words>
  <Characters>8689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2022-05-26T08:37:00Z</dcterms:modified>
</cp:coreProperties>
</file>