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5949" w14:textId="77777777" w:rsidR="00C26F2D" w:rsidRPr="00BF077B" w:rsidRDefault="005F081F" w:rsidP="00BF077B">
      <w:pPr>
        <w:pStyle w:val="ATSNormal"/>
        <w:rPr>
          <w:rStyle w:val="Ttulodellibro"/>
        </w:rPr>
      </w:pPr>
    </w:p>
    <w:p w14:paraId="65E0F47F" w14:textId="77777777" w:rsidR="002F0A13" w:rsidRDefault="005F081F" w:rsidP="004B4A60">
      <w:pPr>
        <w:rPr>
          <w:b/>
          <w:u w:val="single"/>
          <w:lang w:val="es-ES_tradnl"/>
        </w:rPr>
      </w:pPr>
    </w:p>
    <w:p w14:paraId="0210A812" w14:textId="77777777" w:rsidR="002F0A13" w:rsidRDefault="005F081F" w:rsidP="004B4A60">
      <w:pPr>
        <w:rPr>
          <w:b/>
          <w:u w:val="single"/>
          <w:lang w:val="es-ES_tradnl"/>
        </w:rPr>
      </w:pPr>
    </w:p>
    <w:p w14:paraId="540C7EA6" w14:textId="77777777" w:rsidR="002F0A13" w:rsidRDefault="005F081F" w:rsidP="004B4A60">
      <w:pPr>
        <w:rPr>
          <w:b/>
          <w:u w:val="single"/>
          <w:lang w:val="es-ES_tradnl"/>
        </w:rPr>
      </w:pPr>
    </w:p>
    <w:p w14:paraId="7E63846A" w14:textId="77777777" w:rsidR="002F0A13" w:rsidRDefault="005F081F" w:rsidP="004B4A60">
      <w:pPr>
        <w:rPr>
          <w:b/>
          <w:u w:val="single"/>
          <w:lang w:val="es-ES_tradnl"/>
        </w:rPr>
      </w:pPr>
    </w:p>
    <w:p w14:paraId="4ADBCCBF" w14:textId="77777777" w:rsidR="00C26F2D" w:rsidRDefault="005F081F" w:rsidP="004B4A60">
      <w:pPr>
        <w:rPr>
          <w:b/>
          <w:u w:val="single"/>
          <w:lang w:val="es-ES_tradnl"/>
        </w:rPr>
      </w:pPr>
    </w:p>
    <w:p w14:paraId="6D4A8723" w14:textId="77777777" w:rsidR="004B4A60" w:rsidRPr="0057246E" w:rsidRDefault="005F081F" w:rsidP="001B789F">
      <w:pPr>
        <w:pStyle w:val="ATSTitle"/>
      </w:pPr>
      <w:bookmarkStart w:id="0" w:name="name"/>
      <w:r>
        <w:t>Antarctic tourism policies after the “pandemic pause”</w:t>
      </w:r>
      <w:bookmarkEnd w:id="0"/>
    </w:p>
    <w:p w14:paraId="5F2F3C0E" w14:textId="77777777" w:rsidR="004B4A60" w:rsidRPr="0057246E" w:rsidRDefault="005F081F" w:rsidP="00F75424">
      <w:pPr>
        <w:jc w:val="center"/>
      </w:pPr>
    </w:p>
    <w:p w14:paraId="321FC61F" w14:textId="77777777" w:rsidR="004B4A60" w:rsidRPr="002F0A13" w:rsidRDefault="005F081F" w:rsidP="002F0A13"/>
    <w:p w14:paraId="08004F5C" w14:textId="77777777" w:rsidR="004B4A60" w:rsidRDefault="005F081F" w:rsidP="00F75424">
      <w:pPr>
        <w:jc w:val="center"/>
      </w:pPr>
      <w:bookmarkStart w:id="1" w:name="memo"/>
      <w:bookmarkEnd w:id="1"/>
    </w:p>
    <w:p w14:paraId="0EF12376" w14:textId="77777777" w:rsidR="0097629D" w:rsidRDefault="005F081F" w:rsidP="00F75424">
      <w:pPr>
        <w:jc w:val="center"/>
      </w:pPr>
    </w:p>
    <w:p w14:paraId="53EA31B2" w14:textId="77777777" w:rsidR="0097629D" w:rsidRDefault="005F081F" w:rsidP="00F75424">
      <w:pPr>
        <w:jc w:val="center"/>
      </w:pPr>
    </w:p>
    <w:p w14:paraId="5A814C9C" w14:textId="77777777" w:rsidR="0097629D" w:rsidRDefault="005F081F" w:rsidP="00F75424">
      <w:pPr>
        <w:jc w:val="center"/>
      </w:pPr>
    </w:p>
    <w:p w14:paraId="2D64D96F" w14:textId="77777777" w:rsidR="0097629D" w:rsidRPr="00C26F2D" w:rsidRDefault="005F081F" w:rsidP="00F75424">
      <w:pPr>
        <w:jc w:val="center"/>
      </w:pPr>
    </w:p>
    <w:p w14:paraId="10F64C39" w14:textId="77777777" w:rsidR="004B4A60" w:rsidRPr="0057246E" w:rsidRDefault="005F081F" w:rsidP="004B4A60"/>
    <w:p w14:paraId="53D6D277" w14:textId="77777777" w:rsidR="00C26F2D" w:rsidRDefault="005F081F"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2A0FA274" w14:textId="77777777" w:rsidR="005F081F" w:rsidRPr="0057246E" w:rsidRDefault="005F081F" w:rsidP="005F081F">
      <w:pPr>
        <w:pStyle w:val="ATSHeading1"/>
      </w:pPr>
      <w:r>
        <w:lastRenderedPageBreak/>
        <w:t>Antarctic tourism policies after the “pandemic pause”</w:t>
      </w:r>
    </w:p>
    <w:p w14:paraId="34D810A9" w14:textId="77777777" w:rsidR="005F081F" w:rsidRPr="008C3868" w:rsidRDefault="005F081F" w:rsidP="005F081F">
      <w:pPr>
        <w:jc w:val="center"/>
        <w:outlineLvl w:val="0"/>
        <w:rPr>
          <w:rFonts w:ascii="Arial" w:hAnsi="Arial" w:cs="Arial"/>
          <w:b/>
        </w:rPr>
      </w:pPr>
      <w:r w:rsidRPr="008C3868">
        <w:rPr>
          <w:rFonts w:ascii="Arial" w:hAnsi="Arial" w:cs="Arial"/>
          <w:b/>
        </w:rPr>
        <w:t>Information Paper submitted by ASOC</w:t>
      </w:r>
    </w:p>
    <w:p w14:paraId="6003F909" w14:textId="77777777" w:rsidR="005F081F" w:rsidRPr="0066141A" w:rsidRDefault="005F081F" w:rsidP="005F081F">
      <w:pPr>
        <w:spacing w:before="240" w:after="120"/>
        <w:outlineLvl w:val="0"/>
        <w:rPr>
          <w:rFonts w:ascii="Arial" w:hAnsi="Arial" w:cs="Arial"/>
          <w:b/>
          <w:i/>
          <w:sz w:val="24"/>
          <w:szCs w:val="28"/>
        </w:rPr>
      </w:pPr>
      <w:r w:rsidRPr="0066141A">
        <w:rPr>
          <w:rFonts w:ascii="Arial" w:hAnsi="Arial" w:cs="Arial"/>
          <w:b/>
          <w:i/>
          <w:sz w:val="24"/>
          <w:szCs w:val="28"/>
        </w:rPr>
        <w:t>Summary</w:t>
      </w:r>
    </w:p>
    <w:p w14:paraId="1375BFB7" w14:textId="77777777" w:rsidR="005F081F" w:rsidRDefault="005F081F" w:rsidP="005F081F">
      <w:pPr>
        <w:pStyle w:val="ATSNormal"/>
        <w:spacing w:after="0"/>
      </w:pPr>
      <w:r>
        <w:t>The pause in Antarctic tourism caused by the pandemic is easing and recovery will be a matter of time (barring other global disruptions). Given that tourism is a highly dynamic activity, ASOC suggests that the ATCM should be proactive in identifying emerging tourism trends and shaping tourism management for the next decade. ASOC considers that</w:t>
      </w:r>
      <w:r w:rsidRPr="00D95FAA">
        <w:t xml:space="preserve"> </w:t>
      </w:r>
      <w:r>
        <w:t>it</w:t>
      </w:r>
      <w:r w:rsidRPr="00D95FAA">
        <w:t xml:space="preserve"> would be more fruitful if </w:t>
      </w:r>
      <w:r>
        <w:t>the ATCM</w:t>
      </w:r>
      <w:r w:rsidRPr="00D95FAA">
        <w:t xml:space="preserve"> focused on identifying concrete ways to </w:t>
      </w:r>
      <w:r>
        <w:t>anticipate and manage</w:t>
      </w:r>
      <w:r w:rsidRPr="00D95FAA">
        <w:t xml:space="preserve"> tourism </w:t>
      </w:r>
      <w:r>
        <w:t>pressure</w:t>
      </w:r>
      <w:r w:rsidRPr="00D95FAA">
        <w:t>.</w:t>
      </w:r>
      <w:r>
        <w:t xml:space="preserve"> </w:t>
      </w:r>
      <w:r w:rsidRPr="00D378DF">
        <w:t xml:space="preserve">This document examines </w:t>
      </w:r>
      <w:r>
        <w:t>potential Antarctic tourism developments following the coronavirus pandemic. Key actions for the ATCM include:</w:t>
      </w:r>
    </w:p>
    <w:p w14:paraId="2748831C" w14:textId="77777777" w:rsidR="005F081F" w:rsidRDefault="005F081F" w:rsidP="005F081F">
      <w:pPr>
        <w:pStyle w:val="ATSNormal"/>
        <w:spacing w:before="0" w:after="0"/>
      </w:pPr>
    </w:p>
    <w:p w14:paraId="23DA826B" w14:textId="77777777" w:rsidR="005F081F" w:rsidRPr="00337E4B" w:rsidRDefault="005F081F" w:rsidP="005F081F">
      <w:pPr>
        <w:pStyle w:val="ATSNormal"/>
        <w:numPr>
          <w:ilvl w:val="0"/>
          <w:numId w:val="22"/>
        </w:numPr>
        <w:spacing w:before="0" w:after="0"/>
        <w:rPr>
          <w:bCs/>
        </w:rPr>
      </w:pPr>
      <w:r>
        <w:rPr>
          <w:bCs/>
        </w:rPr>
        <w:t xml:space="preserve">Expanding area protection under Annex V; </w:t>
      </w:r>
    </w:p>
    <w:p w14:paraId="10CA1406" w14:textId="77777777" w:rsidR="005F081F" w:rsidRDefault="005F081F" w:rsidP="005F081F">
      <w:pPr>
        <w:pStyle w:val="ATSNormal"/>
        <w:numPr>
          <w:ilvl w:val="0"/>
          <w:numId w:val="22"/>
        </w:numPr>
        <w:spacing w:before="0" w:after="0"/>
        <w:rPr>
          <w:bCs/>
        </w:rPr>
      </w:pPr>
      <w:r>
        <w:rPr>
          <w:bCs/>
        </w:rPr>
        <w:t xml:space="preserve">Developing dedicated programs for monitoring of tourism impacts; </w:t>
      </w:r>
    </w:p>
    <w:p w14:paraId="336ED2CB" w14:textId="77777777" w:rsidR="005F081F" w:rsidRDefault="005F081F" w:rsidP="005F081F">
      <w:pPr>
        <w:pStyle w:val="ATSNormal"/>
        <w:numPr>
          <w:ilvl w:val="0"/>
          <w:numId w:val="22"/>
        </w:numPr>
        <w:spacing w:before="0" w:after="0"/>
        <w:rPr>
          <w:bCs/>
        </w:rPr>
      </w:pPr>
      <w:r>
        <w:rPr>
          <w:bCs/>
        </w:rPr>
        <w:t xml:space="preserve">Ensuring consistent assessment of tourism activities; </w:t>
      </w:r>
    </w:p>
    <w:p w14:paraId="3D997A75" w14:textId="77777777" w:rsidR="005F081F" w:rsidRDefault="005F081F" w:rsidP="005F081F">
      <w:pPr>
        <w:pStyle w:val="ATSNormal"/>
        <w:numPr>
          <w:ilvl w:val="0"/>
          <w:numId w:val="22"/>
        </w:numPr>
        <w:spacing w:before="0" w:after="0"/>
        <w:rPr>
          <w:bCs/>
        </w:rPr>
      </w:pPr>
      <w:r>
        <w:rPr>
          <w:bCs/>
        </w:rPr>
        <w:t>Evaluating the effectiveness of existing tourism regulation; and</w:t>
      </w:r>
    </w:p>
    <w:p w14:paraId="43FBA3A2" w14:textId="77777777" w:rsidR="005F081F" w:rsidRDefault="005F081F" w:rsidP="005F081F">
      <w:pPr>
        <w:pStyle w:val="ATSNormal"/>
        <w:numPr>
          <w:ilvl w:val="0"/>
          <w:numId w:val="22"/>
        </w:numPr>
        <w:spacing w:before="0"/>
        <w:rPr>
          <w:bCs/>
        </w:rPr>
      </w:pPr>
      <w:r>
        <w:rPr>
          <w:bCs/>
        </w:rPr>
        <w:t>Encouraging low impact modalities of tourism.</w:t>
      </w:r>
    </w:p>
    <w:p w14:paraId="27C1627B" w14:textId="77777777" w:rsidR="005F081F" w:rsidRPr="009C7160" w:rsidRDefault="005F081F" w:rsidP="005F081F">
      <w:pPr>
        <w:spacing w:before="360" w:after="120"/>
        <w:outlineLvl w:val="0"/>
        <w:rPr>
          <w:rFonts w:ascii="Arial" w:hAnsi="Arial" w:cs="Arial"/>
          <w:b/>
          <w:i/>
          <w:sz w:val="24"/>
          <w:szCs w:val="28"/>
        </w:rPr>
      </w:pPr>
      <w:r w:rsidRPr="009C7160">
        <w:rPr>
          <w:rFonts w:ascii="Arial" w:hAnsi="Arial" w:cs="Arial"/>
          <w:b/>
          <w:i/>
          <w:sz w:val="24"/>
          <w:szCs w:val="28"/>
        </w:rPr>
        <w:t>Introduction</w:t>
      </w:r>
    </w:p>
    <w:p w14:paraId="40EBE05A" w14:textId="77777777" w:rsidR="005F081F" w:rsidRDefault="005F081F" w:rsidP="005F081F">
      <w:pPr>
        <w:pStyle w:val="ATSNormal"/>
      </w:pPr>
      <w:r w:rsidRPr="00D95FAA">
        <w:t xml:space="preserve">Over the last three decades, tourism has been one of the most discussed topics at the ATCM, </w:t>
      </w:r>
      <w:r>
        <w:t xml:space="preserve">including through numerous Intersessional Contact Groups (ICGs). However, </w:t>
      </w:r>
      <w:r w:rsidRPr="00D95FAA">
        <w:t xml:space="preserve">many of </w:t>
      </w:r>
      <w:r>
        <w:t>these discussions</w:t>
      </w:r>
      <w:r w:rsidRPr="00D95FAA">
        <w:t xml:space="preserve"> have </w:t>
      </w:r>
      <w:r>
        <w:t xml:space="preserve">not resulted in significant policy action. ASOC has concluded that tourism requires instead pragmatic approaches </w:t>
      </w:r>
      <w:bookmarkStart w:id="8" w:name="_Hlk101253807"/>
      <w:r w:rsidRPr="00D95FAA">
        <w:t>(ASOC</w:t>
      </w:r>
      <w:r>
        <w:t>,</w:t>
      </w:r>
      <w:r w:rsidRPr="00D95FAA">
        <w:t xml:space="preserve"> 201</w:t>
      </w:r>
      <w:r>
        <w:t>9</w:t>
      </w:r>
      <w:r w:rsidRPr="00D95FAA">
        <w:t>).</w:t>
      </w:r>
      <w:r>
        <w:t xml:space="preserve"> In parallel, the seasons prior to the pandemic reached record levels of Antarctic visitors. Pre-pandemic trends pointed towards a quite significant growth of p</w:t>
      </w:r>
      <w:r w:rsidRPr="00F02D14">
        <w:t xml:space="preserve">olar tourism </w:t>
      </w:r>
      <w:r>
        <w:t xml:space="preserve">in a few years hence, putting stress on </w:t>
      </w:r>
      <w:r w:rsidRPr="00F02D14">
        <w:t xml:space="preserve">the </w:t>
      </w:r>
      <w:r>
        <w:t xml:space="preserve">existing </w:t>
      </w:r>
      <w:r w:rsidRPr="00F02D14">
        <w:t>regulatory system</w:t>
      </w:r>
      <w:r>
        <w:t xml:space="preserve"> for Antarctic tourism (ASOC, 2018). At the start of the 2019-2020 season, it was apparent that continued growth of Antarctic tourism could potentially lead to instances of “overtourism” – or rather its Antarctic equivalent – at some times and places (Roura, 2019). </w:t>
      </w:r>
    </w:p>
    <w:p w14:paraId="340AA41A" w14:textId="77777777" w:rsidR="005F081F" w:rsidRDefault="005F081F" w:rsidP="005F081F">
      <w:pPr>
        <w:pStyle w:val="ATSNormal"/>
      </w:pPr>
      <w:r>
        <w:t xml:space="preserve">Then COVID-19 was declared a global pandemic. The year 2020 has been </w:t>
      </w:r>
      <w:r w:rsidRPr="00346DDD">
        <w:t>d</w:t>
      </w:r>
      <w:r>
        <w:t>escribe</w:t>
      </w:r>
      <w:r w:rsidRPr="00346DDD">
        <w:t>d as the “worst year on tourism</w:t>
      </w:r>
      <w:r>
        <w:rPr>
          <w:bCs/>
        </w:rPr>
        <w:t xml:space="preserve"> history” for global tourism (UNWTO, 2021a)</w:t>
      </w:r>
      <w:r w:rsidRPr="004F5B23">
        <w:rPr>
          <w:bCs/>
        </w:rPr>
        <w:t>.</w:t>
      </w:r>
      <w:r>
        <w:rPr>
          <w:rStyle w:val="Refdenotaalpie"/>
          <w:bCs/>
        </w:rPr>
        <w:footnoteReference w:id="1"/>
      </w:r>
      <w:r>
        <w:rPr>
          <w:bCs/>
        </w:rPr>
        <w:t xml:space="preserve"> In Antarctica, t</w:t>
      </w:r>
      <w:r>
        <w:t>he g</w:t>
      </w:r>
      <w:r w:rsidRPr="00346DDD">
        <w:t>reatest effects</w:t>
      </w:r>
      <w:r>
        <w:t xml:space="preserve"> were</w:t>
      </w:r>
      <w:r w:rsidRPr="00346DDD">
        <w:t xml:space="preserve"> felt in the 2020-2021 season where there was practically no tourism</w:t>
      </w:r>
      <w:r>
        <w:t xml:space="preserve"> (IAATO, 2021). </w:t>
      </w:r>
      <w:bookmarkEnd w:id="8"/>
      <w:r>
        <w:t>The timing of Antarctic tourism recovery is unknown but it is apparent that the “pandemic pause” is easing and that tourism in the region will eventually rebound, barring the emergence of other global disruptions.</w:t>
      </w:r>
      <w:r>
        <w:rPr>
          <w:rStyle w:val="Refdenotaalpie"/>
        </w:rPr>
        <w:footnoteReference w:id="2"/>
      </w:r>
      <w:r>
        <w:t xml:space="preserve"> Given that tourism is a highly dynamic activity, the ATCM should be proactive in identifying emerging tourism trends and shaping tourism management for the next decade as activities in Antarctica resume. To what extent is this happening?</w:t>
      </w:r>
    </w:p>
    <w:p w14:paraId="17465742" w14:textId="77777777" w:rsidR="005F081F" w:rsidRPr="009C7160" w:rsidRDefault="005F081F" w:rsidP="005F081F">
      <w:pPr>
        <w:spacing w:before="360" w:after="120"/>
        <w:outlineLvl w:val="0"/>
        <w:rPr>
          <w:rFonts w:ascii="Arial" w:hAnsi="Arial" w:cs="Arial"/>
          <w:b/>
          <w:i/>
          <w:sz w:val="24"/>
          <w:szCs w:val="28"/>
        </w:rPr>
      </w:pPr>
      <w:r w:rsidRPr="009C7160">
        <w:rPr>
          <w:rFonts w:ascii="Arial" w:hAnsi="Arial" w:cs="Arial"/>
          <w:b/>
          <w:i/>
          <w:sz w:val="24"/>
          <w:szCs w:val="28"/>
        </w:rPr>
        <w:t>Some recent developments</w:t>
      </w:r>
    </w:p>
    <w:p w14:paraId="008E4257" w14:textId="77777777" w:rsidR="005F081F" w:rsidRDefault="005F081F" w:rsidP="005F081F">
      <w:pPr>
        <w:pStyle w:val="ATSNormal"/>
        <w:rPr>
          <w:bCs/>
        </w:rPr>
      </w:pPr>
      <w:r>
        <w:rPr>
          <w:bCs/>
        </w:rPr>
        <w:t xml:space="preserve">Based on pre-pandemic trends, the </w:t>
      </w:r>
      <w:r w:rsidRPr="004F5B23">
        <w:rPr>
          <w:bCs/>
        </w:rPr>
        <w:t xml:space="preserve">two main vectors of </w:t>
      </w:r>
      <w:r>
        <w:rPr>
          <w:bCs/>
        </w:rPr>
        <w:t>Antarctic tourism recovery will more likely involve the</w:t>
      </w:r>
      <w:r w:rsidRPr="004F5B23">
        <w:rPr>
          <w:bCs/>
        </w:rPr>
        <w:t xml:space="preserve"> </w:t>
      </w:r>
      <w:r>
        <w:rPr>
          <w:bCs/>
        </w:rPr>
        <w:t xml:space="preserve">resumption of </w:t>
      </w:r>
      <w:r w:rsidRPr="004F5B23">
        <w:rPr>
          <w:bCs/>
        </w:rPr>
        <w:t>“traditional” shipborne tourism</w:t>
      </w:r>
      <w:r>
        <w:rPr>
          <w:bCs/>
        </w:rPr>
        <w:t>, primarily</w:t>
      </w:r>
      <w:r w:rsidRPr="004F5B23">
        <w:rPr>
          <w:bCs/>
        </w:rPr>
        <w:t xml:space="preserve"> </w:t>
      </w:r>
      <w:r>
        <w:rPr>
          <w:bCs/>
        </w:rPr>
        <w:t xml:space="preserve">focused </w:t>
      </w:r>
      <w:r w:rsidRPr="004F5B23">
        <w:rPr>
          <w:bCs/>
        </w:rPr>
        <w:t>in the Antarctic Peninsula area</w:t>
      </w:r>
      <w:r>
        <w:rPr>
          <w:bCs/>
        </w:rPr>
        <w:t>;</w:t>
      </w:r>
      <w:r w:rsidRPr="004F5B23">
        <w:rPr>
          <w:bCs/>
        </w:rPr>
        <w:t xml:space="preserve"> and</w:t>
      </w:r>
      <w:r>
        <w:rPr>
          <w:bCs/>
        </w:rPr>
        <w:t xml:space="preserve"> </w:t>
      </w:r>
      <w:r w:rsidRPr="004F5B23">
        <w:rPr>
          <w:bCs/>
        </w:rPr>
        <w:t>tourism</w:t>
      </w:r>
      <w:r>
        <w:rPr>
          <w:bCs/>
        </w:rPr>
        <w:t xml:space="preserve"> in the Antarctic interior, which is </w:t>
      </w:r>
      <w:r w:rsidRPr="004F5B23">
        <w:rPr>
          <w:bCs/>
        </w:rPr>
        <w:t>air supported, land</w:t>
      </w:r>
      <w:r>
        <w:rPr>
          <w:bCs/>
        </w:rPr>
        <w:t>-</w:t>
      </w:r>
      <w:r w:rsidRPr="004F5B23">
        <w:rPr>
          <w:bCs/>
        </w:rPr>
        <w:lastRenderedPageBreak/>
        <w:t>based</w:t>
      </w:r>
      <w:r>
        <w:rPr>
          <w:bCs/>
        </w:rPr>
        <w:t>, and spread out over a large area. These activities target different but partly overlapping market segments and develop following different patterns.</w:t>
      </w:r>
    </w:p>
    <w:p w14:paraId="6C93C265" w14:textId="77777777" w:rsidR="005F081F" w:rsidRDefault="005F081F" w:rsidP="005F081F">
      <w:pPr>
        <w:pStyle w:val="ATSNormal"/>
        <w:spacing w:before="0" w:after="0"/>
        <w:rPr>
          <w:bCs/>
        </w:rPr>
      </w:pPr>
      <w:r>
        <w:rPr>
          <w:bCs/>
        </w:rPr>
        <w:t>Examples of recent developments that may anticipate future trends include:</w:t>
      </w:r>
    </w:p>
    <w:p w14:paraId="7B957EC5" w14:textId="77777777" w:rsidR="005F081F" w:rsidRDefault="005F081F" w:rsidP="005F081F">
      <w:pPr>
        <w:pStyle w:val="ATSNormal"/>
        <w:numPr>
          <w:ilvl w:val="0"/>
          <w:numId w:val="21"/>
        </w:numPr>
        <w:spacing w:before="0" w:after="0"/>
        <w:rPr>
          <w:bCs/>
        </w:rPr>
      </w:pPr>
      <w:r>
        <w:rPr>
          <w:bCs/>
        </w:rPr>
        <w:t xml:space="preserve">One of several forthcoming purpose-built luxury expedition ships was launched in 2020, and after sea tests it began operating in the Arctic in 2021. A hybrid-electric Polar Class 2 ice breaker, she reached the North Pole on 6 September 2021 </w:t>
      </w:r>
      <w:bookmarkStart w:id="9" w:name="_Hlk101253871"/>
      <w:r>
        <w:rPr>
          <w:bCs/>
        </w:rPr>
        <w:t>(Nielsen, 2021).</w:t>
      </w:r>
      <w:r>
        <w:rPr>
          <w:rStyle w:val="Refdenotaalpie"/>
          <w:bCs/>
        </w:rPr>
        <w:footnoteReference w:id="3"/>
      </w:r>
      <w:r>
        <w:rPr>
          <w:bCs/>
        </w:rPr>
        <w:t xml:space="preserve"> </w:t>
      </w:r>
    </w:p>
    <w:p w14:paraId="312D4E78" w14:textId="77777777" w:rsidR="005F081F" w:rsidRDefault="005F081F" w:rsidP="005F081F">
      <w:pPr>
        <w:pStyle w:val="ATSNormal"/>
        <w:numPr>
          <w:ilvl w:val="0"/>
          <w:numId w:val="21"/>
        </w:numPr>
        <w:spacing w:before="0" w:after="0"/>
        <w:rPr>
          <w:bCs/>
        </w:rPr>
      </w:pPr>
      <w:r>
        <w:rPr>
          <w:bCs/>
        </w:rPr>
        <w:t>The first landing of an Airbus A340 took place in the polar plateau, about a five-hour flight south from Cape Town, in 2 November 2021 (Cormack, 2022).</w:t>
      </w:r>
    </w:p>
    <w:p w14:paraId="322811A9" w14:textId="77777777" w:rsidR="005F081F" w:rsidRDefault="005F081F" w:rsidP="005F081F">
      <w:pPr>
        <w:pStyle w:val="ATSNormal"/>
        <w:numPr>
          <w:ilvl w:val="0"/>
          <w:numId w:val="21"/>
        </w:numPr>
        <w:spacing w:before="0" w:after="0"/>
        <w:rPr>
          <w:bCs/>
        </w:rPr>
      </w:pPr>
      <w:r>
        <w:rPr>
          <w:bCs/>
        </w:rPr>
        <w:t>The first Antarctic tennis cruise has been announced for 2022-2023. It involves two tennis celebrities playing a show match in Antarctica in a high-end cruise that follows an otherwise standard itinerary. The h</w:t>
      </w:r>
      <w:r w:rsidRPr="004F5B23">
        <w:rPr>
          <w:bCs/>
        </w:rPr>
        <w:t>igher</w:t>
      </w:r>
      <w:r>
        <w:rPr>
          <w:bCs/>
        </w:rPr>
        <w:t>-level cabins and packages enable greater access to the tennis c</w:t>
      </w:r>
      <w:r w:rsidRPr="004F5B23">
        <w:rPr>
          <w:bCs/>
        </w:rPr>
        <w:t>elebrities</w:t>
      </w:r>
      <w:r>
        <w:rPr>
          <w:bCs/>
        </w:rPr>
        <w:t xml:space="preserve"> through </w:t>
      </w:r>
      <w:r w:rsidRPr="00337E4B">
        <w:rPr>
          <w:bCs/>
        </w:rPr>
        <w:t xml:space="preserve">during </w:t>
      </w:r>
      <w:r>
        <w:rPr>
          <w:bCs/>
        </w:rPr>
        <w:t>“…</w:t>
      </w:r>
      <w:r w:rsidRPr="00337E4B">
        <w:rPr>
          <w:bCs/>
        </w:rPr>
        <w:t>private lunches, dinners, zodiac rides or cocktail parties, while guests of the top three suites will even get the chance to face the brothers on the court during a five-minute doubles rally</w:t>
      </w:r>
      <w:r>
        <w:rPr>
          <w:bCs/>
        </w:rPr>
        <w:t>” (Gross, 2021).</w:t>
      </w:r>
    </w:p>
    <w:p w14:paraId="463A3F7C" w14:textId="77777777" w:rsidR="005F081F" w:rsidRDefault="005F081F" w:rsidP="005F081F">
      <w:pPr>
        <w:pStyle w:val="ATSNormal"/>
        <w:numPr>
          <w:ilvl w:val="0"/>
          <w:numId w:val="21"/>
        </w:numPr>
        <w:spacing w:before="0"/>
        <w:jc w:val="both"/>
        <w:rPr>
          <w:bCs/>
        </w:rPr>
      </w:pPr>
      <w:r>
        <w:rPr>
          <w:bCs/>
        </w:rPr>
        <w:t>C</w:t>
      </w:r>
      <w:r w:rsidRPr="004F5B23">
        <w:rPr>
          <w:bCs/>
        </w:rPr>
        <w:t>itizen science activities</w:t>
      </w:r>
      <w:r>
        <w:rPr>
          <w:bCs/>
        </w:rPr>
        <w:t xml:space="preserve"> focusing on opportunistic data collection from cruise ships are becoming more common. Citizen science is not a substitute for“big science” or a justification to expand tourism, but may provide useful complementary data for Antarctic ecosystem protection (e.g. </w:t>
      </w:r>
      <w:r w:rsidRPr="00B40150">
        <w:rPr>
          <w:bCs/>
        </w:rPr>
        <w:t>Johannessen</w:t>
      </w:r>
      <w:r>
        <w:rPr>
          <w:bCs/>
        </w:rPr>
        <w:t xml:space="preserve"> et al, 2021).</w:t>
      </w:r>
    </w:p>
    <w:bookmarkEnd w:id="9"/>
    <w:p w14:paraId="43A24FA3" w14:textId="77777777" w:rsidR="005F081F" w:rsidRDefault="005F081F" w:rsidP="005F081F">
      <w:pPr>
        <w:pStyle w:val="ATSNormal"/>
        <w:rPr>
          <w:bCs/>
        </w:rPr>
      </w:pPr>
      <w:r>
        <w:rPr>
          <w:bCs/>
        </w:rPr>
        <w:t>These examples</w:t>
      </w:r>
      <w:r w:rsidRPr="004F5B23">
        <w:rPr>
          <w:bCs/>
        </w:rPr>
        <w:t xml:space="preserve"> illustrate</w:t>
      </w:r>
      <w:r>
        <w:rPr>
          <w:bCs/>
        </w:rPr>
        <w:t xml:space="preserve"> </w:t>
      </w:r>
      <w:r w:rsidRPr="004F5B23">
        <w:rPr>
          <w:bCs/>
        </w:rPr>
        <w:t xml:space="preserve">that the possibilities for expanding </w:t>
      </w:r>
      <w:r>
        <w:rPr>
          <w:bCs/>
        </w:rPr>
        <w:t xml:space="preserve">polar </w:t>
      </w:r>
      <w:r w:rsidRPr="004F5B23">
        <w:rPr>
          <w:bCs/>
        </w:rPr>
        <w:t>tourism</w:t>
      </w:r>
      <w:r>
        <w:rPr>
          <w:bCs/>
        </w:rPr>
        <w:t xml:space="preserve"> and creating new tourism activities and packages are endless</w:t>
      </w:r>
      <w:r w:rsidRPr="004F5B23">
        <w:rPr>
          <w:bCs/>
        </w:rPr>
        <w:t>, particularl</w:t>
      </w:r>
      <w:r>
        <w:rPr>
          <w:bCs/>
        </w:rPr>
        <w:t xml:space="preserve">y </w:t>
      </w:r>
      <w:r w:rsidRPr="004F5B23">
        <w:rPr>
          <w:bCs/>
        </w:rPr>
        <w:t xml:space="preserve">at </w:t>
      </w:r>
      <w:r>
        <w:rPr>
          <w:bCs/>
        </w:rPr>
        <w:t xml:space="preserve">the </w:t>
      </w:r>
      <w:r w:rsidRPr="004F5B23">
        <w:rPr>
          <w:bCs/>
        </w:rPr>
        <w:t>higher end of the mark</w:t>
      </w:r>
      <w:r>
        <w:rPr>
          <w:bCs/>
        </w:rPr>
        <w:t>et.</w:t>
      </w:r>
    </w:p>
    <w:p w14:paraId="44D60704" w14:textId="77777777" w:rsidR="005F081F" w:rsidRDefault="005F081F" w:rsidP="005F081F">
      <w:pPr>
        <w:pStyle w:val="ATSNormal"/>
        <w:rPr>
          <w:bCs/>
        </w:rPr>
      </w:pPr>
      <w:r>
        <w:rPr>
          <w:bCs/>
        </w:rPr>
        <w:t>S</w:t>
      </w:r>
      <w:r w:rsidRPr="004F5B23">
        <w:rPr>
          <w:bCs/>
        </w:rPr>
        <w:t xml:space="preserve">ome significant discussions </w:t>
      </w:r>
      <w:r>
        <w:rPr>
          <w:bCs/>
        </w:rPr>
        <w:t xml:space="preserve">have </w:t>
      </w:r>
      <w:r w:rsidRPr="004F5B23">
        <w:rPr>
          <w:bCs/>
        </w:rPr>
        <w:t>tak</w:t>
      </w:r>
      <w:r>
        <w:rPr>
          <w:bCs/>
        </w:rPr>
        <w:t>en</w:t>
      </w:r>
      <w:r w:rsidRPr="004F5B23">
        <w:rPr>
          <w:bCs/>
        </w:rPr>
        <w:t xml:space="preserve"> place intersessionally</w:t>
      </w:r>
      <w:r>
        <w:rPr>
          <w:bCs/>
        </w:rPr>
        <w:t>, building from the 2018 Rotterdam Antarctic Tourism workshop.</w:t>
      </w:r>
      <w:r w:rsidRPr="00162243">
        <w:rPr>
          <w:bCs/>
        </w:rPr>
        <w:t xml:space="preserve"> </w:t>
      </w:r>
      <w:r>
        <w:rPr>
          <w:bCs/>
        </w:rPr>
        <w:t>Intersessional discussion on permanent tourism and non-governmental activities facilities post ATCM XLIII resulted in an inspiring exchange of ideas (Netherlands, 2022). Based on the performance of earlier ICGs on tourism (ASOC, 2019) it remains to be seen if the discussion will result in a breakthrough (a new perspective of examining land-based facilities associated with or used to support tourism) or avoid the central issue by excluding some current forms of land-based tourism or tourism support from closer scrutiny.</w:t>
      </w:r>
    </w:p>
    <w:p w14:paraId="61D80662" w14:textId="77777777" w:rsidR="005F081F" w:rsidRDefault="005F081F" w:rsidP="005F081F">
      <w:pPr>
        <w:pStyle w:val="ATSNormal"/>
        <w:rPr>
          <w:color w:val="222222"/>
          <w:shd w:val="clear" w:color="auto" w:fill="FFFFFF"/>
        </w:rPr>
      </w:pPr>
      <w:r>
        <w:rPr>
          <w:bCs/>
        </w:rPr>
        <w:t>Relevant research initiatives underway include the Strategic Conservation Planning process led by SCAR and IAATO; and s</w:t>
      </w:r>
      <w:r w:rsidRPr="004F5B23">
        <w:rPr>
          <w:bCs/>
        </w:rPr>
        <w:t>ome international research programs focus</w:t>
      </w:r>
      <w:r>
        <w:rPr>
          <w:bCs/>
        </w:rPr>
        <w:t>sing relevant to the management of tourism.</w:t>
      </w:r>
      <w:r>
        <w:rPr>
          <w:rStyle w:val="Refdenotaalpie"/>
          <w:bCs/>
        </w:rPr>
        <w:footnoteReference w:id="4"/>
      </w:r>
      <w:r>
        <w:rPr>
          <w:bCs/>
        </w:rPr>
        <w:t xml:space="preserve"> ASOC welcomes current </w:t>
      </w:r>
      <w:r>
        <w:rPr>
          <w:color w:val="222222"/>
          <w:shd w:val="clear" w:color="auto" w:fill="FFFFFF"/>
        </w:rPr>
        <w:t>initiatives aiming at the conceptual and practical implementation of tourism monitoring (</w:t>
      </w:r>
      <w:bookmarkStart w:id="10" w:name="_Hlk101253915"/>
      <w:r>
        <w:rPr>
          <w:color w:val="222222"/>
          <w:shd w:val="clear" w:color="auto" w:fill="FFFFFF"/>
        </w:rPr>
        <w:t>Ecuador, Spain and the United States, 2022; Germany, 2022</w:t>
      </w:r>
      <w:bookmarkEnd w:id="10"/>
      <w:r>
        <w:rPr>
          <w:color w:val="222222"/>
          <w:shd w:val="clear" w:color="auto" w:fill="FFFFFF"/>
        </w:rPr>
        <w:t>).</w:t>
      </w:r>
    </w:p>
    <w:p w14:paraId="3779C6F4" w14:textId="77777777" w:rsidR="005F081F" w:rsidRPr="009C7160" w:rsidRDefault="005F081F" w:rsidP="005F081F">
      <w:pPr>
        <w:spacing w:before="240" w:after="120"/>
        <w:outlineLvl w:val="0"/>
        <w:rPr>
          <w:rFonts w:ascii="Arial" w:hAnsi="Arial" w:cs="Arial"/>
          <w:b/>
          <w:i/>
          <w:sz w:val="24"/>
          <w:szCs w:val="28"/>
        </w:rPr>
      </w:pPr>
      <w:r>
        <w:rPr>
          <w:rFonts w:ascii="Arial" w:hAnsi="Arial" w:cs="Arial"/>
          <w:b/>
          <w:i/>
          <w:sz w:val="24"/>
          <w:szCs w:val="28"/>
        </w:rPr>
        <w:t>Key actions for the ATCM</w:t>
      </w:r>
    </w:p>
    <w:p w14:paraId="55D240F3" w14:textId="77777777" w:rsidR="005F081F" w:rsidRDefault="005F081F" w:rsidP="005F081F">
      <w:pPr>
        <w:pStyle w:val="ATSNormal"/>
      </w:pPr>
      <w:r>
        <w:rPr>
          <w:bCs/>
        </w:rPr>
        <w:t xml:space="preserve">In recent years ASOC has recommended several key actions for the ATCM (ASOC 2018, 2019, 2021), with an emphasis on pragmatic, tangible actions. Most of these recommendations are still valid today. </w:t>
      </w:r>
      <w:r>
        <w:t>Key actions for the ATCM include:</w:t>
      </w:r>
    </w:p>
    <w:p w14:paraId="7E12A0F6" w14:textId="77777777" w:rsidR="005F081F" w:rsidRPr="00337E4B" w:rsidRDefault="005F081F" w:rsidP="005F081F">
      <w:pPr>
        <w:pStyle w:val="ATSNormal"/>
        <w:numPr>
          <w:ilvl w:val="0"/>
          <w:numId w:val="22"/>
        </w:numPr>
        <w:spacing w:before="0" w:after="0"/>
        <w:rPr>
          <w:bCs/>
        </w:rPr>
      </w:pPr>
      <w:r>
        <w:rPr>
          <w:bCs/>
        </w:rPr>
        <w:t xml:space="preserve">Expanding area protection under Annex V; </w:t>
      </w:r>
    </w:p>
    <w:p w14:paraId="2BB5F2C8" w14:textId="77777777" w:rsidR="005F081F" w:rsidRDefault="005F081F" w:rsidP="005F081F">
      <w:pPr>
        <w:pStyle w:val="ATSNormal"/>
        <w:numPr>
          <w:ilvl w:val="0"/>
          <w:numId w:val="22"/>
        </w:numPr>
        <w:spacing w:before="0" w:after="0"/>
        <w:rPr>
          <w:bCs/>
        </w:rPr>
      </w:pPr>
      <w:r>
        <w:rPr>
          <w:bCs/>
        </w:rPr>
        <w:t xml:space="preserve">Developing dedicated programs for monitoring of tourism impacts; </w:t>
      </w:r>
    </w:p>
    <w:p w14:paraId="7E2FAE68" w14:textId="77777777" w:rsidR="005F081F" w:rsidRDefault="005F081F" w:rsidP="005F081F">
      <w:pPr>
        <w:pStyle w:val="ATSNormal"/>
        <w:numPr>
          <w:ilvl w:val="0"/>
          <w:numId w:val="22"/>
        </w:numPr>
        <w:spacing w:before="0" w:after="0"/>
        <w:rPr>
          <w:bCs/>
        </w:rPr>
      </w:pPr>
      <w:r>
        <w:rPr>
          <w:bCs/>
        </w:rPr>
        <w:t xml:space="preserve">Ensuring consistent assessment of tourism activities; </w:t>
      </w:r>
    </w:p>
    <w:p w14:paraId="0642BE20" w14:textId="77777777" w:rsidR="005F081F" w:rsidRDefault="005F081F" w:rsidP="005F081F">
      <w:pPr>
        <w:pStyle w:val="ATSNormal"/>
        <w:numPr>
          <w:ilvl w:val="0"/>
          <w:numId w:val="22"/>
        </w:numPr>
        <w:spacing w:before="0" w:after="0"/>
        <w:rPr>
          <w:bCs/>
        </w:rPr>
      </w:pPr>
      <w:r>
        <w:rPr>
          <w:bCs/>
        </w:rPr>
        <w:t>Evaluating the effectiveness of existing tourism regulation; and</w:t>
      </w:r>
    </w:p>
    <w:p w14:paraId="49848C4B" w14:textId="77777777" w:rsidR="005F081F" w:rsidRDefault="005F081F" w:rsidP="005F081F">
      <w:pPr>
        <w:pStyle w:val="ATSNormal"/>
        <w:numPr>
          <w:ilvl w:val="0"/>
          <w:numId w:val="22"/>
        </w:numPr>
        <w:spacing w:before="0"/>
        <w:rPr>
          <w:bCs/>
        </w:rPr>
      </w:pPr>
      <w:r>
        <w:rPr>
          <w:bCs/>
        </w:rPr>
        <w:t>Encouraging low impact modalities of tourism.</w:t>
      </w:r>
    </w:p>
    <w:p w14:paraId="7D06FBB3" w14:textId="77777777" w:rsidR="005F081F" w:rsidRDefault="005F081F" w:rsidP="005F081F">
      <w:pPr>
        <w:pStyle w:val="ATSNormal"/>
        <w:rPr>
          <w:bCs/>
        </w:rPr>
      </w:pPr>
      <w:r>
        <w:rPr>
          <w:bCs/>
        </w:rPr>
        <w:lastRenderedPageBreak/>
        <w:t xml:space="preserve">Some recent and ongoing initiatives or proposals currently under discussion are broadly compatible with several of these proposed actions. ASOC looks forward to seeing how these and other policies unfold in the near future as post-pandemic Antarctic tourism resumes. </w:t>
      </w:r>
    </w:p>
    <w:p w14:paraId="0FF2F5CB" w14:textId="77777777" w:rsidR="005F081F" w:rsidRDefault="005F081F" w:rsidP="005F081F">
      <w:pPr>
        <w:pStyle w:val="ATSHeading2"/>
        <w:rPr>
          <w:lang w:val="en-US"/>
        </w:rPr>
      </w:pPr>
      <w:r>
        <w:rPr>
          <w:lang w:val="en-US"/>
        </w:rPr>
        <w:t>References</w:t>
      </w:r>
    </w:p>
    <w:p w14:paraId="76CC38A5" w14:textId="77777777" w:rsidR="005F081F" w:rsidRPr="00C91A12" w:rsidRDefault="005F081F" w:rsidP="005F081F">
      <w:pPr>
        <w:pStyle w:val="ATSNormal"/>
        <w:spacing w:after="60"/>
        <w:ind w:left="720" w:hanging="720"/>
        <w:rPr>
          <w:sz w:val="21"/>
          <w:szCs w:val="21"/>
        </w:rPr>
      </w:pPr>
      <w:r w:rsidRPr="00C91A12">
        <w:rPr>
          <w:sz w:val="21"/>
          <w:szCs w:val="21"/>
        </w:rPr>
        <w:t xml:space="preserve">Antarctic and Southern Ocean Coalition (ASOC). 2018. </w:t>
      </w:r>
      <w:r w:rsidRPr="00C91A12">
        <w:rPr>
          <w:i/>
          <w:iCs/>
          <w:sz w:val="21"/>
          <w:szCs w:val="21"/>
        </w:rPr>
        <w:t xml:space="preserve">Anticipated growth of Antarctic tourism. </w:t>
      </w:r>
      <w:r w:rsidRPr="00C91A12">
        <w:rPr>
          <w:sz w:val="21"/>
          <w:szCs w:val="21"/>
        </w:rPr>
        <w:t>ATCM XLI - CEP XXI (2018). IP061.</w:t>
      </w:r>
    </w:p>
    <w:p w14:paraId="13A61239" w14:textId="77777777" w:rsidR="005F081F" w:rsidRPr="00C91A12" w:rsidRDefault="005F081F" w:rsidP="005F081F">
      <w:pPr>
        <w:pStyle w:val="ATSNormal"/>
        <w:spacing w:before="60" w:after="60"/>
        <w:ind w:left="720" w:hanging="720"/>
        <w:rPr>
          <w:sz w:val="21"/>
          <w:szCs w:val="21"/>
        </w:rPr>
      </w:pPr>
      <w:r w:rsidRPr="00C91A12">
        <w:rPr>
          <w:sz w:val="21"/>
          <w:szCs w:val="21"/>
        </w:rPr>
        <w:t xml:space="preserve">Antarctic and Southern Ocean Coalition (ASOC). 2019. </w:t>
      </w:r>
      <w:r w:rsidRPr="00C91A12">
        <w:rPr>
          <w:i/>
          <w:iCs/>
          <w:sz w:val="21"/>
          <w:szCs w:val="21"/>
        </w:rPr>
        <w:t>Antarctic tourism: Using lessons learned to inform effective, proactive management</w:t>
      </w:r>
      <w:r w:rsidRPr="00C91A12">
        <w:rPr>
          <w:sz w:val="21"/>
          <w:szCs w:val="21"/>
        </w:rPr>
        <w:t>. ATCM XLII – CEP XXII. IP128.</w:t>
      </w:r>
    </w:p>
    <w:p w14:paraId="6515C6FB" w14:textId="77777777" w:rsidR="005F081F" w:rsidRPr="00C91A12" w:rsidRDefault="005F081F" w:rsidP="005F081F">
      <w:pPr>
        <w:pStyle w:val="ATSNormal"/>
        <w:spacing w:before="60" w:after="60"/>
        <w:ind w:left="720" w:hanging="720"/>
        <w:rPr>
          <w:sz w:val="21"/>
          <w:szCs w:val="21"/>
        </w:rPr>
      </w:pPr>
      <w:r w:rsidRPr="00C91A12">
        <w:rPr>
          <w:sz w:val="21"/>
          <w:szCs w:val="21"/>
        </w:rPr>
        <w:t xml:space="preserve">Antarctic and Southern Ocean Coalition (ASOC). 2021. </w:t>
      </w:r>
      <w:r w:rsidRPr="00C91A12">
        <w:rPr>
          <w:i/>
          <w:iCs/>
          <w:sz w:val="21"/>
          <w:szCs w:val="21"/>
        </w:rPr>
        <w:t>The Madrid Protocol at Thirty: Where Do We Go From Here?</w:t>
      </w:r>
      <w:r w:rsidRPr="00C91A12">
        <w:rPr>
          <w:sz w:val="21"/>
          <w:szCs w:val="21"/>
        </w:rPr>
        <w:t xml:space="preserve"> ATCM XLIII - CEP XXIII (2018). IP081.</w:t>
      </w:r>
    </w:p>
    <w:p w14:paraId="0F7F86D2" w14:textId="77777777" w:rsidR="005F081F" w:rsidRPr="00755DFE" w:rsidRDefault="005F081F" w:rsidP="005F081F">
      <w:pPr>
        <w:pStyle w:val="ATSNormal"/>
        <w:spacing w:before="60" w:after="60"/>
        <w:ind w:left="720" w:hanging="720"/>
        <w:rPr>
          <w:sz w:val="21"/>
          <w:szCs w:val="21"/>
        </w:rPr>
      </w:pPr>
      <w:r w:rsidRPr="00C91A12">
        <w:rPr>
          <w:sz w:val="21"/>
          <w:szCs w:val="21"/>
        </w:rPr>
        <w:t>Cormack</w:t>
      </w:r>
      <w:r>
        <w:rPr>
          <w:sz w:val="21"/>
          <w:szCs w:val="21"/>
        </w:rPr>
        <w:t>,</w:t>
      </w:r>
      <w:r w:rsidRPr="00C91A12">
        <w:rPr>
          <w:sz w:val="21"/>
          <w:szCs w:val="21"/>
        </w:rPr>
        <w:t xml:space="preserve"> R</w:t>
      </w:r>
      <w:r>
        <w:rPr>
          <w:sz w:val="21"/>
          <w:szCs w:val="21"/>
        </w:rPr>
        <w:t>.</w:t>
      </w:r>
      <w:r w:rsidRPr="00C91A12">
        <w:rPr>
          <w:sz w:val="21"/>
          <w:szCs w:val="21"/>
        </w:rPr>
        <w:t xml:space="preserve"> 24 November 2021. Watch: An Airbus A340 Just Landed in Antarctica for the First Time. </w:t>
      </w:r>
      <w:r w:rsidRPr="00C91A12">
        <w:rPr>
          <w:i/>
          <w:iCs/>
          <w:sz w:val="21"/>
          <w:szCs w:val="21"/>
        </w:rPr>
        <w:t>Robb Report</w:t>
      </w:r>
      <w:r w:rsidRPr="00C91A12">
        <w:rPr>
          <w:sz w:val="21"/>
          <w:szCs w:val="21"/>
        </w:rPr>
        <w:t xml:space="preserve">. Retrieved 15 April 2021.  </w:t>
      </w:r>
      <w:hyperlink r:id="rId14" w:history="1">
        <w:r w:rsidRPr="00C91A12">
          <w:rPr>
            <w:rStyle w:val="Hipervnculo"/>
            <w:sz w:val="21"/>
            <w:szCs w:val="21"/>
          </w:rPr>
          <w:t>https://robbreport.com/motors/aviation/airbus-a340-aircraft-lands-antarctica-first-time-1234649900/</w:t>
        </w:r>
      </w:hyperlink>
    </w:p>
    <w:p w14:paraId="2A63CE87" w14:textId="77777777" w:rsidR="005F081F" w:rsidRPr="00C91A12" w:rsidRDefault="005F081F" w:rsidP="005F081F">
      <w:pPr>
        <w:pStyle w:val="ATSNormal"/>
        <w:spacing w:before="60" w:after="60"/>
        <w:ind w:left="720" w:hanging="720"/>
        <w:rPr>
          <w:sz w:val="21"/>
          <w:szCs w:val="21"/>
        </w:rPr>
      </w:pPr>
      <w:r w:rsidRPr="00C91A12">
        <w:rPr>
          <w:sz w:val="21"/>
          <w:szCs w:val="21"/>
        </w:rPr>
        <w:t xml:space="preserve">Ecuador, Spain and USA. 2022. </w:t>
      </w:r>
      <w:r w:rsidRPr="00C91A12">
        <w:rPr>
          <w:i/>
          <w:iCs/>
          <w:sz w:val="21"/>
          <w:szCs w:val="21"/>
        </w:rPr>
        <w:t>Towards adaptive and sustainable management of Antarctic tourism: Monitoring as a key tool for decision-making</w:t>
      </w:r>
      <w:r w:rsidRPr="00C91A12">
        <w:rPr>
          <w:sz w:val="21"/>
          <w:szCs w:val="21"/>
        </w:rPr>
        <w:t>. ATCM XLIV - CEP XXIV (2022). WP033.</w:t>
      </w:r>
    </w:p>
    <w:p w14:paraId="51F6D946" w14:textId="77777777" w:rsidR="005F081F" w:rsidRPr="00C91A12" w:rsidRDefault="005F081F" w:rsidP="005F081F">
      <w:pPr>
        <w:pStyle w:val="ATSNormal"/>
        <w:spacing w:before="60" w:after="60"/>
        <w:ind w:left="720" w:hanging="720"/>
        <w:rPr>
          <w:sz w:val="21"/>
          <w:szCs w:val="21"/>
        </w:rPr>
      </w:pPr>
      <w:r w:rsidRPr="00C91A12">
        <w:rPr>
          <w:sz w:val="21"/>
          <w:szCs w:val="21"/>
        </w:rPr>
        <w:t>Germany</w:t>
      </w:r>
      <w:r>
        <w:rPr>
          <w:sz w:val="21"/>
          <w:szCs w:val="21"/>
        </w:rPr>
        <w:t xml:space="preserve">, </w:t>
      </w:r>
      <w:r w:rsidRPr="00C91A12">
        <w:rPr>
          <w:sz w:val="21"/>
          <w:szCs w:val="21"/>
        </w:rPr>
        <w:t xml:space="preserve">2022. </w:t>
      </w:r>
      <w:r w:rsidRPr="00C91A12">
        <w:rPr>
          <w:i/>
          <w:iCs/>
          <w:sz w:val="21"/>
          <w:szCs w:val="21"/>
        </w:rPr>
        <w:t>Tourism monitoring in Antarctica - Development of a concept for the analysis of the impacts of tourism on the assets to be protected in the Antarctic</w:t>
      </w:r>
      <w:r w:rsidRPr="00C91A12">
        <w:rPr>
          <w:sz w:val="21"/>
          <w:szCs w:val="21"/>
        </w:rPr>
        <w:t>. ATCM XLIV - CEP XXIV (2022). IP008.</w:t>
      </w:r>
    </w:p>
    <w:p w14:paraId="05FA302B" w14:textId="77777777" w:rsidR="005F081F" w:rsidRPr="00C91A12" w:rsidRDefault="005F081F" w:rsidP="005F081F">
      <w:pPr>
        <w:pStyle w:val="ATSNormal"/>
        <w:spacing w:before="60" w:after="60"/>
        <w:ind w:left="720" w:hanging="720"/>
        <w:rPr>
          <w:sz w:val="21"/>
          <w:szCs w:val="21"/>
        </w:rPr>
      </w:pPr>
      <w:r w:rsidRPr="00C91A12">
        <w:rPr>
          <w:sz w:val="21"/>
          <w:szCs w:val="21"/>
        </w:rPr>
        <w:t>Gross</w:t>
      </w:r>
      <w:r>
        <w:rPr>
          <w:sz w:val="21"/>
          <w:szCs w:val="21"/>
        </w:rPr>
        <w:t>,</w:t>
      </w:r>
      <w:r w:rsidRPr="00C91A12">
        <w:rPr>
          <w:sz w:val="21"/>
          <w:szCs w:val="21"/>
        </w:rPr>
        <w:t xml:space="preserve"> M</w:t>
      </w:r>
      <w:r>
        <w:rPr>
          <w:sz w:val="21"/>
          <w:szCs w:val="21"/>
        </w:rPr>
        <w:t>.</w:t>
      </w:r>
      <w:r w:rsidRPr="00C91A12">
        <w:rPr>
          <w:sz w:val="21"/>
          <w:szCs w:val="21"/>
        </w:rPr>
        <w:t xml:space="preserve"> 14 December 2021. This Exclusive Cruise Will Take You to Antarctica with the McEnroe</w:t>
      </w:r>
      <w:r>
        <w:rPr>
          <w:sz w:val="21"/>
          <w:szCs w:val="21"/>
        </w:rPr>
        <w:t>s</w:t>
      </w:r>
      <w:r w:rsidRPr="00C91A12">
        <w:rPr>
          <w:sz w:val="21"/>
          <w:szCs w:val="21"/>
        </w:rPr>
        <w:t xml:space="preserve"> for the Continent’s First Tennis Match. </w:t>
      </w:r>
      <w:r w:rsidRPr="00C91A12">
        <w:rPr>
          <w:i/>
          <w:iCs/>
          <w:sz w:val="21"/>
          <w:szCs w:val="21"/>
        </w:rPr>
        <w:t>Robb Report.</w:t>
      </w:r>
      <w:r w:rsidRPr="00C91A12">
        <w:rPr>
          <w:sz w:val="21"/>
          <w:szCs w:val="21"/>
        </w:rPr>
        <w:t xml:space="preserve"> Retrieved 15 April 2021.  </w:t>
      </w:r>
      <w:hyperlink r:id="rId15" w:history="1">
        <w:r w:rsidRPr="00C91A12">
          <w:rPr>
            <w:rStyle w:val="Hipervnculo"/>
            <w:sz w:val="21"/>
            <w:szCs w:val="21"/>
          </w:rPr>
          <w:t>https://robbreport.com/travel/destinations/antarctica-cruise-tennis-match-mcenroe-1234651788/</w:t>
        </w:r>
      </w:hyperlink>
    </w:p>
    <w:p w14:paraId="6A169E03" w14:textId="77777777" w:rsidR="005F081F" w:rsidRPr="00C91A12" w:rsidRDefault="005F081F" w:rsidP="005F081F">
      <w:pPr>
        <w:pStyle w:val="ATSNormal"/>
        <w:spacing w:before="60" w:after="60"/>
        <w:ind w:left="720" w:hanging="720"/>
        <w:rPr>
          <w:sz w:val="21"/>
          <w:szCs w:val="21"/>
        </w:rPr>
      </w:pPr>
      <w:r w:rsidRPr="00C91A12">
        <w:rPr>
          <w:sz w:val="21"/>
          <w:szCs w:val="21"/>
        </w:rPr>
        <w:t xml:space="preserve">International Association of Antarctica Tour Operators (IAATO). 2021. </w:t>
      </w:r>
      <w:r w:rsidRPr="00C91A12">
        <w:rPr>
          <w:i/>
          <w:iCs/>
          <w:sz w:val="21"/>
          <w:szCs w:val="21"/>
        </w:rPr>
        <w:t>IAATO Overview of Antarctic Tourism: A Historical Review of Growth, the 2020-21 Season, and Preliminary Estimates for 2021-22</w:t>
      </w:r>
      <w:r w:rsidRPr="003D4CE9">
        <w:rPr>
          <w:sz w:val="21"/>
          <w:szCs w:val="21"/>
        </w:rPr>
        <w:t>.</w:t>
      </w:r>
      <w:r w:rsidRPr="00C91A12">
        <w:rPr>
          <w:sz w:val="21"/>
          <w:szCs w:val="21"/>
        </w:rPr>
        <w:t xml:space="preserve"> ATCM XLIII - CEP XXIII (2018). IP110</w:t>
      </w:r>
      <w:r>
        <w:rPr>
          <w:sz w:val="21"/>
          <w:szCs w:val="21"/>
        </w:rPr>
        <w:t>.</w:t>
      </w:r>
    </w:p>
    <w:p w14:paraId="00B8C25E" w14:textId="77777777" w:rsidR="005F081F" w:rsidRPr="00C91A12" w:rsidRDefault="005F081F" w:rsidP="005F081F">
      <w:pPr>
        <w:pStyle w:val="ATSNormal"/>
        <w:spacing w:before="60" w:after="60"/>
        <w:ind w:left="720" w:hanging="720"/>
        <w:rPr>
          <w:sz w:val="21"/>
          <w:szCs w:val="21"/>
        </w:rPr>
      </w:pPr>
      <w:r w:rsidRPr="00C91A12">
        <w:rPr>
          <w:sz w:val="21"/>
          <w:szCs w:val="21"/>
        </w:rPr>
        <w:t>Johannessen</w:t>
      </w:r>
      <w:r>
        <w:rPr>
          <w:sz w:val="21"/>
          <w:szCs w:val="21"/>
        </w:rPr>
        <w:t>,</w:t>
      </w:r>
      <w:r w:rsidRPr="00C91A12">
        <w:rPr>
          <w:sz w:val="21"/>
          <w:szCs w:val="21"/>
        </w:rPr>
        <w:t xml:space="preserve"> J</w:t>
      </w:r>
      <w:r>
        <w:rPr>
          <w:sz w:val="21"/>
          <w:szCs w:val="21"/>
        </w:rPr>
        <w:t>.</w:t>
      </w:r>
      <w:r w:rsidRPr="00C91A12">
        <w:rPr>
          <w:sz w:val="21"/>
          <w:szCs w:val="21"/>
        </w:rPr>
        <w:t>E</w:t>
      </w:r>
      <w:r>
        <w:rPr>
          <w:sz w:val="21"/>
          <w:szCs w:val="21"/>
        </w:rPr>
        <w:t>.</w:t>
      </w:r>
      <w:r w:rsidRPr="00C91A12">
        <w:rPr>
          <w:sz w:val="21"/>
          <w:szCs w:val="21"/>
        </w:rPr>
        <w:t>D</w:t>
      </w:r>
      <w:r>
        <w:rPr>
          <w:sz w:val="21"/>
          <w:szCs w:val="21"/>
        </w:rPr>
        <w:t>.</w:t>
      </w:r>
      <w:r w:rsidRPr="00C91A12">
        <w:rPr>
          <w:sz w:val="21"/>
          <w:szCs w:val="21"/>
        </w:rPr>
        <w:t>, Biuw</w:t>
      </w:r>
      <w:r>
        <w:rPr>
          <w:sz w:val="21"/>
          <w:szCs w:val="21"/>
        </w:rPr>
        <w:t>,</w:t>
      </w:r>
      <w:r w:rsidRPr="00C91A12">
        <w:rPr>
          <w:sz w:val="21"/>
          <w:szCs w:val="21"/>
        </w:rPr>
        <w:t xml:space="preserve"> B</w:t>
      </w:r>
      <w:r>
        <w:rPr>
          <w:sz w:val="21"/>
          <w:szCs w:val="21"/>
        </w:rPr>
        <w:t>.</w:t>
      </w:r>
      <w:r w:rsidRPr="00C91A12">
        <w:rPr>
          <w:sz w:val="21"/>
          <w:szCs w:val="21"/>
        </w:rPr>
        <w:t>, Lindstrøm</w:t>
      </w:r>
      <w:r>
        <w:rPr>
          <w:sz w:val="21"/>
          <w:szCs w:val="21"/>
        </w:rPr>
        <w:t>,</w:t>
      </w:r>
      <w:r w:rsidRPr="00C91A12">
        <w:rPr>
          <w:sz w:val="21"/>
          <w:szCs w:val="21"/>
        </w:rPr>
        <w:t xml:space="preserve"> U</w:t>
      </w:r>
      <w:r>
        <w:rPr>
          <w:sz w:val="21"/>
          <w:szCs w:val="21"/>
        </w:rPr>
        <w:t>.</w:t>
      </w:r>
      <w:r w:rsidRPr="00C91A12">
        <w:rPr>
          <w:sz w:val="21"/>
          <w:szCs w:val="21"/>
        </w:rPr>
        <w:t>, Ollus</w:t>
      </w:r>
      <w:r>
        <w:rPr>
          <w:sz w:val="21"/>
          <w:szCs w:val="21"/>
        </w:rPr>
        <w:t>,</w:t>
      </w:r>
      <w:r w:rsidRPr="00C91A12">
        <w:rPr>
          <w:sz w:val="21"/>
          <w:szCs w:val="21"/>
        </w:rPr>
        <w:t xml:space="preserve"> V</w:t>
      </w:r>
      <w:r>
        <w:rPr>
          <w:sz w:val="21"/>
          <w:szCs w:val="21"/>
        </w:rPr>
        <w:t>.</w:t>
      </w:r>
      <w:r w:rsidRPr="00C91A12">
        <w:rPr>
          <w:sz w:val="21"/>
          <w:szCs w:val="21"/>
        </w:rPr>
        <w:t>M</w:t>
      </w:r>
      <w:r>
        <w:rPr>
          <w:sz w:val="21"/>
          <w:szCs w:val="21"/>
        </w:rPr>
        <w:t>.</w:t>
      </w:r>
      <w:r w:rsidRPr="00C91A12">
        <w:rPr>
          <w:sz w:val="21"/>
          <w:szCs w:val="21"/>
        </w:rPr>
        <w:t>S</w:t>
      </w:r>
      <w:r>
        <w:rPr>
          <w:sz w:val="21"/>
          <w:szCs w:val="21"/>
        </w:rPr>
        <w:t>.</w:t>
      </w:r>
      <w:r w:rsidRPr="00C91A12">
        <w:rPr>
          <w:sz w:val="21"/>
          <w:szCs w:val="21"/>
        </w:rPr>
        <w:t>, Martín López</w:t>
      </w:r>
      <w:r>
        <w:rPr>
          <w:sz w:val="21"/>
          <w:szCs w:val="21"/>
        </w:rPr>
        <w:t>,</w:t>
      </w:r>
      <w:r w:rsidRPr="00C91A12">
        <w:rPr>
          <w:sz w:val="21"/>
          <w:szCs w:val="21"/>
        </w:rPr>
        <w:t xml:space="preserve"> L</w:t>
      </w:r>
      <w:r>
        <w:rPr>
          <w:sz w:val="21"/>
          <w:szCs w:val="21"/>
        </w:rPr>
        <w:t>.</w:t>
      </w:r>
      <w:r w:rsidRPr="00C91A12">
        <w:rPr>
          <w:sz w:val="21"/>
          <w:szCs w:val="21"/>
        </w:rPr>
        <w:t>M</w:t>
      </w:r>
      <w:r>
        <w:rPr>
          <w:sz w:val="21"/>
          <w:szCs w:val="21"/>
        </w:rPr>
        <w:t>.</w:t>
      </w:r>
      <w:r w:rsidRPr="00C91A12">
        <w:rPr>
          <w:sz w:val="21"/>
          <w:szCs w:val="21"/>
        </w:rPr>
        <w:t>, Gkikopoulou</w:t>
      </w:r>
      <w:r>
        <w:rPr>
          <w:sz w:val="21"/>
          <w:szCs w:val="21"/>
        </w:rPr>
        <w:t>,</w:t>
      </w:r>
      <w:r w:rsidRPr="00C91A12">
        <w:rPr>
          <w:sz w:val="21"/>
          <w:szCs w:val="21"/>
        </w:rPr>
        <w:t xml:space="preserve"> K</w:t>
      </w:r>
      <w:r>
        <w:rPr>
          <w:sz w:val="21"/>
          <w:szCs w:val="21"/>
        </w:rPr>
        <w:t>.</w:t>
      </w:r>
      <w:r w:rsidRPr="00C91A12">
        <w:rPr>
          <w:sz w:val="21"/>
          <w:szCs w:val="21"/>
        </w:rPr>
        <w:t>C</w:t>
      </w:r>
      <w:r>
        <w:rPr>
          <w:sz w:val="21"/>
          <w:szCs w:val="21"/>
        </w:rPr>
        <w:t>.</w:t>
      </w:r>
      <w:r w:rsidRPr="00C91A12">
        <w:rPr>
          <w:sz w:val="21"/>
          <w:szCs w:val="21"/>
        </w:rPr>
        <w:t>, Oosthuizen</w:t>
      </w:r>
      <w:r>
        <w:rPr>
          <w:sz w:val="21"/>
          <w:szCs w:val="21"/>
        </w:rPr>
        <w:t>,</w:t>
      </w:r>
      <w:r w:rsidRPr="00C91A12">
        <w:rPr>
          <w:sz w:val="21"/>
          <w:szCs w:val="21"/>
        </w:rPr>
        <w:t xml:space="preserve"> W</w:t>
      </w:r>
      <w:r>
        <w:rPr>
          <w:sz w:val="21"/>
          <w:szCs w:val="21"/>
        </w:rPr>
        <w:t>.</w:t>
      </w:r>
      <w:r w:rsidRPr="00C91A12">
        <w:rPr>
          <w:sz w:val="21"/>
          <w:szCs w:val="21"/>
        </w:rPr>
        <w:t>C</w:t>
      </w:r>
      <w:r>
        <w:rPr>
          <w:sz w:val="21"/>
          <w:szCs w:val="21"/>
        </w:rPr>
        <w:t>.</w:t>
      </w:r>
      <w:r w:rsidRPr="00C91A12">
        <w:rPr>
          <w:sz w:val="21"/>
          <w:szCs w:val="21"/>
        </w:rPr>
        <w:t xml:space="preserve">, </w:t>
      </w:r>
      <w:r>
        <w:rPr>
          <w:sz w:val="21"/>
          <w:szCs w:val="21"/>
        </w:rPr>
        <w:t xml:space="preserve">and </w:t>
      </w:r>
      <w:r w:rsidRPr="00C91A12">
        <w:rPr>
          <w:sz w:val="21"/>
          <w:szCs w:val="21"/>
        </w:rPr>
        <w:t>Lowther</w:t>
      </w:r>
      <w:r>
        <w:rPr>
          <w:sz w:val="21"/>
          <w:szCs w:val="21"/>
        </w:rPr>
        <w:t>,</w:t>
      </w:r>
      <w:r w:rsidRPr="00C91A12">
        <w:rPr>
          <w:sz w:val="21"/>
          <w:szCs w:val="21"/>
        </w:rPr>
        <w:t xml:space="preserve"> A. 2022. Intra-season variations in distribution and abundance of humpback whales in the West Antarctic Peninsula using cruise vessels as opportunistic platforms. </w:t>
      </w:r>
      <w:r w:rsidRPr="00C91A12">
        <w:rPr>
          <w:i/>
          <w:iCs/>
          <w:sz w:val="21"/>
          <w:szCs w:val="21"/>
        </w:rPr>
        <w:t>Ecology and Evolution</w:t>
      </w:r>
      <w:r w:rsidRPr="00C91A12">
        <w:rPr>
          <w:sz w:val="21"/>
          <w:szCs w:val="21"/>
        </w:rPr>
        <w:t>. 2022;12:e8571. https://doi.org/10.1002/ece3.8571</w:t>
      </w:r>
    </w:p>
    <w:p w14:paraId="4B054B7E" w14:textId="77777777" w:rsidR="005F081F" w:rsidRPr="00C91A12" w:rsidRDefault="005F081F" w:rsidP="005F081F">
      <w:pPr>
        <w:pStyle w:val="ATSNormal"/>
        <w:spacing w:before="60" w:after="60"/>
        <w:ind w:left="720" w:hanging="720"/>
        <w:rPr>
          <w:sz w:val="21"/>
          <w:szCs w:val="21"/>
        </w:rPr>
      </w:pPr>
      <w:r>
        <w:rPr>
          <w:sz w:val="21"/>
          <w:szCs w:val="21"/>
        </w:rPr>
        <w:t>Netherlands</w:t>
      </w:r>
      <w:r w:rsidRPr="00C91A12">
        <w:rPr>
          <w:sz w:val="21"/>
          <w:szCs w:val="21"/>
        </w:rPr>
        <w:t xml:space="preserve">. 2022. </w:t>
      </w:r>
      <w:r w:rsidRPr="00363F5A">
        <w:rPr>
          <w:i/>
          <w:iCs/>
          <w:sz w:val="21"/>
          <w:szCs w:val="21"/>
        </w:rPr>
        <w:t>Report of the Intersessional Contact Group on Permanent Facilities for Tourism and other Non-Governmental Activities in Antarctica</w:t>
      </w:r>
      <w:r w:rsidRPr="00C91A12">
        <w:rPr>
          <w:sz w:val="21"/>
          <w:szCs w:val="21"/>
        </w:rPr>
        <w:t>. ATCM XLIV - CEP XXIV (2022). WP03</w:t>
      </w:r>
      <w:r>
        <w:rPr>
          <w:sz w:val="21"/>
          <w:szCs w:val="21"/>
        </w:rPr>
        <w:t>6</w:t>
      </w:r>
      <w:r w:rsidRPr="00C91A12">
        <w:rPr>
          <w:sz w:val="21"/>
          <w:szCs w:val="21"/>
        </w:rPr>
        <w:t>.</w:t>
      </w:r>
    </w:p>
    <w:p w14:paraId="252DF539" w14:textId="77777777" w:rsidR="005F081F" w:rsidRPr="00C91A12" w:rsidRDefault="005F081F" w:rsidP="005F081F">
      <w:pPr>
        <w:pStyle w:val="ATSNormal"/>
        <w:spacing w:before="60" w:after="60"/>
        <w:ind w:left="720" w:hanging="720"/>
        <w:rPr>
          <w:rStyle w:val="Hipervnculo"/>
          <w:sz w:val="21"/>
          <w:szCs w:val="21"/>
        </w:rPr>
      </w:pPr>
      <w:r w:rsidRPr="00755DFE">
        <w:rPr>
          <w:sz w:val="21"/>
          <w:szCs w:val="21"/>
        </w:rPr>
        <w:t>Nilsen</w:t>
      </w:r>
      <w:r>
        <w:rPr>
          <w:sz w:val="21"/>
          <w:szCs w:val="21"/>
        </w:rPr>
        <w:t>,</w:t>
      </w:r>
      <w:r w:rsidRPr="00C91A12">
        <w:rPr>
          <w:sz w:val="21"/>
          <w:szCs w:val="21"/>
        </w:rPr>
        <w:t xml:space="preserve"> T</w:t>
      </w:r>
      <w:r>
        <w:rPr>
          <w:sz w:val="21"/>
          <w:szCs w:val="21"/>
        </w:rPr>
        <w:t>.,</w:t>
      </w:r>
      <w:r w:rsidRPr="00755DFE">
        <w:rPr>
          <w:sz w:val="21"/>
          <w:szCs w:val="21"/>
        </w:rPr>
        <w:t xml:space="preserve"> </w:t>
      </w:r>
      <w:r w:rsidRPr="00C91A12">
        <w:rPr>
          <w:sz w:val="21"/>
          <w:szCs w:val="21"/>
        </w:rPr>
        <w:t xml:space="preserve">9 September 2021. </w:t>
      </w:r>
      <w:r w:rsidRPr="00C91A12">
        <w:rPr>
          <w:i/>
          <w:iCs/>
          <w:sz w:val="21"/>
          <w:szCs w:val="21"/>
        </w:rPr>
        <w:t>A hybrid-electric luxury cruise ship has reached the North Pole for the first time.</w:t>
      </w:r>
      <w:r w:rsidRPr="00C91A12">
        <w:rPr>
          <w:sz w:val="21"/>
          <w:szCs w:val="21"/>
        </w:rPr>
        <w:t xml:space="preserve"> Retrieved 15 April 2021.  </w:t>
      </w:r>
      <w:r w:rsidRPr="00C91A12">
        <w:rPr>
          <w:sz w:val="21"/>
          <w:szCs w:val="21"/>
        </w:rPr>
        <w:fldChar w:fldCharType="begin"/>
      </w:r>
      <w:r w:rsidRPr="00C91A12">
        <w:rPr>
          <w:sz w:val="21"/>
          <w:szCs w:val="21"/>
        </w:rPr>
        <w:instrText xml:space="preserve"> HYPERLINK "https://www.arctictoday.com/a-hybrid-electric-luxury-cruise-ship-has-reached-the-north-pole-for-the-first-time/" </w:instrText>
      </w:r>
      <w:r w:rsidRPr="00C91A12">
        <w:rPr>
          <w:sz w:val="21"/>
          <w:szCs w:val="21"/>
        </w:rPr>
        <w:fldChar w:fldCharType="separate"/>
      </w:r>
      <w:r w:rsidRPr="00C91A12">
        <w:rPr>
          <w:rStyle w:val="Hipervnculo"/>
          <w:sz w:val="21"/>
          <w:szCs w:val="21"/>
        </w:rPr>
        <w:t>https://www.arctictoday.com/a-hybrid-electric-luxury-cruise-ship-has-reached-the-north-pole-for-the-first-time/</w:t>
      </w:r>
    </w:p>
    <w:p w14:paraId="6F253F7B" w14:textId="77777777" w:rsidR="005F081F" w:rsidRPr="00C91A12" w:rsidRDefault="005F081F" w:rsidP="005F081F">
      <w:pPr>
        <w:pStyle w:val="ATSNormal"/>
        <w:spacing w:before="60" w:after="60"/>
        <w:ind w:left="720" w:hanging="720"/>
        <w:rPr>
          <w:sz w:val="21"/>
          <w:szCs w:val="21"/>
        </w:rPr>
      </w:pPr>
      <w:r w:rsidRPr="00C91A12">
        <w:rPr>
          <w:sz w:val="21"/>
          <w:szCs w:val="21"/>
        </w:rPr>
        <w:fldChar w:fldCharType="end"/>
      </w:r>
      <w:r w:rsidRPr="00C91A12">
        <w:rPr>
          <w:sz w:val="21"/>
          <w:szCs w:val="21"/>
        </w:rPr>
        <w:t>Roura, R</w:t>
      </w:r>
      <w:r>
        <w:rPr>
          <w:sz w:val="21"/>
          <w:szCs w:val="21"/>
        </w:rPr>
        <w:t>.</w:t>
      </w:r>
      <w:r w:rsidRPr="00C91A12">
        <w:rPr>
          <w:sz w:val="21"/>
          <w:szCs w:val="21"/>
        </w:rPr>
        <w:t xml:space="preserve"> 2021</w:t>
      </w:r>
      <w:r>
        <w:rPr>
          <w:sz w:val="21"/>
          <w:szCs w:val="21"/>
        </w:rPr>
        <w:t>.</w:t>
      </w:r>
      <w:r w:rsidRPr="00C91A12">
        <w:rPr>
          <w:sz w:val="21"/>
          <w:szCs w:val="21"/>
        </w:rPr>
        <w:t xml:space="preserve"> Antarctic time travel: The environment Protocol. </w:t>
      </w:r>
      <w:r w:rsidRPr="00C91A12">
        <w:rPr>
          <w:i/>
          <w:iCs/>
          <w:sz w:val="21"/>
          <w:szCs w:val="21"/>
        </w:rPr>
        <w:t>Antarctic Affairs</w:t>
      </w:r>
      <w:r w:rsidRPr="00C91A12">
        <w:rPr>
          <w:sz w:val="21"/>
          <w:szCs w:val="21"/>
        </w:rPr>
        <w:t>, Bilingual publication. Volume VIII 2021 / Year VII, pp 5-22.</w:t>
      </w:r>
    </w:p>
    <w:p w14:paraId="03013F3C" w14:textId="77777777" w:rsidR="005F081F" w:rsidRPr="00C91A12" w:rsidRDefault="005F081F" w:rsidP="005F081F">
      <w:pPr>
        <w:pStyle w:val="ATSNormal"/>
        <w:spacing w:before="60" w:after="60"/>
        <w:ind w:left="720" w:hanging="720"/>
        <w:rPr>
          <w:bCs/>
          <w:sz w:val="21"/>
          <w:szCs w:val="21"/>
        </w:rPr>
      </w:pPr>
      <w:r w:rsidRPr="00C91A12">
        <w:rPr>
          <w:sz w:val="21"/>
          <w:szCs w:val="21"/>
        </w:rPr>
        <w:t>World Tourism Organisation (UNWTO)</w:t>
      </w:r>
      <w:r>
        <w:rPr>
          <w:sz w:val="21"/>
          <w:szCs w:val="21"/>
        </w:rPr>
        <w:t xml:space="preserve"> 2021a</w:t>
      </w:r>
      <w:r w:rsidRPr="00C91A12">
        <w:rPr>
          <w:sz w:val="21"/>
          <w:szCs w:val="21"/>
        </w:rPr>
        <w:t xml:space="preserve">. 28 January 2021. </w:t>
      </w:r>
      <w:r w:rsidRPr="00C91A12">
        <w:rPr>
          <w:i/>
          <w:iCs/>
          <w:sz w:val="21"/>
          <w:szCs w:val="21"/>
        </w:rPr>
        <w:t>2020: Worst year in tourism history with 1 billon fewer international arrivals</w:t>
      </w:r>
      <w:r w:rsidRPr="00C91A12">
        <w:rPr>
          <w:sz w:val="21"/>
          <w:szCs w:val="21"/>
        </w:rPr>
        <w:t xml:space="preserve">. Retrieved 15 April 2021.  </w:t>
      </w:r>
      <w:hyperlink r:id="rId16" w:history="1">
        <w:r w:rsidRPr="00C91A12">
          <w:rPr>
            <w:rStyle w:val="Hipervnculo"/>
            <w:bCs/>
            <w:sz w:val="21"/>
            <w:szCs w:val="21"/>
          </w:rPr>
          <w:t>https://www.unwto.org/news/2020-worst-year-in-tourism-history-with-1-billion-fewer-international-arrivals</w:t>
        </w:r>
      </w:hyperlink>
      <w:r w:rsidRPr="00C91A12">
        <w:rPr>
          <w:bCs/>
          <w:sz w:val="21"/>
          <w:szCs w:val="21"/>
        </w:rPr>
        <w:t xml:space="preserve">. </w:t>
      </w:r>
    </w:p>
    <w:p w14:paraId="61E3837D" w14:textId="77777777" w:rsidR="005F081F" w:rsidRPr="00597FFC" w:rsidRDefault="005F081F" w:rsidP="005F081F">
      <w:pPr>
        <w:pStyle w:val="ATSNormal"/>
        <w:spacing w:before="60" w:after="60"/>
        <w:ind w:left="720" w:hanging="720"/>
      </w:pPr>
      <w:r w:rsidRPr="00C91A12">
        <w:rPr>
          <w:sz w:val="21"/>
          <w:szCs w:val="21"/>
        </w:rPr>
        <w:t xml:space="preserve">World Tourism Organisation (UNWTO). </w:t>
      </w:r>
      <w:r>
        <w:rPr>
          <w:sz w:val="21"/>
          <w:szCs w:val="21"/>
        </w:rPr>
        <w:t xml:space="preserve">2021b. </w:t>
      </w:r>
      <w:r w:rsidRPr="00C91A12">
        <w:rPr>
          <w:sz w:val="21"/>
          <w:szCs w:val="21"/>
        </w:rPr>
        <w:t xml:space="preserve">4 October 2021. </w:t>
      </w:r>
      <w:r w:rsidRPr="00C91A12">
        <w:rPr>
          <w:i/>
          <w:iCs/>
          <w:sz w:val="21"/>
          <w:szCs w:val="21"/>
        </w:rPr>
        <w:t>Vaccines and reopen borders driving tourism’s recovery</w:t>
      </w:r>
      <w:r w:rsidRPr="00C91A12">
        <w:rPr>
          <w:sz w:val="21"/>
          <w:szCs w:val="21"/>
        </w:rPr>
        <w:t xml:space="preserve">. Retrieved 15 April 2021.   </w:t>
      </w:r>
      <w:hyperlink r:id="rId17" w:history="1">
        <w:r w:rsidRPr="00C91A12">
          <w:rPr>
            <w:rStyle w:val="Hipervnculo"/>
            <w:sz w:val="21"/>
            <w:szCs w:val="21"/>
          </w:rPr>
          <w:t>https://www.unwto.org/news/vaccines-and-reopen-borders-driving-tourism-s-recovery#:~:text=International%20tourism%20enjoyed%20signs%20of,many%20parts%20of%20the%20world.</w:t>
        </w:r>
      </w:hyperlink>
    </w:p>
    <w:p w14:paraId="7354FC10" w14:textId="77777777" w:rsidR="004B4A60" w:rsidRDefault="005F081F" w:rsidP="00952E9F"/>
    <w:sectPr w:rsidR="004B4A60" w:rsidSect="00283F0F">
      <w:headerReference w:type="default" r:id="rId18"/>
      <w:footerReference w:type="default" r:id="rId1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ED755" w14:textId="77777777" w:rsidR="00000000" w:rsidRDefault="005F081F">
      <w:r>
        <w:separator/>
      </w:r>
    </w:p>
  </w:endnote>
  <w:endnote w:type="continuationSeparator" w:id="0">
    <w:p w14:paraId="3F04B49F" w14:textId="77777777" w:rsidR="00000000" w:rsidRDefault="005F0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C6EA" w14:textId="77777777" w:rsidR="00FA0B9F" w:rsidRDefault="005F081F" w:rsidP="00CF5C82">
    <w:pPr>
      <w:framePr w:wrap="around" w:vAnchor="text" w:hAnchor="margin" w:xAlign="right" w:y="1"/>
    </w:pPr>
    <w:r>
      <w:fldChar w:fldCharType="begin"/>
    </w:r>
    <w:r>
      <w:instrText xml:space="preserve">PAGE  </w:instrText>
    </w:r>
    <w:r>
      <w:fldChar w:fldCharType="separate"/>
    </w:r>
    <w:r>
      <w:fldChar w:fldCharType="end"/>
    </w:r>
  </w:p>
  <w:p w14:paraId="0F56FF37" w14:textId="77777777" w:rsidR="00FA0B9F" w:rsidRDefault="005F081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AAC25" w14:textId="77777777" w:rsidR="00FA0B9F" w:rsidRDefault="005F081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A0AD18B" w14:textId="778FA1B2" w:rsidR="00FA0B9F" w:rsidRDefault="005F081F"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DA99" w14:textId="77777777" w:rsidR="005F081F" w:rsidRDefault="005F081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401C" w14:textId="77777777" w:rsidR="00E311C9" w:rsidRDefault="005F081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B7F225B" w14:textId="77777777" w:rsidR="00E311C9" w:rsidRDefault="005F081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6F40A" w14:textId="77777777" w:rsidR="00000000" w:rsidRDefault="005F081F">
      <w:r>
        <w:separator/>
      </w:r>
    </w:p>
  </w:footnote>
  <w:footnote w:type="continuationSeparator" w:id="0">
    <w:p w14:paraId="1F3470CE" w14:textId="77777777" w:rsidR="00000000" w:rsidRDefault="005F081F">
      <w:r>
        <w:continuationSeparator/>
      </w:r>
    </w:p>
  </w:footnote>
  <w:footnote w:id="1">
    <w:p w14:paraId="70383012" w14:textId="77777777" w:rsidR="005F081F" w:rsidRPr="00C91A12" w:rsidRDefault="005F081F" w:rsidP="005F081F">
      <w:pPr>
        <w:pStyle w:val="ATSNormal"/>
        <w:spacing w:before="0" w:after="0"/>
        <w:rPr>
          <w:bCs/>
          <w:sz w:val="19"/>
          <w:szCs w:val="19"/>
        </w:rPr>
      </w:pPr>
      <w:r w:rsidRPr="00C91A12">
        <w:rPr>
          <w:rStyle w:val="Refdenotaalpie"/>
          <w:sz w:val="19"/>
          <w:szCs w:val="19"/>
        </w:rPr>
        <w:footnoteRef/>
      </w:r>
      <w:r w:rsidRPr="00C91A12">
        <w:rPr>
          <w:sz w:val="19"/>
          <w:szCs w:val="19"/>
        </w:rPr>
        <w:t xml:space="preserve"> In January 2021</w:t>
      </w:r>
      <w:r>
        <w:rPr>
          <w:sz w:val="19"/>
          <w:szCs w:val="19"/>
        </w:rPr>
        <w:t>,</w:t>
      </w:r>
      <w:r w:rsidRPr="00C91A12">
        <w:rPr>
          <w:sz w:val="19"/>
          <w:szCs w:val="19"/>
        </w:rPr>
        <w:t xml:space="preserve"> the UNWTO noted “</w:t>
      </w:r>
      <w:r w:rsidRPr="00C91A12">
        <w:rPr>
          <w:color w:val="222222"/>
          <w:spacing w:val="4"/>
          <w:sz w:val="19"/>
          <w:szCs w:val="19"/>
        </w:rPr>
        <w:t>Global tourism suffered its worst year on record in 2020, with international arrivals dropping by 74%... This compares with the 4% decline recorded during the 2009 global economic crisis.”</w:t>
      </w:r>
      <w:r w:rsidRPr="00C91A12" w:rsidDel="00274D15">
        <w:rPr>
          <w:bCs/>
          <w:sz w:val="19"/>
          <w:szCs w:val="19"/>
        </w:rPr>
        <w:t xml:space="preserve"> </w:t>
      </w:r>
      <w:r w:rsidRPr="00C91A12">
        <w:rPr>
          <w:bCs/>
          <w:sz w:val="19"/>
          <w:szCs w:val="19"/>
        </w:rPr>
        <w:t>(UNWTO, 2021a).</w:t>
      </w:r>
    </w:p>
  </w:footnote>
  <w:footnote w:id="2">
    <w:p w14:paraId="36991555" w14:textId="77777777" w:rsidR="005F081F" w:rsidRPr="00FD09DE" w:rsidRDefault="005F081F" w:rsidP="005F081F">
      <w:pPr>
        <w:pStyle w:val="Textonotapie"/>
        <w:rPr>
          <w:sz w:val="19"/>
          <w:szCs w:val="19"/>
        </w:rPr>
      </w:pPr>
      <w:r w:rsidRPr="00FD09DE">
        <w:rPr>
          <w:rStyle w:val="Refdenotaalpie"/>
          <w:sz w:val="19"/>
          <w:szCs w:val="19"/>
        </w:rPr>
        <w:footnoteRef/>
      </w:r>
      <w:r w:rsidRPr="00FD09DE">
        <w:rPr>
          <w:sz w:val="19"/>
          <w:szCs w:val="19"/>
        </w:rPr>
        <w:t xml:space="preserve"> In a World Tourism Organization expert survey on global tourism recovery (excluding Antarctica), 45 percent of those polled projected that international tourism will recover to 2019 levels in 2024 or later, while 43 percent predicted a recovery in 2023 (UNWTO, 2021b).</w:t>
      </w:r>
    </w:p>
  </w:footnote>
  <w:footnote w:id="3">
    <w:p w14:paraId="29D41BD9" w14:textId="77777777" w:rsidR="005F081F" w:rsidRPr="00C91A12" w:rsidRDefault="005F081F" w:rsidP="005F081F">
      <w:pPr>
        <w:pStyle w:val="Textonotapie"/>
        <w:rPr>
          <w:sz w:val="19"/>
          <w:szCs w:val="19"/>
        </w:rPr>
      </w:pPr>
      <w:r w:rsidRPr="00C91A12">
        <w:rPr>
          <w:rStyle w:val="Refdenotaalpie"/>
          <w:sz w:val="19"/>
          <w:szCs w:val="19"/>
        </w:rPr>
        <w:footnoteRef/>
      </w:r>
      <w:r w:rsidRPr="00C91A12">
        <w:rPr>
          <w:sz w:val="19"/>
          <w:szCs w:val="19"/>
        </w:rPr>
        <w:t xml:space="preserve"> Nuclear-powered icebreakers have transported passengers on voyages from Murmansk to the North Pole every summer since the early 1990s (Nilsen, 2021).</w:t>
      </w:r>
    </w:p>
  </w:footnote>
  <w:footnote w:id="4">
    <w:p w14:paraId="493D0FA0" w14:textId="77777777" w:rsidR="005F081F" w:rsidRPr="00C91A12" w:rsidRDefault="005F081F" w:rsidP="005F081F">
      <w:pPr>
        <w:pStyle w:val="Textonotapie"/>
        <w:rPr>
          <w:sz w:val="19"/>
          <w:szCs w:val="19"/>
          <w:lang w:val="en-US"/>
        </w:rPr>
      </w:pPr>
      <w:r w:rsidRPr="00C91A12">
        <w:rPr>
          <w:sz w:val="19"/>
          <w:szCs w:val="19"/>
          <w:vertAlign w:val="superscript"/>
        </w:rPr>
        <w:footnoteRef/>
      </w:r>
      <w:r w:rsidRPr="00C91A12">
        <w:rPr>
          <w:sz w:val="19"/>
          <w:szCs w:val="19"/>
        </w:rPr>
        <w:t xml:space="preserve"> These include SCAR’s </w:t>
      </w:r>
      <w:r w:rsidRPr="00C91A12">
        <w:rPr>
          <w:i/>
          <w:iCs/>
          <w:sz w:val="19"/>
          <w:szCs w:val="19"/>
        </w:rPr>
        <w:t>Integrated Science to Inform Antarctic and Southern Ocean Conservation (ANT-Icon</w:t>
      </w:r>
      <w:r w:rsidRPr="00C91A12">
        <w:rPr>
          <w:sz w:val="19"/>
          <w:szCs w:val="19"/>
        </w:rPr>
        <w:t xml:space="preserve">); SCAR, IAATO and partners’ </w:t>
      </w:r>
      <w:r w:rsidRPr="00C91A12">
        <w:rPr>
          <w:i/>
          <w:iCs/>
          <w:sz w:val="19"/>
          <w:szCs w:val="19"/>
        </w:rPr>
        <w:t xml:space="preserve">Systematic Conservation Plan for the Antarctic Peninsula; </w:t>
      </w:r>
      <w:r w:rsidRPr="00C91A12">
        <w:rPr>
          <w:sz w:val="19"/>
          <w:szCs w:val="19"/>
        </w:rPr>
        <w:t xml:space="preserve">and two research programs funded by the Dutch Research Council (NWO): the recently started </w:t>
      </w:r>
      <w:r w:rsidRPr="00C91A12">
        <w:rPr>
          <w:i/>
          <w:iCs/>
          <w:sz w:val="19"/>
          <w:szCs w:val="19"/>
        </w:rPr>
        <w:t>Proactive Management of Antarctic Tourism: Exploring the Role of ATS Principles and Values and Best Practices Beyond the ATS</w:t>
      </w:r>
      <w:r w:rsidRPr="00C91A12">
        <w:rPr>
          <w:sz w:val="19"/>
          <w:szCs w:val="19"/>
        </w:rPr>
        <w:t xml:space="preserve"> (Pro-Act); and </w:t>
      </w:r>
      <w:r w:rsidRPr="00C91A12">
        <w:rPr>
          <w:i/>
          <w:iCs/>
          <w:sz w:val="19"/>
          <w:szCs w:val="19"/>
        </w:rPr>
        <w:t>Polar Tourism - Research Programme on Assessment of Impacts and Respons</w:t>
      </w:r>
      <w:r w:rsidRPr="00C91A12">
        <w:rPr>
          <w:sz w:val="19"/>
          <w:szCs w:val="19"/>
        </w:rPr>
        <w:t xml:space="preserve">es (PT-REPAIR) </w:t>
      </w:r>
      <w:r w:rsidRPr="00C91A12">
        <w:rPr>
          <w:color w:val="000000"/>
          <w:sz w:val="19"/>
          <w:szCs w:val="19"/>
        </w:rPr>
        <w:t>(under development).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A64D7" w14:textId="77777777" w:rsidR="005F081F" w:rsidRDefault="005F081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7E5440" w14:paraId="58AB0670" w14:textId="77777777" w:rsidTr="00490760">
      <w:trPr>
        <w:trHeight w:val="344"/>
        <w:jc w:val="center"/>
      </w:trPr>
      <w:tc>
        <w:tcPr>
          <w:tcW w:w="5495" w:type="dxa"/>
        </w:tcPr>
        <w:p w14:paraId="263BFDB7" w14:textId="77777777" w:rsidR="00DB7C09" w:rsidRDefault="005F081F" w:rsidP="00F968D4"/>
      </w:tc>
      <w:tc>
        <w:tcPr>
          <w:tcW w:w="4253" w:type="dxa"/>
          <w:gridSpan w:val="2"/>
        </w:tcPr>
        <w:p w14:paraId="6681243A" w14:textId="77777777" w:rsidR="00DB7C09" w:rsidRPr="00BD47E4" w:rsidRDefault="005F081F" w:rsidP="002A07BC">
          <w:pPr>
            <w:jc w:val="right"/>
            <w:rPr>
              <w:b/>
              <w:sz w:val="32"/>
              <w:szCs w:val="32"/>
            </w:rPr>
          </w:pPr>
          <w:bookmarkStart w:id="2" w:name="type"/>
          <w:r w:rsidRPr="00BD47E4">
            <w:rPr>
              <w:b/>
              <w:sz w:val="32"/>
              <w:szCs w:val="32"/>
            </w:rPr>
            <w:t>IP</w:t>
          </w:r>
          <w:bookmarkEnd w:id="2"/>
        </w:p>
      </w:tc>
      <w:tc>
        <w:tcPr>
          <w:tcW w:w="1524" w:type="dxa"/>
          <w:gridSpan w:val="2"/>
        </w:tcPr>
        <w:p w14:paraId="0357C19B" w14:textId="77777777" w:rsidR="00DB7C09" w:rsidRPr="00BD47E4" w:rsidRDefault="005F081F" w:rsidP="00DB7C09">
          <w:pPr>
            <w:rPr>
              <w:b/>
              <w:sz w:val="32"/>
              <w:szCs w:val="32"/>
            </w:rPr>
          </w:pPr>
          <w:bookmarkStart w:id="3" w:name="number"/>
          <w:r w:rsidRPr="00BD47E4">
            <w:rPr>
              <w:b/>
              <w:sz w:val="32"/>
              <w:szCs w:val="32"/>
            </w:rPr>
            <w:t>91</w:t>
          </w:r>
          <w:bookmarkEnd w:id="3"/>
        </w:p>
      </w:tc>
    </w:tr>
    <w:tr w:rsidR="007E5440" w14:paraId="42524DC4" w14:textId="77777777" w:rsidTr="00490760">
      <w:trPr>
        <w:trHeight w:val="2165"/>
        <w:jc w:val="center"/>
      </w:trPr>
      <w:tc>
        <w:tcPr>
          <w:tcW w:w="5495" w:type="dxa"/>
        </w:tcPr>
        <w:p w14:paraId="3422DA31" w14:textId="77777777" w:rsidR="00490760" w:rsidRPr="00EE4D48" w:rsidRDefault="005F081F" w:rsidP="002A07BC">
          <w:pPr>
            <w:rPr>
              <w:b/>
              <w:sz w:val="28"/>
              <w:szCs w:val="28"/>
            </w:rPr>
          </w:pPr>
          <w:r>
            <w:rPr>
              <w:noProof/>
            </w:rPr>
            <w:drawing>
              <wp:inline distT="0" distB="0" distL="0" distR="0" wp14:anchorId="1BB7D259" wp14:editId="760D536E">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32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8196C08" w14:textId="77777777" w:rsidR="00490760" w:rsidRPr="00FE5146" w:rsidRDefault="005F081F" w:rsidP="00490760">
          <w:pPr>
            <w:jc w:val="right"/>
            <w:rPr>
              <w:sz w:val="144"/>
              <w:szCs w:val="144"/>
            </w:rPr>
          </w:pPr>
          <w:r w:rsidRPr="00FE5146">
            <w:rPr>
              <w:sz w:val="144"/>
              <w:szCs w:val="144"/>
            </w:rPr>
            <w:t>ENG</w:t>
          </w:r>
        </w:p>
      </w:tc>
    </w:tr>
    <w:tr w:rsidR="007E5440" w14:paraId="7C3EE95A" w14:textId="77777777" w:rsidTr="00BD47E4">
      <w:trPr>
        <w:trHeight w:val="409"/>
        <w:jc w:val="center"/>
      </w:trPr>
      <w:tc>
        <w:tcPr>
          <w:tcW w:w="9039" w:type="dxa"/>
          <w:gridSpan w:val="2"/>
        </w:tcPr>
        <w:p w14:paraId="6A7E3064" w14:textId="77777777" w:rsidR="00BD47E4" w:rsidRDefault="005F081F" w:rsidP="002C30DA">
          <w:pPr>
            <w:jc w:val="right"/>
          </w:pPr>
          <w:r>
            <w:t>Agenda Item:</w:t>
          </w:r>
        </w:p>
      </w:tc>
      <w:tc>
        <w:tcPr>
          <w:tcW w:w="1843" w:type="dxa"/>
          <w:gridSpan w:val="2"/>
        </w:tcPr>
        <w:p w14:paraId="1B0C28F4" w14:textId="77777777" w:rsidR="005F081F" w:rsidRDefault="005F081F" w:rsidP="002C30DA">
          <w:pPr>
            <w:jc w:val="right"/>
          </w:pPr>
          <w:bookmarkStart w:id="4" w:name="agenda"/>
          <w:r>
            <w:t xml:space="preserve">ATCM 17, </w:t>
          </w:r>
        </w:p>
        <w:p w14:paraId="06136484" w14:textId="72B168BE" w:rsidR="00BD47E4" w:rsidRDefault="005F081F" w:rsidP="002C30DA">
          <w:pPr>
            <w:jc w:val="right"/>
          </w:pPr>
          <w:r>
            <w:t>CEP 11</w:t>
          </w:r>
          <w:bookmarkEnd w:id="4"/>
        </w:p>
      </w:tc>
      <w:tc>
        <w:tcPr>
          <w:tcW w:w="390" w:type="dxa"/>
        </w:tcPr>
        <w:p w14:paraId="3103DCEB" w14:textId="77777777" w:rsidR="00BD47E4" w:rsidRDefault="005F081F" w:rsidP="00387A65">
          <w:pPr>
            <w:jc w:val="right"/>
          </w:pPr>
        </w:p>
      </w:tc>
    </w:tr>
    <w:tr w:rsidR="007E5440" w14:paraId="4B293AE4" w14:textId="77777777" w:rsidTr="00BD47E4">
      <w:trPr>
        <w:trHeight w:val="397"/>
        <w:jc w:val="center"/>
      </w:trPr>
      <w:tc>
        <w:tcPr>
          <w:tcW w:w="9039" w:type="dxa"/>
          <w:gridSpan w:val="2"/>
        </w:tcPr>
        <w:p w14:paraId="148B1490" w14:textId="77777777" w:rsidR="00BD47E4" w:rsidRDefault="005F081F" w:rsidP="002C30DA">
          <w:pPr>
            <w:jc w:val="right"/>
          </w:pPr>
          <w:r>
            <w:t>Presented by:</w:t>
          </w:r>
        </w:p>
      </w:tc>
      <w:tc>
        <w:tcPr>
          <w:tcW w:w="1843" w:type="dxa"/>
          <w:gridSpan w:val="2"/>
        </w:tcPr>
        <w:p w14:paraId="36A09D53" w14:textId="77777777" w:rsidR="00BD47E4" w:rsidRDefault="005F081F" w:rsidP="002C30DA">
          <w:pPr>
            <w:jc w:val="right"/>
          </w:pPr>
          <w:bookmarkStart w:id="5" w:name="party"/>
          <w:r>
            <w:t>ASOC</w:t>
          </w:r>
          <w:bookmarkEnd w:id="5"/>
        </w:p>
      </w:tc>
      <w:tc>
        <w:tcPr>
          <w:tcW w:w="390" w:type="dxa"/>
        </w:tcPr>
        <w:p w14:paraId="4AC037CB" w14:textId="77777777" w:rsidR="00BD47E4" w:rsidRDefault="005F081F" w:rsidP="00387A65">
          <w:pPr>
            <w:jc w:val="right"/>
          </w:pPr>
        </w:p>
      </w:tc>
    </w:tr>
    <w:tr w:rsidR="007E5440" w14:paraId="0BFE731E" w14:textId="77777777" w:rsidTr="00BD47E4">
      <w:trPr>
        <w:trHeight w:val="409"/>
        <w:jc w:val="center"/>
      </w:trPr>
      <w:tc>
        <w:tcPr>
          <w:tcW w:w="9039" w:type="dxa"/>
          <w:gridSpan w:val="2"/>
        </w:tcPr>
        <w:p w14:paraId="07C515FF" w14:textId="77777777" w:rsidR="00BD47E4" w:rsidRDefault="005F081F" w:rsidP="002C30DA">
          <w:pPr>
            <w:jc w:val="right"/>
          </w:pPr>
          <w:r>
            <w:t>Original:</w:t>
          </w:r>
        </w:p>
      </w:tc>
      <w:tc>
        <w:tcPr>
          <w:tcW w:w="1843" w:type="dxa"/>
          <w:gridSpan w:val="2"/>
        </w:tcPr>
        <w:p w14:paraId="2EE990F5" w14:textId="77777777" w:rsidR="00BD47E4" w:rsidRDefault="005F081F" w:rsidP="002C30DA">
          <w:pPr>
            <w:jc w:val="right"/>
          </w:pPr>
          <w:bookmarkStart w:id="6" w:name="language"/>
          <w:r>
            <w:t>English</w:t>
          </w:r>
          <w:bookmarkEnd w:id="6"/>
        </w:p>
      </w:tc>
      <w:tc>
        <w:tcPr>
          <w:tcW w:w="390" w:type="dxa"/>
        </w:tcPr>
        <w:p w14:paraId="516ADF1E" w14:textId="77777777" w:rsidR="00BD47E4" w:rsidRDefault="005F081F" w:rsidP="00387A65">
          <w:pPr>
            <w:jc w:val="right"/>
          </w:pPr>
        </w:p>
      </w:tc>
    </w:tr>
    <w:tr w:rsidR="007E5440" w14:paraId="640CBA20" w14:textId="77777777" w:rsidTr="00BD47E4">
      <w:trPr>
        <w:trHeight w:val="409"/>
        <w:jc w:val="center"/>
      </w:trPr>
      <w:tc>
        <w:tcPr>
          <w:tcW w:w="9039" w:type="dxa"/>
          <w:gridSpan w:val="2"/>
        </w:tcPr>
        <w:p w14:paraId="3B930AFC" w14:textId="77777777" w:rsidR="0097629D" w:rsidRDefault="005F081F" w:rsidP="002C30DA">
          <w:pPr>
            <w:jc w:val="right"/>
          </w:pPr>
          <w:r>
            <w:t>Submitted:</w:t>
          </w:r>
        </w:p>
      </w:tc>
      <w:tc>
        <w:tcPr>
          <w:tcW w:w="1843" w:type="dxa"/>
          <w:gridSpan w:val="2"/>
        </w:tcPr>
        <w:p w14:paraId="13192B29" w14:textId="77777777" w:rsidR="0097629D" w:rsidRDefault="005F081F" w:rsidP="0097629D">
          <w:pPr>
            <w:jc w:val="right"/>
          </w:pPr>
          <w:bookmarkStart w:id="7" w:name="date_submission"/>
          <w:r>
            <w:t>22/4/2022</w:t>
          </w:r>
          <w:bookmarkEnd w:id="7"/>
        </w:p>
      </w:tc>
      <w:tc>
        <w:tcPr>
          <w:tcW w:w="390" w:type="dxa"/>
        </w:tcPr>
        <w:p w14:paraId="47996D8E" w14:textId="77777777" w:rsidR="0097629D" w:rsidRDefault="005F081F" w:rsidP="00387A65">
          <w:pPr>
            <w:jc w:val="right"/>
          </w:pPr>
        </w:p>
      </w:tc>
    </w:tr>
  </w:tbl>
  <w:p w14:paraId="574D39C9" w14:textId="77777777" w:rsidR="00AE5DD0" w:rsidRDefault="005F081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7281" w14:textId="77777777" w:rsidR="005F081F" w:rsidRDefault="005F081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E5DD0" w:rsidRPr="0087014A" w14:paraId="1A47DEA7" w14:textId="77777777">
      <w:trPr>
        <w:trHeight w:val="354"/>
        <w:jc w:val="center"/>
      </w:trPr>
      <w:tc>
        <w:tcPr>
          <w:tcW w:w="9694" w:type="dxa"/>
        </w:tcPr>
        <w:p w14:paraId="468D4504" w14:textId="778F4E6B" w:rsidR="00AE5DD0" w:rsidRPr="00BD47E4" w:rsidRDefault="005F081F" w:rsidP="00C26F2D">
          <w:pPr>
            <w:jc w:val="right"/>
            <w:rPr>
              <w:b/>
              <w:sz w:val="32"/>
              <w:szCs w:val="32"/>
            </w:rPr>
          </w:pPr>
          <w:bookmarkStart w:id="11" w:name="_Hlk101355036"/>
          <w:r>
            <w:rPr>
              <w:b/>
              <w:sz w:val="32"/>
              <w:szCs w:val="32"/>
            </w:rPr>
            <w:t>IP</w:t>
          </w:r>
        </w:p>
      </w:tc>
      <w:tc>
        <w:tcPr>
          <w:tcW w:w="1332" w:type="dxa"/>
        </w:tcPr>
        <w:p w14:paraId="349D86C4" w14:textId="762B207F" w:rsidR="00AE5DD0" w:rsidRPr="00BD47E4" w:rsidRDefault="005F081F" w:rsidP="00080F4C">
          <w:pPr>
            <w:rPr>
              <w:b/>
              <w:sz w:val="32"/>
              <w:szCs w:val="32"/>
            </w:rPr>
          </w:pPr>
          <w:r>
            <w:rPr>
              <w:b/>
              <w:sz w:val="32"/>
              <w:szCs w:val="32"/>
            </w:rPr>
            <w:t>91</w:t>
          </w:r>
        </w:p>
      </w:tc>
    </w:tr>
    <w:bookmarkEnd w:id="11"/>
  </w:tbl>
  <w:p w14:paraId="52357127" w14:textId="77777777" w:rsidR="00AE5DD0" w:rsidRDefault="005F08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23AAF1A">
      <w:start w:val="1"/>
      <w:numFmt w:val="bullet"/>
      <w:pStyle w:val="ATSBullet1"/>
      <w:lvlText w:val=""/>
      <w:lvlJc w:val="left"/>
      <w:pPr>
        <w:tabs>
          <w:tab w:val="num" w:pos="360"/>
        </w:tabs>
        <w:ind w:left="360" w:hanging="360"/>
      </w:pPr>
      <w:rPr>
        <w:rFonts w:ascii="Symbol" w:hAnsi="Symbol" w:hint="default"/>
        <w:color w:val="auto"/>
      </w:rPr>
    </w:lvl>
    <w:lvl w:ilvl="1" w:tplc="0F709B54" w:tentative="1">
      <w:start w:val="1"/>
      <w:numFmt w:val="bullet"/>
      <w:lvlText w:val="o"/>
      <w:lvlJc w:val="left"/>
      <w:pPr>
        <w:tabs>
          <w:tab w:val="num" w:pos="1440"/>
        </w:tabs>
        <w:ind w:left="1440" w:hanging="360"/>
      </w:pPr>
      <w:rPr>
        <w:rFonts w:ascii="Courier New" w:hAnsi="Courier New" w:cs="Courier New" w:hint="default"/>
      </w:rPr>
    </w:lvl>
    <w:lvl w:ilvl="2" w:tplc="7C3C7EFA" w:tentative="1">
      <w:start w:val="1"/>
      <w:numFmt w:val="bullet"/>
      <w:lvlText w:val=""/>
      <w:lvlJc w:val="left"/>
      <w:pPr>
        <w:tabs>
          <w:tab w:val="num" w:pos="2160"/>
        </w:tabs>
        <w:ind w:left="2160" w:hanging="360"/>
      </w:pPr>
      <w:rPr>
        <w:rFonts w:ascii="Wingdings" w:hAnsi="Wingdings" w:hint="default"/>
      </w:rPr>
    </w:lvl>
    <w:lvl w:ilvl="3" w:tplc="BAA03A2E" w:tentative="1">
      <w:start w:val="1"/>
      <w:numFmt w:val="bullet"/>
      <w:lvlText w:val=""/>
      <w:lvlJc w:val="left"/>
      <w:pPr>
        <w:tabs>
          <w:tab w:val="num" w:pos="2880"/>
        </w:tabs>
        <w:ind w:left="2880" w:hanging="360"/>
      </w:pPr>
      <w:rPr>
        <w:rFonts w:ascii="Symbol" w:hAnsi="Symbol" w:hint="default"/>
      </w:rPr>
    </w:lvl>
    <w:lvl w:ilvl="4" w:tplc="5B2E5ABC" w:tentative="1">
      <w:start w:val="1"/>
      <w:numFmt w:val="bullet"/>
      <w:lvlText w:val="o"/>
      <w:lvlJc w:val="left"/>
      <w:pPr>
        <w:tabs>
          <w:tab w:val="num" w:pos="3600"/>
        </w:tabs>
        <w:ind w:left="3600" w:hanging="360"/>
      </w:pPr>
      <w:rPr>
        <w:rFonts w:ascii="Courier New" w:hAnsi="Courier New" w:cs="Courier New" w:hint="default"/>
      </w:rPr>
    </w:lvl>
    <w:lvl w:ilvl="5" w:tplc="2FA40834" w:tentative="1">
      <w:start w:val="1"/>
      <w:numFmt w:val="bullet"/>
      <w:lvlText w:val=""/>
      <w:lvlJc w:val="left"/>
      <w:pPr>
        <w:tabs>
          <w:tab w:val="num" w:pos="4320"/>
        </w:tabs>
        <w:ind w:left="4320" w:hanging="360"/>
      </w:pPr>
      <w:rPr>
        <w:rFonts w:ascii="Wingdings" w:hAnsi="Wingdings" w:hint="default"/>
      </w:rPr>
    </w:lvl>
    <w:lvl w:ilvl="6" w:tplc="0C8496F2" w:tentative="1">
      <w:start w:val="1"/>
      <w:numFmt w:val="bullet"/>
      <w:lvlText w:val=""/>
      <w:lvlJc w:val="left"/>
      <w:pPr>
        <w:tabs>
          <w:tab w:val="num" w:pos="5040"/>
        </w:tabs>
        <w:ind w:left="5040" w:hanging="360"/>
      </w:pPr>
      <w:rPr>
        <w:rFonts w:ascii="Symbol" w:hAnsi="Symbol" w:hint="default"/>
      </w:rPr>
    </w:lvl>
    <w:lvl w:ilvl="7" w:tplc="593CEA32" w:tentative="1">
      <w:start w:val="1"/>
      <w:numFmt w:val="bullet"/>
      <w:lvlText w:val="o"/>
      <w:lvlJc w:val="left"/>
      <w:pPr>
        <w:tabs>
          <w:tab w:val="num" w:pos="5760"/>
        </w:tabs>
        <w:ind w:left="5760" w:hanging="360"/>
      </w:pPr>
      <w:rPr>
        <w:rFonts w:ascii="Courier New" w:hAnsi="Courier New" w:cs="Courier New" w:hint="default"/>
      </w:rPr>
    </w:lvl>
    <w:lvl w:ilvl="8" w:tplc="04020F4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7D6D72"/>
    <w:multiLevelType w:val="hybridMultilevel"/>
    <w:tmpl w:val="F4EA5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445872A4">
      <w:start w:val="1"/>
      <w:numFmt w:val="decimal"/>
      <w:lvlText w:val="%1)"/>
      <w:lvlJc w:val="left"/>
      <w:pPr>
        <w:tabs>
          <w:tab w:val="num" w:pos="340"/>
        </w:tabs>
        <w:ind w:left="340" w:hanging="340"/>
      </w:pPr>
      <w:rPr>
        <w:rFonts w:hint="default"/>
      </w:rPr>
    </w:lvl>
    <w:lvl w:ilvl="1" w:tplc="603E8718" w:tentative="1">
      <w:start w:val="1"/>
      <w:numFmt w:val="lowerLetter"/>
      <w:lvlText w:val="%2."/>
      <w:lvlJc w:val="left"/>
      <w:pPr>
        <w:tabs>
          <w:tab w:val="num" w:pos="1440"/>
        </w:tabs>
        <w:ind w:left="1440" w:hanging="360"/>
      </w:pPr>
    </w:lvl>
    <w:lvl w:ilvl="2" w:tplc="16D2E14A" w:tentative="1">
      <w:start w:val="1"/>
      <w:numFmt w:val="lowerRoman"/>
      <w:lvlText w:val="%3."/>
      <w:lvlJc w:val="right"/>
      <w:pPr>
        <w:tabs>
          <w:tab w:val="num" w:pos="2160"/>
        </w:tabs>
        <w:ind w:left="2160" w:hanging="180"/>
      </w:pPr>
    </w:lvl>
    <w:lvl w:ilvl="3" w:tplc="8E6C41DC" w:tentative="1">
      <w:start w:val="1"/>
      <w:numFmt w:val="decimal"/>
      <w:lvlText w:val="%4."/>
      <w:lvlJc w:val="left"/>
      <w:pPr>
        <w:tabs>
          <w:tab w:val="num" w:pos="2880"/>
        </w:tabs>
        <w:ind w:left="2880" w:hanging="360"/>
      </w:pPr>
    </w:lvl>
    <w:lvl w:ilvl="4" w:tplc="F7761724" w:tentative="1">
      <w:start w:val="1"/>
      <w:numFmt w:val="lowerLetter"/>
      <w:lvlText w:val="%5."/>
      <w:lvlJc w:val="left"/>
      <w:pPr>
        <w:tabs>
          <w:tab w:val="num" w:pos="3600"/>
        </w:tabs>
        <w:ind w:left="3600" w:hanging="360"/>
      </w:pPr>
    </w:lvl>
    <w:lvl w:ilvl="5" w:tplc="23E0A508" w:tentative="1">
      <w:start w:val="1"/>
      <w:numFmt w:val="lowerRoman"/>
      <w:lvlText w:val="%6."/>
      <w:lvlJc w:val="right"/>
      <w:pPr>
        <w:tabs>
          <w:tab w:val="num" w:pos="4320"/>
        </w:tabs>
        <w:ind w:left="4320" w:hanging="180"/>
      </w:pPr>
    </w:lvl>
    <w:lvl w:ilvl="6" w:tplc="B224A2A4" w:tentative="1">
      <w:start w:val="1"/>
      <w:numFmt w:val="decimal"/>
      <w:lvlText w:val="%7."/>
      <w:lvlJc w:val="left"/>
      <w:pPr>
        <w:tabs>
          <w:tab w:val="num" w:pos="5040"/>
        </w:tabs>
        <w:ind w:left="5040" w:hanging="360"/>
      </w:pPr>
    </w:lvl>
    <w:lvl w:ilvl="7" w:tplc="F4C6128A" w:tentative="1">
      <w:start w:val="1"/>
      <w:numFmt w:val="lowerLetter"/>
      <w:lvlText w:val="%8."/>
      <w:lvlJc w:val="left"/>
      <w:pPr>
        <w:tabs>
          <w:tab w:val="num" w:pos="5760"/>
        </w:tabs>
        <w:ind w:left="5760" w:hanging="360"/>
      </w:pPr>
    </w:lvl>
    <w:lvl w:ilvl="8" w:tplc="B106B2E4" w:tentative="1">
      <w:start w:val="1"/>
      <w:numFmt w:val="lowerRoman"/>
      <w:lvlText w:val="%9."/>
      <w:lvlJc w:val="right"/>
      <w:pPr>
        <w:tabs>
          <w:tab w:val="num" w:pos="6480"/>
        </w:tabs>
        <w:ind w:left="6480" w:hanging="180"/>
      </w:pPr>
    </w:lvl>
  </w:abstractNum>
  <w:abstractNum w:abstractNumId="14" w15:restartNumberingAfterBreak="0">
    <w:nsid w:val="591A07B1"/>
    <w:multiLevelType w:val="hybridMultilevel"/>
    <w:tmpl w:val="92E288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42F3AFA"/>
    <w:multiLevelType w:val="hybridMultilevel"/>
    <w:tmpl w:val="9DF09BE6"/>
    <w:lvl w:ilvl="0" w:tplc="ECE6C418">
      <w:start w:val="1"/>
      <w:numFmt w:val="decimal"/>
      <w:lvlText w:val="%1."/>
      <w:lvlJc w:val="left"/>
      <w:pPr>
        <w:tabs>
          <w:tab w:val="num" w:pos="1057"/>
        </w:tabs>
        <w:ind w:left="1057" w:hanging="360"/>
      </w:pPr>
      <w:rPr>
        <w:rFonts w:hint="default"/>
      </w:rPr>
    </w:lvl>
    <w:lvl w:ilvl="1" w:tplc="4E6854F4" w:tentative="1">
      <w:start w:val="1"/>
      <w:numFmt w:val="lowerLetter"/>
      <w:lvlText w:val="%2."/>
      <w:lvlJc w:val="left"/>
      <w:pPr>
        <w:tabs>
          <w:tab w:val="num" w:pos="2137"/>
        </w:tabs>
        <w:ind w:left="2137" w:hanging="360"/>
      </w:pPr>
    </w:lvl>
    <w:lvl w:ilvl="2" w:tplc="6DFA7502" w:tentative="1">
      <w:start w:val="1"/>
      <w:numFmt w:val="lowerRoman"/>
      <w:lvlText w:val="%3."/>
      <w:lvlJc w:val="right"/>
      <w:pPr>
        <w:tabs>
          <w:tab w:val="num" w:pos="2857"/>
        </w:tabs>
        <w:ind w:left="2857" w:hanging="180"/>
      </w:pPr>
    </w:lvl>
    <w:lvl w:ilvl="3" w:tplc="5582BE90" w:tentative="1">
      <w:start w:val="1"/>
      <w:numFmt w:val="decimal"/>
      <w:lvlText w:val="%4."/>
      <w:lvlJc w:val="left"/>
      <w:pPr>
        <w:tabs>
          <w:tab w:val="num" w:pos="3577"/>
        </w:tabs>
        <w:ind w:left="3577" w:hanging="360"/>
      </w:pPr>
    </w:lvl>
    <w:lvl w:ilvl="4" w:tplc="109A5064" w:tentative="1">
      <w:start w:val="1"/>
      <w:numFmt w:val="lowerLetter"/>
      <w:lvlText w:val="%5."/>
      <w:lvlJc w:val="left"/>
      <w:pPr>
        <w:tabs>
          <w:tab w:val="num" w:pos="4297"/>
        </w:tabs>
        <w:ind w:left="4297" w:hanging="360"/>
      </w:pPr>
    </w:lvl>
    <w:lvl w:ilvl="5" w:tplc="849E2256" w:tentative="1">
      <w:start w:val="1"/>
      <w:numFmt w:val="lowerRoman"/>
      <w:lvlText w:val="%6."/>
      <w:lvlJc w:val="right"/>
      <w:pPr>
        <w:tabs>
          <w:tab w:val="num" w:pos="5017"/>
        </w:tabs>
        <w:ind w:left="5017" w:hanging="180"/>
      </w:pPr>
    </w:lvl>
    <w:lvl w:ilvl="6" w:tplc="8A20905E" w:tentative="1">
      <w:start w:val="1"/>
      <w:numFmt w:val="decimal"/>
      <w:lvlText w:val="%7."/>
      <w:lvlJc w:val="left"/>
      <w:pPr>
        <w:tabs>
          <w:tab w:val="num" w:pos="5737"/>
        </w:tabs>
        <w:ind w:left="5737" w:hanging="360"/>
      </w:pPr>
    </w:lvl>
    <w:lvl w:ilvl="7" w:tplc="E28E1B48" w:tentative="1">
      <w:start w:val="1"/>
      <w:numFmt w:val="lowerLetter"/>
      <w:lvlText w:val="%8."/>
      <w:lvlJc w:val="left"/>
      <w:pPr>
        <w:tabs>
          <w:tab w:val="num" w:pos="6457"/>
        </w:tabs>
        <w:ind w:left="6457" w:hanging="360"/>
      </w:pPr>
    </w:lvl>
    <w:lvl w:ilvl="8" w:tplc="15E42716"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5BD08FF0">
      <w:start w:val="1"/>
      <w:numFmt w:val="decimal"/>
      <w:pStyle w:val="ATSNumber1"/>
      <w:lvlText w:val="%1)"/>
      <w:lvlJc w:val="left"/>
      <w:pPr>
        <w:tabs>
          <w:tab w:val="num" w:pos="720"/>
        </w:tabs>
        <w:ind w:left="720" w:hanging="360"/>
      </w:pPr>
    </w:lvl>
    <w:lvl w:ilvl="1" w:tplc="58BA5552" w:tentative="1">
      <w:start w:val="1"/>
      <w:numFmt w:val="lowerLetter"/>
      <w:lvlText w:val="%2."/>
      <w:lvlJc w:val="left"/>
      <w:pPr>
        <w:tabs>
          <w:tab w:val="num" w:pos="1440"/>
        </w:tabs>
        <w:ind w:left="1440" w:hanging="360"/>
      </w:pPr>
    </w:lvl>
    <w:lvl w:ilvl="2" w:tplc="9D2E55F2" w:tentative="1">
      <w:start w:val="1"/>
      <w:numFmt w:val="lowerRoman"/>
      <w:lvlText w:val="%3."/>
      <w:lvlJc w:val="right"/>
      <w:pPr>
        <w:tabs>
          <w:tab w:val="num" w:pos="2160"/>
        </w:tabs>
        <w:ind w:left="2160" w:hanging="180"/>
      </w:pPr>
    </w:lvl>
    <w:lvl w:ilvl="3" w:tplc="AFB8BB7C" w:tentative="1">
      <w:start w:val="1"/>
      <w:numFmt w:val="decimal"/>
      <w:lvlText w:val="%4."/>
      <w:lvlJc w:val="left"/>
      <w:pPr>
        <w:tabs>
          <w:tab w:val="num" w:pos="2880"/>
        </w:tabs>
        <w:ind w:left="2880" w:hanging="360"/>
      </w:pPr>
    </w:lvl>
    <w:lvl w:ilvl="4" w:tplc="0E565768" w:tentative="1">
      <w:start w:val="1"/>
      <w:numFmt w:val="lowerLetter"/>
      <w:lvlText w:val="%5."/>
      <w:lvlJc w:val="left"/>
      <w:pPr>
        <w:tabs>
          <w:tab w:val="num" w:pos="3600"/>
        </w:tabs>
        <w:ind w:left="3600" w:hanging="360"/>
      </w:pPr>
    </w:lvl>
    <w:lvl w:ilvl="5" w:tplc="B472E64A" w:tentative="1">
      <w:start w:val="1"/>
      <w:numFmt w:val="lowerRoman"/>
      <w:lvlText w:val="%6."/>
      <w:lvlJc w:val="right"/>
      <w:pPr>
        <w:tabs>
          <w:tab w:val="num" w:pos="4320"/>
        </w:tabs>
        <w:ind w:left="4320" w:hanging="180"/>
      </w:pPr>
    </w:lvl>
    <w:lvl w:ilvl="6" w:tplc="2D64A2E4" w:tentative="1">
      <w:start w:val="1"/>
      <w:numFmt w:val="decimal"/>
      <w:lvlText w:val="%7."/>
      <w:lvlJc w:val="left"/>
      <w:pPr>
        <w:tabs>
          <w:tab w:val="num" w:pos="5040"/>
        </w:tabs>
        <w:ind w:left="5040" w:hanging="360"/>
      </w:pPr>
    </w:lvl>
    <w:lvl w:ilvl="7" w:tplc="A740C5FE" w:tentative="1">
      <w:start w:val="1"/>
      <w:numFmt w:val="lowerLetter"/>
      <w:lvlText w:val="%8."/>
      <w:lvlJc w:val="left"/>
      <w:pPr>
        <w:tabs>
          <w:tab w:val="num" w:pos="5760"/>
        </w:tabs>
        <w:ind w:left="5760" w:hanging="360"/>
      </w:pPr>
    </w:lvl>
    <w:lvl w:ilvl="8" w:tplc="4F8634E8"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1BDC397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5BACA94" w:tentative="1">
      <w:start w:val="1"/>
      <w:numFmt w:val="bullet"/>
      <w:lvlText w:val="o"/>
      <w:lvlJc w:val="left"/>
      <w:pPr>
        <w:tabs>
          <w:tab w:val="num" w:pos="2517"/>
        </w:tabs>
        <w:ind w:left="2517" w:hanging="360"/>
      </w:pPr>
      <w:rPr>
        <w:rFonts w:ascii="Courier New" w:hAnsi="Courier New" w:cs="Courier New" w:hint="default"/>
      </w:rPr>
    </w:lvl>
    <w:lvl w:ilvl="2" w:tplc="0616F190" w:tentative="1">
      <w:start w:val="1"/>
      <w:numFmt w:val="bullet"/>
      <w:lvlText w:val=""/>
      <w:lvlJc w:val="left"/>
      <w:pPr>
        <w:tabs>
          <w:tab w:val="num" w:pos="3237"/>
        </w:tabs>
        <w:ind w:left="3237" w:hanging="360"/>
      </w:pPr>
      <w:rPr>
        <w:rFonts w:ascii="Wingdings" w:hAnsi="Wingdings" w:hint="default"/>
      </w:rPr>
    </w:lvl>
    <w:lvl w:ilvl="3" w:tplc="C74E74F2" w:tentative="1">
      <w:start w:val="1"/>
      <w:numFmt w:val="bullet"/>
      <w:lvlText w:val=""/>
      <w:lvlJc w:val="left"/>
      <w:pPr>
        <w:tabs>
          <w:tab w:val="num" w:pos="3957"/>
        </w:tabs>
        <w:ind w:left="3957" w:hanging="360"/>
      </w:pPr>
      <w:rPr>
        <w:rFonts w:ascii="Symbol" w:hAnsi="Symbol" w:hint="default"/>
      </w:rPr>
    </w:lvl>
    <w:lvl w:ilvl="4" w:tplc="FC4ECBE6" w:tentative="1">
      <w:start w:val="1"/>
      <w:numFmt w:val="bullet"/>
      <w:lvlText w:val="o"/>
      <w:lvlJc w:val="left"/>
      <w:pPr>
        <w:tabs>
          <w:tab w:val="num" w:pos="4677"/>
        </w:tabs>
        <w:ind w:left="4677" w:hanging="360"/>
      </w:pPr>
      <w:rPr>
        <w:rFonts w:ascii="Courier New" w:hAnsi="Courier New" w:cs="Courier New" w:hint="default"/>
      </w:rPr>
    </w:lvl>
    <w:lvl w:ilvl="5" w:tplc="C7C8C1EE" w:tentative="1">
      <w:start w:val="1"/>
      <w:numFmt w:val="bullet"/>
      <w:lvlText w:val=""/>
      <w:lvlJc w:val="left"/>
      <w:pPr>
        <w:tabs>
          <w:tab w:val="num" w:pos="5397"/>
        </w:tabs>
        <w:ind w:left="5397" w:hanging="360"/>
      </w:pPr>
      <w:rPr>
        <w:rFonts w:ascii="Wingdings" w:hAnsi="Wingdings" w:hint="default"/>
      </w:rPr>
    </w:lvl>
    <w:lvl w:ilvl="6" w:tplc="5BEA85B8" w:tentative="1">
      <w:start w:val="1"/>
      <w:numFmt w:val="bullet"/>
      <w:lvlText w:val=""/>
      <w:lvlJc w:val="left"/>
      <w:pPr>
        <w:tabs>
          <w:tab w:val="num" w:pos="6117"/>
        </w:tabs>
        <w:ind w:left="6117" w:hanging="360"/>
      </w:pPr>
      <w:rPr>
        <w:rFonts w:ascii="Symbol" w:hAnsi="Symbol" w:hint="default"/>
      </w:rPr>
    </w:lvl>
    <w:lvl w:ilvl="7" w:tplc="4F5E3E34" w:tentative="1">
      <w:start w:val="1"/>
      <w:numFmt w:val="bullet"/>
      <w:lvlText w:val="o"/>
      <w:lvlJc w:val="left"/>
      <w:pPr>
        <w:tabs>
          <w:tab w:val="num" w:pos="6837"/>
        </w:tabs>
        <w:ind w:left="6837" w:hanging="360"/>
      </w:pPr>
      <w:rPr>
        <w:rFonts w:ascii="Courier New" w:hAnsi="Courier New" w:cs="Courier New" w:hint="default"/>
      </w:rPr>
    </w:lvl>
    <w:lvl w:ilvl="8" w:tplc="B44E8F58"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78585F3A">
      <w:start w:val="1"/>
      <w:numFmt w:val="decimal"/>
      <w:pStyle w:val="ATSNumber2"/>
      <w:lvlText w:val="%1."/>
      <w:lvlJc w:val="left"/>
      <w:pPr>
        <w:tabs>
          <w:tab w:val="num" w:pos="720"/>
        </w:tabs>
        <w:ind w:left="720" w:hanging="360"/>
      </w:pPr>
      <w:rPr>
        <w:rFonts w:hint="default"/>
      </w:rPr>
    </w:lvl>
    <w:lvl w:ilvl="1" w:tplc="A1444548" w:tentative="1">
      <w:start w:val="1"/>
      <w:numFmt w:val="lowerLetter"/>
      <w:lvlText w:val="%2."/>
      <w:lvlJc w:val="left"/>
      <w:pPr>
        <w:tabs>
          <w:tab w:val="num" w:pos="1440"/>
        </w:tabs>
        <w:ind w:left="1440" w:hanging="360"/>
      </w:pPr>
    </w:lvl>
    <w:lvl w:ilvl="2" w:tplc="6D64387E" w:tentative="1">
      <w:start w:val="1"/>
      <w:numFmt w:val="lowerRoman"/>
      <w:lvlText w:val="%3."/>
      <w:lvlJc w:val="right"/>
      <w:pPr>
        <w:tabs>
          <w:tab w:val="num" w:pos="2160"/>
        </w:tabs>
        <w:ind w:left="2160" w:hanging="180"/>
      </w:pPr>
    </w:lvl>
    <w:lvl w:ilvl="3" w:tplc="A926B100" w:tentative="1">
      <w:start w:val="1"/>
      <w:numFmt w:val="decimal"/>
      <w:lvlText w:val="%4."/>
      <w:lvlJc w:val="left"/>
      <w:pPr>
        <w:tabs>
          <w:tab w:val="num" w:pos="2880"/>
        </w:tabs>
        <w:ind w:left="2880" w:hanging="360"/>
      </w:pPr>
    </w:lvl>
    <w:lvl w:ilvl="4" w:tplc="D6AE4CCA" w:tentative="1">
      <w:start w:val="1"/>
      <w:numFmt w:val="lowerLetter"/>
      <w:lvlText w:val="%5."/>
      <w:lvlJc w:val="left"/>
      <w:pPr>
        <w:tabs>
          <w:tab w:val="num" w:pos="3600"/>
        </w:tabs>
        <w:ind w:left="3600" w:hanging="360"/>
      </w:pPr>
    </w:lvl>
    <w:lvl w:ilvl="5" w:tplc="6C069666" w:tentative="1">
      <w:start w:val="1"/>
      <w:numFmt w:val="lowerRoman"/>
      <w:lvlText w:val="%6."/>
      <w:lvlJc w:val="right"/>
      <w:pPr>
        <w:tabs>
          <w:tab w:val="num" w:pos="4320"/>
        </w:tabs>
        <w:ind w:left="4320" w:hanging="180"/>
      </w:pPr>
    </w:lvl>
    <w:lvl w:ilvl="6" w:tplc="3466B806" w:tentative="1">
      <w:start w:val="1"/>
      <w:numFmt w:val="decimal"/>
      <w:lvlText w:val="%7."/>
      <w:lvlJc w:val="left"/>
      <w:pPr>
        <w:tabs>
          <w:tab w:val="num" w:pos="5040"/>
        </w:tabs>
        <w:ind w:left="5040" w:hanging="360"/>
      </w:pPr>
    </w:lvl>
    <w:lvl w:ilvl="7" w:tplc="62D0231E" w:tentative="1">
      <w:start w:val="1"/>
      <w:numFmt w:val="lowerLetter"/>
      <w:lvlText w:val="%8."/>
      <w:lvlJc w:val="left"/>
      <w:pPr>
        <w:tabs>
          <w:tab w:val="num" w:pos="5760"/>
        </w:tabs>
        <w:ind w:left="5760" w:hanging="360"/>
      </w:pPr>
    </w:lvl>
    <w:lvl w:ilvl="8" w:tplc="865AC9CA" w:tentative="1">
      <w:start w:val="1"/>
      <w:numFmt w:val="lowerRoman"/>
      <w:lvlText w:val="%9."/>
      <w:lvlJc w:val="right"/>
      <w:pPr>
        <w:tabs>
          <w:tab w:val="num" w:pos="6480"/>
        </w:tabs>
        <w:ind w:left="6480" w:hanging="180"/>
      </w:pPr>
    </w:lvl>
  </w:abstractNum>
  <w:num w:numId="1" w16cid:durableId="656423262">
    <w:abstractNumId w:val="9"/>
  </w:num>
  <w:num w:numId="2" w16cid:durableId="989870966">
    <w:abstractNumId w:val="7"/>
  </w:num>
  <w:num w:numId="3" w16cid:durableId="978147035">
    <w:abstractNumId w:val="6"/>
  </w:num>
  <w:num w:numId="4" w16cid:durableId="44917197">
    <w:abstractNumId w:val="5"/>
  </w:num>
  <w:num w:numId="5" w16cid:durableId="838424013">
    <w:abstractNumId w:val="4"/>
  </w:num>
  <w:num w:numId="6" w16cid:durableId="503741099">
    <w:abstractNumId w:val="8"/>
  </w:num>
  <w:num w:numId="7" w16cid:durableId="1031960168">
    <w:abstractNumId w:val="3"/>
  </w:num>
  <w:num w:numId="8" w16cid:durableId="1992706335">
    <w:abstractNumId w:val="2"/>
  </w:num>
  <w:num w:numId="9" w16cid:durableId="844707141">
    <w:abstractNumId w:val="1"/>
  </w:num>
  <w:num w:numId="10" w16cid:durableId="137039191">
    <w:abstractNumId w:val="0"/>
  </w:num>
  <w:num w:numId="11" w16cid:durableId="632059193">
    <w:abstractNumId w:val="11"/>
  </w:num>
  <w:num w:numId="12" w16cid:durableId="1201282219">
    <w:abstractNumId w:val="17"/>
  </w:num>
  <w:num w:numId="13" w16cid:durableId="1306397048">
    <w:abstractNumId w:val="16"/>
  </w:num>
  <w:num w:numId="14" w16cid:durableId="2020082790">
    <w:abstractNumId w:val="13"/>
  </w:num>
  <w:num w:numId="15" w16cid:durableId="1602756418">
    <w:abstractNumId w:val="15"/>
  </w:num>
  <w:num w:numId="16" w16cid:durableId="1023239041">
    <w:abstractNumId w:val="10"/>
  </w:num>
  <w:num w:numId="17" w16cid:durableId="871115293">
    <w:abstractNumId w:val="11"/>
  </w:num>
  <w:num w:numId="18" w16cid:durableId="2110005878">
    <w:abstractNumId w:val="17"/>
  </w:num>
  <w:num w:numId="19" w16cid:durableId="391121547">
    <w:abstractNumId w:val="16"/>
  </w:num>
  <w:num w:numId="20" w16cid:durableId="54397067">
    <w:abstractNumId w:val="18"/>
  </w:num>
  <w:num w:numId="21" w16cid:durableId="1958756790">
    <w:abstractNumId w:val="14"/>
  </w:num>
  <w:num w:numId="22" w16cid:durableId="4960708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40"/>
    <w:rsid w:val="005F081F"/>
    <w:rsid w:val="007E54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3C1C06"/>
  <w15:chartTrackingRefBased/>
  <w15:docId w15:val="{5FE293F0-DE30-4759-A01D-0E3D0B9C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footnote reference"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5F081F"/>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unwto.org/news/vaccines-and-reopen-borders-driving-tourism-s-recovery%23:~:text=International%20tourism%20enjoyed%20signs%20of,many%20parts%20of%20the%20world." TargetMode="External"/><Relationship Id="rId2" Type="http://schemas.openxmlformats.org/officeDocument/2006/relationships/numbering" Target="numbering.xml"/><Relationship Id="rId16" Type="http://schemas.openxmlformats.org/officeDocument/2006/relationships/hyperlink" Target="https://www.unwto.org/news/2020-worst-year-in-tourism-history-with-1-billion-fewer-international-arriva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ricar\Downloads\robbreport.com\travel\destinations\antarctica-cruise-tennis-match-mcenroe-1234651788\"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obbreport.com/motors/aviation/airbus-a340-aircraft-lands-antarctica-first-time-123464990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1311</Words>
  <Characters>8893</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2022-04-25T13:09:00Z</dcterms:modified>
</cp:coreProperties>
</file>