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40AA6" w14:textId="77777777" w:rsidR="00C26F2D" w:rsidRPr="00BF077B" w:rsidRDefault="00770306" w:rsidP="00BF077B">
      <w:pPr>
        <w:pStyle w:val="ATSNormal"/>
        <w:rPr>
          <w:rStyle w:val="Ttulodellibro"/>
        </w:rPr>
      </w:pPr>
    </w:p>
    <w:p w14:paraId="4EA96596" w14:textId="77777777" w:rsidR="002F0A13" w:rsidRDefault="00770306" w:rsidP="004B4A60">
      <w:pPr>
        <w:rPr>
          <w:b/>
          <w:u w:val="single"/>
          <w:lang w:val="es-ES_tradnl"/>
        </w:rPr>
      </w:pPr>
    </w:p>
    <w:p w14:paraId="53AAF8D1" w14:textId="77777777" w:rsidR="002F0A13" w:rsidRDefault="00770306" w:rsidP="004B4A60">
      <w:pPr>
        <w:rPr>
          <w:b/>
          <w:u w:val="single"/>
          <w:lang w:val="es-ES_tradnl"/>
        </w:rPr>
      </w:pPr>
    </w:p>
    <w:p w14:paraId="61185525" w14:textId="77777777" w:rsidR="002F0A13" w:rsidRDefault="00770306" w:rsidP="004B4A60">
      <w:pPr>
        <w:rPr>
          <w:b/>
          <w:u w:val="single"/>
          <w:lang w:val="es-ES_tradnl"/>
        </w:rPr>
      </w:pPr>
    </w:p>
    <w:p w14:paraId="7D8769DE" w14:textId="77777777" w:rsidR="002F0A13" w:rsidRDefault="00770306" w:rsidP="004B4A60">
      <w:pPr>
        <w:rPr>
          <w:b/>
          <w:u w:val="single"/>
          <w:lang w:val="es-ES_tradnl"/>
        </w:rPr>
      </w:pPr>
    </w:p>
    <w:p w14:paraId="4EF56C66" w14:textId="77777777" w:rsidR="00C26F2D" w:rsidRDefault="00770306" w:rsidP="004B4A60">
      <w:pPr>
        <w:rPr>
          <w:b/>
          <w:u w:val="single"/>
          <w:lang w:val="es-ES_tradnl"/>
        </w:rPr>
      </w:pPr>
    </w:p>
    <w:p w14:paraId="384C5D8C" w14:textId="77777777" w:rsidR="004B4A60" w:rsidRPr="0057246E" w:rsidRDefault="00770306" w:rsidP="001B789F">
      <w:pPr>
        <w:pStyle w:val="ATSTitle"/>
      </w:pPr>
      <w:bookmarkStart w:id="0" w:name="name"/>
      <w:r>
        <w:t>The Southern Ocean contribution to the United Nations Decade of Ocean Science for Sustainable Development</w:t>
      </w:r>
      <w:bookmarkEnd w:id="0"/>
    </w:p>
    <w:p w14:paraId="64AD8B30" w14:textId="77777777" w:rsidR="004B4A60" w:rsidRPr="0057246E" w:rsidRDefault="00770306" w:rsidP="00F75424">
      <w:pPr>
        <w:jc w:val="center"/>
      </w:pPr>
    </w:p>
    <w:p w14:paraId="70C1ADA4" w14:textId="77777777" w:rsidR="004B4A60" w:rsidRPr="002F0A13" w:rsidRDefault="00770306" w:rsidP="002F0A13"/>
    <w:p w14:paraId="512F5A6C" w14:textId="77777777" w:rsidR="004B4A60" w:rsidRDefault="00770306" w:rsidP="00F75424">
      <w:pPr>
        <w:jc w:val="center"/>
      </w:pPr>
      <w:bookmarkStart w:id="1" w:name="memo"/>
      <w:bookmarkEnd w:id="1"/>
    </w:p>
    <w:p w14:paraId="20ACC62A" w14:textId="77777777" w:rsidR="0097629D" w:rsidRDefault="00770306" w:rsidP="00F75424">
      <w:pPr>
        <w:jc w:val="center"/>
      </w:pPr>
    </w:p>
    <w:p w14:paraId="1F3B0670" w14:textId="77777777" w:rsidR="0097629D" w:rsidRDefault="00770306" w:rsidP="00F75424">
      <w:pPr>
        <w:jc w:val="center"/>
      </w:pPr>
    </w:p>
    <w:p w14:paraId="3672AD9C" w14:textId="77777777" w:rsidR="0097629D" w:rsidRDefault="00770306" w:rsidP="00F75424">
      <w:pPr>
        <w:jc w:val="center"/>
      </w:pPr>
    </w:p>
    <w:p w14:paraId="687B18FB" w14:textId="77777777" w:rsidR="0097629D" w:rsidRPr="00C26F2D" w:rsidRDefault="00770306" w:rsidP="00F75424">
      <w:pPr>
        <w:jc w:val="center"/>
      </w:pPr>
    </w:p>
    <w:p w14:paraId="557A30D2" w14:textId="77777777" w:rsidR="004B4A60" w:rsidRPr="0057246E" w:rsidRDefault="00770306" w:rsidP="004B4A60"/>
    <w:p w14:paraId="4BAFC7BF" w14:textId="77777777" w:rsidR="00C26F2D" w:rsidRDefault="00770306"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318ED3F6" w14:textId="4218A938" w:rsidR="004B4A60" w:rsidRDefault="00770306" w:rsidP="00952E9F"/>
    <w:p w14:paraId="65FA75DB" w14:textId="77777777" w:rsidR="00770306" w:rsidRPr="0057246E" w:rsidRDefault="00770306" w:rsidP="00770306">
      <w:pPr>
        <w:pStyle w:val="ATSHeading1"/>
      </w:pPr>
      <w:r w:rsidRPr="00ED46DA">
        <w:t>The Southern Ocean contribution to the United Nations Decade of Ocean Science for Sustainable Development</w:t>
      </w:r>
    </w:p>
    <w:p w14:paraId="5488499E" w14:textId="77777777" w:rsidR="00770306" w:rsidRPr="008266A5" w:rsidRDefault="00770306" w:rsidP="00770306">
      <w:pPr>
        <w:pStyle w:val="ATSHeading2"/>
        <w:jc w:val="center"/>
      </w:pPr>
      <w:r>
        <w:t>Information Paper submitted by SCAR, Belgium, IAATO, the Netherlands and WMO</w:t>
      </w:r>
    </w:p>
    <w:p w14:paraId="0B7D244B" w14:textId="77777777" w:rsidR="00770306" w:rsidRPr="00620E7F" w:rsidRDefault="00770306" w:rsidP="00770306">
      <w:pPr>
        <w:pStyle w:val="ATSNormal"/>
        <w:jc w:val="center"/>
        <w:rPr>
          <w:b/>
        </w:rPr>
      </w:pPr>
      <w:r w:rsidRPr="008266A5">
        <w:rPr>
          <w:b/>
        </w:rPr>
        <w:t>on behalf of the Southern Ocean Task Force (coordinated by SCAR, and including the SCAR Antarctic Biodiversity Portal, SOOS, ICED, SCOR, EPB, IODE, IAATO, WCRP, CLIVAR, SORP, NIOZ, PewTrusts, WWF, RBINS and BELSPO</w:t>
      </w:r>
      <w:r w:rsidRPr="008266A5">
        <w:rPr>
          <w:b/>
          <w:vertAlign w:val="superscript"/>
        </w:rPr>
        <w:t>1</w:t>
      </w:r>
      <w:r w:rsidRPr="008266A5">
        <w:rPr>
          <w:b/>
        </w:rPr>
        <w:t>)</w:t>
      </w:r>
    </w:p>
    <w:p w14:paraId="5AE60851" w14:textId="77777777" w:rsidR="00770306" w:rsidRPr="00EA4CA7" w:rsidRDefault="00770306" w:rsidP="00770306">
      <w:pPr>
        <w:pStyle w:val="ATSHeading2"/>
      </w:pPr>
      <w:r w:rsidRPr="00EA4CA7">
        <w:t>Background</w:t>
      </w:r>
    </w:p>
    <w:p w14:paraId="45D9F8AC" w14:textId="77777777" w:rsidR="00770306" w:rsidRPr="007767C1" w:rsidRDefault="00770306" w:rsidP="00770306">
      <w:pPr>
        <w:pStyle w:val="ATSNormal"/>
      </w:pPr>
      <w:r w:rsidRPr="002A4B9B">
        <w:t xml:space="preserve">In 2017, the United Nations proclaimed a </w:t>
      </w:r>
      <w:hyperlink r:id="rId14" w:history="1">
        <w:r w:rsidRPr="002A4B9B">
          <w:rPr>
            <w:rStyle w:val="Hipervnculo"/>
          </w:rPr>
          <w:t>Decade of Ocean Science for Sustainable Development</w:t>
        </w:r>
      </w:hyperlink>
      <w:r w:rsidRPr="002A4B9B">
        <w:t xml:space="preserve"> (hereafter referred to as the UN Ocean Decade) from 2021 until 2030 to support efforts to reverse the cycle of decline in ocean health. </w:t>
      </w:r>
      <w:r>
        <w:t xml:space="preserve"> </w:t>
      </w:r>
      <w:r w:rsidRPr="002A4B9B">
        <w:t xml:space="preserve">To achieve this ambitious goal, this initiative aims to gather ocean stakeholders worldwide behind a common framework that will ensure ocean science can fully support countries in creating improved conditions for sustainable development of the world’s oceans. </w:t>
      </w:r>
      <w:r>
        <w:t xml:space="preserve"> </w:t>
      </w:r>
      <w:r w:rsidRPr="002A4B9B">
        <w:t xml:space="preserve">The initiative strives to strengthen the international cooperation needed to develop the scientific research and innovative technologies that can connect ocean science with the needs of society at the global scale. </w:t>
      </w:r>
    </w:p>
    <w:p w14:paraId="5625B1E1" w14:textId="77777777" w:rsidR="00770306" w:rsidRDefault="00770306" w:rsidP="00770306">
      <w:pPr>
        <w:pStyle w:val="ATSHeading2"/>
        <w:rPr>
          <w:lang w:val="en-US"/>
        </w:rPr>
      </w:pPr>
      <w:r w:rsidRPr="00B90037">
        <w:rPr>
          <w:lang w:val="en-US"/>
        </w:rPr>
        <w:t>The need for a Southern Ocean Action Plan</w:t>
      </w:r>
    </w:p>
    <w:p w14:paraId="7F25E4F1" w14:textId="77777777" w:rsidR="00770306" w:rsidRDefault="00770306" w:rsidP="00770306">
      <w:pPr>
        <w:pStyle w:val="ATSNormal"/>
        <w:rPr>
          <w:lang w:val="en-US"/>
        </w:rPr>
      </w:pPr>
      <w:r w:rsidRPr="00F72B5A">
        <w:rPr>
          <w:lang w:val="en-US"/>
        </w:rPr>
        <w:t xml:space="preserve">In the Southern Ocean, human presence, and the combined effects of various forms of pollution, transport, infrastructure, and the </w:t>
      </w:r>
      <w:r>
        <w:rPr>
          <w:lang w:val="en-US"/>
        </w:rPr>
        <w:t xml:space="preserve">use </w:t>
      </w:r>
      <w:r w:rsidRPr="00F72B5A">
        <w:rPr>
          <w:lang w:val="en-US"/>
        </w:rPr>
        <w:t xml:space="preserve">of living resources, together with accelerated climate change at high latitudes, are exerting increasing pressures on the environment. </w:t>
      </w:r>
      <w:r>
        <w:rPr>
          <w:lang w:val="en-US"/>
        </w:rPr>
        <w:t xml:space="preserve"> </w:t>
      </w:r>
      <w:r w:rsidRPr="00F72B5A">
        <w:rPr>
          <w:lang w:val="en-US"/>
        </w:rPr>
        <w:t xml:space="preserve">These changes have the potential to alter the role of the Antarctic and Southern Ocean in regulating global climate and other systems, as well as impacting a host of other important ecosystem services. </w:t>
      </w:r>
      <w:r>
        <w:rPr>
          <w:lang w:val="en-US"/>
        </w:rPr>
        <w:t xml:space="preserve"> </w:t>
      </w:r>
      <w:r w:rsidRPr="00F72B5A">
        <w:rPr>
          <w:lang w:val="en-US"/>
        </w:rPr>
        <w:t>Being well adapted to stable environmental conditions, with unique traits, Antarctic species are considered more vulnerable to environmental perturbations and pollutants, compared to species from more northerly latitudes.</w:t>
      </w:r>
    </w:p>
    <w:p w14:paraId="6BCCFA71" w14:textId="77777777" w:rsidR="00770306" w:rsidRPr="00F72B5A" w:rsidRDefault="00770306" w:rsidP="00770306">
      <w:pPr>
        <w:pStyle w:val="ATSNormal"/>
        <w:rPr>
          <w:lang w:val="en-US"/>
        </w:rPr>
      </w:pPr>
      <w:r w:rsidRPr="00F72B5A">
        <w:rPr>
          <w:lang w:val="en-US"/>
        </w:rPr>
        <w:t>Since the Southern Ocean community of stakeholders is globally unique in its operation within the Antarctic Treaty System,</w:t>
      </w:r>
      <w:r>
        <w:rPr>
          <w:lang w:val="en-US"/>
        </w:rPr>
        <w:t xml:space="preserve"> </w:t>
      </w:r>
      <w:r w:rsidRPr="00F72B5A">
        <w:rPr>
          <w:lang w:val="en-US"/>
        </w:rPr>
        <w:t>which</w:t>
      </w:r>
      <w:r>
        <w:rPr>
          <w:lang w:val="en-US"/>
        </w:rPr>
        <w:t xml:space="preserve"> </w:t>
      </w:r>
      <w:r w:rsidRPr="00F72B5A">
        <w:rPr>
          <w:lang w:val="en-US"/>
        </w:rPr>
        <w:t>is</w:t>
      </w:r>
      <w:r>
        <w:rPr>
          <w:lang w:val="en-US"/>
        </w:rPr>
        <w:t xml:space="preserve"> </w:t>
      </w:r>
      <w:r w:rsidRPr="00F72B5A">
        <w:rPr>
          <w:lang w:val="en-US"/>
        </w:rPr>
        <w:t>based</w:t>
      </w:r>
      <w:r>
        <w:rPr>
          <w:lang w:val="en-US"/>
        </w:rPr>
        <w:t xml:space="preserve"> </w:t>
      </w:r>
      <w:r w:rsidRPr="00F72B5A">
        <w:rPr>
          <w:lang w:val="en-US"/>
        </w:rPr>
        <w:t>entirely</w:t>
      </w:r>
      <w:r>
        <w:rPr>
          <w:lang w:val="en-US"/>
        </w:rPr>
        <w:t xml:space="preserve"> </w:t>
      </w:r>
      <w:r w:rsidRPr="00F72B5A">
        <w:rPr>
          <w:lang w:val="en-US"/>
        </w:rPr>
        <w:t>on</w:t>
      </w:r>
      <w:r>
        <w:rPr>
          <w:lang w:val="en-US"/>
        </w:rPr>
        <w:t xml:space="preserve"> </w:t>
      </w:r>
      <w:r w:rsidRPr="00F72B5A">
        <w:rPr>
          <w:lang w:val="en-US"/>
        </w:rPr>
        <w:t>scientific</w:t>
      </w:r>
      <w:r>
        <w:rPr>
          <w:lang w:val="en-US"/>
        </w:rPr>
        <w:t xml:space="preserve"> </w:t>
      </w:r>
      <w:r w:rsidRPr="00F72B5A">
        <w:rPr>
          <w:lang w:val="en-US"/>
        </w:rPr>
        <w:t xml:space="preserve">understanding and environmental protection, it is imperative to strengthen international collaborations to increase scientific understanding of the Antarctic region. </w:t>
      </w:r>
      <w:r>
        <w:rPr>
          <w:lang w:val="en-US"/>
        </w:rPr>
        <w:t xml:space="preserve"> </w:t>
      </w:r>
      <w:r w:rsidRPr="00F72B5A">
        <w:rPr>
          <w:lang w:val="en-US"/>
        </w:rPr>
        <w:t xml:space="preserve">Underlying the UN Ocean Decade is the need for data management to </w:t>
      </w:r>
      <w:r>
        <w:rPr>
          <w:lang w:val="en-US"/>
        </w:rPr>
        <w:t xml:space="preserve">be </w:t>
      </w:r>
      <w:r w:rsidRPr="00F72B5A">
        <w:rPr>
          <w:lang w:val="en-US"/>
        </w:rPr>
        <w:t>align</w:t>
      </w:r>
      <w:r>
        <w:rPr>
          <w:lang w:val="en-US"/>
        </w:rPr>
        <w:t>ed</w:t>
      </w:r>
      <w:r w:rsidRPr="00F72B5A">
        <w:rPr>
          <w:lang w:val="en-US"/>
        </w:rPr>
        <w:t xml:space="preserve"> with the FAIR (Findable, Accessible, Interoperable, Reusable) principles to achieve the ambitious data objectives of the UN Ocean Decade.</w:t>
      </w:r>
    </w:p>
    <w:p w14:paraId="31B0BBDC" w14:textId="77777777" w:rsidR="00770306" w:rsidRPr="00F72B5A" w:rsidRDefault="00770306" w:rsidP="00770306">
      <w:pPr>
        <w:pStyle w:val="ATSNormal"/>
        <w:rPr>
          <w:lang w:val="en-US"/>
        </w:rPr>
      </w:pPr>
      <w:r w:rsidRPr="00F72B5A">
        <w:rPr>
          <w:lang w:val="en-US"/>
        </w:rPr>
        <w:t xml:space="preserve">The UN Ocean Decade Societal Outcomes align strongly with the remit of the Antarctic Treaty and its Committee for Environmental Protection. </w:t>
      </w:r>
      <w:r>
        <w:rPr>
          <w:lang w:val="en-US"/>
        </w:rPr>
        <w:t xml:space="preserve"> </w:t>
      </w:r>
      <w:r w:rsidRPr="00F72B5A">
        <w:rPr>
          <w:lang w:val="en-US"/>
        </w:rPr>
        <w:t>The Southern Ocean community therefore recognises the need to develop and implement a coordinated, international plan that builds on our existing understanding of how human interaction with the Southern Ocean can benefit people and societies in ways that will also contribute to the protection and conservation of the unique characteristics of these regions.</w:t>
      </w:r>
    </w:p>
    <w:p w14:paraId="6423B5AB" w14:textId="77777777" w:rsidR="00770306" w:rsidRPr="007767C1" w:rsidRDefault="00770306" w:rsidP="00770306">
      <w:pPr>
        <w:pStyle w:val="ATSNormal"/>
        <w:rPr>
          <w:lang w:val="en-US"/>
        </w:rPr>
      </w:pPr>
      <w:r w:rsidRPr="00F72B5A">
        <w:rPr>
          <w:lang w:val="en-US"/>
        </w:rPr>
        <w:t>The Southern Ocean Action Plan will, as part of the UN Ocean Decade, deliver in achieving the UN Agenda 2030 and its Sustainable Development Goals (SDGs) in a polar context.</w:t>
      </w:r>
    </w:p>
    <w:p w14:paraId="48FD5DA7" w14:textId="77777777" w:rsidR="00770306" w:rsidRPr="00B90037" w:rsidRDefault="00770306" w:rsidP="00770306">
      <w:pPr>
        <w:pStyle w:val="ATSHeading2"/>
        <w:rPr>
          <w:lang w:val="en-US"/>
        </w:rPr>
      </w:pPr>
      <w:r w:rsidRPr="00B90037">
        <w:rPr>
          <w:lang w:val="en-US"/>
        </w:rPr>
        <w:t xml:space="preserve">The Southern Ocean </w:t>
      </w:r>
      <w:r>
        <w:rPr>
          <w:lang w:val="en-US"/>
        </w:rPr>
        <w:t>Action Plan process</w:t>
      </w:r>
    </w:p>
    <w:p w14:paraId="3AFEA529" w14:textId="77777777" w:rsidR="00770306" w:rsidRPr="002A4B9B" w:rsidRDefault="00770306" w:rsidP="00770306">
      <w:pPr>
        <w:pStyle w:val="ATSNormal"/>
      </w:pPr>
      <w:r w:rsidRPr="002A4B9B">
        <w:t xml:space="preserve">Based on the recommendations in the Implementation Plan of the United Nations Decade of Ocean Science for Sustainable Development (Version 2.0, July 2021), the Southern Ocean </w:t>
      </w:r>
      <w:r w:rsidRPr="002A4B9B">
        <w:lastRenderedPageBreak/>
        <w:t xml:space="preserve">community engaged in a stakeholder-oriented process to develop the </w:t>
      </w:r>
      <w:hyperlink r:id="rId15" w:history="1">
        <w:r w:rsidRPr="002A259A">
          <w:rPr>
            <w:rStyle w:val="Hipervnculo"/>
          </w:rPr>
          <w:t>Southern Ocean Action Plan</w:t>
        </w:r>
      </w:hyperlink>
      <w:r w:rsidRPr="002A4B9B">
        <w:t xml:space="preserve">. </w:t>
      </w:r>
      <w:r>
        <w:t xml:space="preserve">This </w:t>
      </w:r>
      <w:r w:rsidRPr="002A4B9B">
        <w:t xml:space="preserve">process engaged a broad community, which includes the scientific research community, the business and industry sector, and </w:t>
      </w:r>
      <w:r>
        <w:t xml:space="preserve">national and international </w:t>
      </w:r>
      <w:r w:rsidRPr="002A4B9B">
        <w:t xml:space="preserve">management bodies. </w:t>
      </w:r>
      <w:r w:rsidRPr="005A573E">
        <w:t>This inclusive approach is a key pillar of the Southern Ocean contributi</w:t>
      </w:r>
      <w:r>
        <w:t>on to the UN Ocean Decade</w:t>
      </w:r>
      <w:r w:rsidRPr="005A573E">
        <w:t xml:space="preserve"> and will be prioritised throughout its implementation.</w:t>
      </w:r>
    </w:p>
    <w:p w14:paraId="5612F966" w14:textId="77777777" w:rsidR="00770306" w:rsidRDefault="00770306" w:rsidP="00770306">
      <w:pPr>
        <w:pStyle w:val="ATSNormal"/>
      </w:pPr>
      <w:r w:rsidRPr="002A4B9B">
        <w:t xml:space="preserve">As part of this global effort, the </w:t>
      </w:r>
      <w:hyperlink r:id="rId16" w:history="1">
        <w:r w:rsidRPr="002A4B9B">
          <w:rPr>
            <w:rStyle w:val="Hipervnculo"/>
          </w:rPr>
          <w:t>Southern Ocean Task Force</w:t>
        </w:r>
      </w:hyperlink>
      <w:r w:rsidRPr="002A4B9B">
        <w:t xml:space="preserve"> </w:t>
      </w:r>
      <w:r>
        <w:t>(coordinated by SCAR, and including the SCAR Antarctic Biodiversity Portal, SOOS, ICED, SCOR, EPB, IODE, IAATO, CLIVAR, WCRP, SORP, NIOZ, PewTrusts, WWF, RBINS and BELSPO</w:t>
      </w:r>
      <w:r>
        <w:rPr>
          <w:rStyle w:val="Refdenotaalpie"/>
        </w:rPr>
        <w:footnoteReference w:id="1"/>
      </w:r>
      <w:r>
        <w:t xml:space="preserve">) </w:t>
      </w:r>
      <w:r w:rsidRPr="002A4B9B">
        <w:t xml:space="preserve">identified the needs of the Southern Ocean community to address the challenges related to the unique environmental characteristics and governance structure of the Southern Ocean. </w:t>
      </w:r>
      <w:r>
        <w:t xml:space="preserve"> </w:t>
      </w:r>
      <w:r w:rsidRPr="002A4B9B">
        <w:t xml:space="preserve">Through this community-driven process, we identified synergies within the Southern Ocean community and beyond in order to elaborate an Action Plan that provides a framework for Southern Ocean stakeholders to formulate and develop tangible actions and deliverables that support the </w:t>
      </w:r>
      <w:hyperlink r:id="rId17" w:anchor="top_of_page" w:history="1">
        <w:r w:rsidRPr="002A4B9B">
          <w:rPr>
            <w:rStyle w:val="Hipervnculo"/>
          </w:rPr>
          <w:t>UN Ocean Decade vision</w:t>
        </w:r>
      </w:hyperlink>
      <w:r w:rsidRPr="002A4B9B">
        <w:t xml:space="preserve">. </w:t>
      </w:r>
    </w:p>
    <w:p w14:paraId="30F6A049" w14:textId="77777777" w:rsidR="00770306" w:rsidRPr="007767C1" w:rsidRDefault="00770306" w:rsidP="00770306">
      <w:pPr>
        <w:pStyle w:val="ATSNormal"/>
      </w:pPr>
      <w:r w:rsidRPr="003609F1">
        <w:rPr>
          <w:lang w:val="en-US"/>
        </w:rPr>
        <w:t xml:space="preserve">The </w:t>
      </w:r>
      <w:r>
        <w:rPr>
          <w:lang w:val="en-US"/>
        </w:rPr>
        <w:t xml:space="preserve">Southern Ocean </w:t>
      </w:r>
      <w:r w:rsidRPr="003609F1">
        <w:rPr>
          <w:lang w:val="en-US"/>
        </w:rPr>
        <w:t>process</w:t>
      </w:r>
      <w:r w:rsidRPr="005A573E">
        <w:t xml:space="preserve"> shed</w:t>
      </w:r>
      <w:r>
        <w:t>s</w:t>
      </w:r>
      <w:r w:rsidRPr="005A573E">
        <w:t xml:space="preserve"> light on the cross-cutting nature of constraints affecting the management of, and activities within, the Southern Ocean, and the resulting mismatch between the needs of society and research interests and outputs.</w:t>
      </w:r>
      <w:r>
        <w:t xml:space="preserve">  These include the need for </w:t>
      </w:r>
      <w:r w:rsidRPr="005A573E">
        <w:t xml:space="preserve">(i) </w:t>
      </w:r>
      <w:r>
        <w:t>more and better-</w:t>
      </w:r>
      <w:r w:rsidRPr="005A573E">
        <w:t xml:space="preserve">coordinated research facilities, (ii) </w:t>
      </w:r>
      <w:r>
        <w:t>increased</w:t>
      </w:r>
      <w:r w:rsidRPr="005A573E">
        <w:t xml:space="preserve"> access to data, infrastructure and resources, and (iii) </w:t>
      </w:r>
      <w:r>
        <w:t>improved efficiency of</w:t>
      </w:r>
      <w:r w:rsidRPr="005A573E">
        <w:t xml:space="preserve"> mechanisms for collaborations between different sectors (academia, government, industry, </w:t>
      </w:r>
      <w:r w:rsidRPr="000470EF">
        <w:rPr>
          <w:iCs/>
        </w:rPr>
        <w:t>etc</w:t>
      </w:r>
      <w:r w:rsidRPr="000470EF">
        <w:t>.</w:t>
      </w:r>
      <w:r w:rsidRPr="005A573E">
        <w:t xml:space="preserve">) </w:t>
      </w:r>
    </w:p>
    <w:p w14:paraId="006FEF62" w14:textId="77777777" w:rsidR="00770306" w:rsidRPr="00B90037" w:rsidRDefault="00770306" w:rsidP="00770306">
      <w:pPr>
        <w:pStyle w:val="ATSHeading2"/>
        <w:rPr>
          <w:lang w:val="en-US"/>
        </w:rPr>
      </w:pPr>
      <w:r w:rsidRPr="00B90037">
        <w:rPr>
          <w:lang w:val="en-US"/>
        </w:rPr>
        <w:t xml:space="preserve">The </w:t>
      </w:r>
      <w:r>
        <w:rPr>
          <w:lang w:val="en-US"/>
        </w:rPr>
        <w:t>way forward</w:t>
      </w:r>
    </w:p>
    <w:p w14:paraId="613F346D" w14:textId="77777777" w:rsidR="00770306" w:rsidRDefault="00770306" w:rsidP="00770306">
      <w:pPr>
        <w:pStyle w:val="ATSNormal"/>
      </w:pPr>
      <w:r w:rsidRPr="002A4B9B">
        <w:t xml:space="preserve">Through the publication of </w:t>
      </w:r>
      <w:r w:rsidRPr="0049132A">
        <w:rPr>
          <w:lang w:val="en-US"/>
        </w:rPr>
        <w:t>the Southern Ocean</w:t>
      </w:r>
      <w:r w:rsidRPr="002A4B9B">
        <w:t xml:space="preserve"> Action Plan</w:t>
      </w:r>
      <w:r w:rsidRPr="00F52CC2">
        <w:rPr>
          <w:lang w:val="en-US"/>
        </w:rPr>
        <w:t xml:space="preserve"> </w:t>
      </w:r>
      <w:r w:rsidRPr="0049132A">
        <w:rPr>
          <w:lang w:val="en-US"/>
        </w:rPr>
        <w:t>in April 2022</w:t>
      </w:r>
      <w:r w:rsidRPr="002A4B9B">
        <w:t>, the Southern Ocean Task Force aims to mobilise the Southern</w:t>
      </w:r>
      <w:r w:rsidRPr="0049132A">
        <w:rPr>
          <w:lang w:val="en-US"/>
        </w:rPr>
        <w:t xml:space="preserve"> </w:t>
      </w:r>
      <w:r w:rsidRPr="002A4B9B">
        <w:t xml:space="preserve">Ocean community and inspire all stakeholders to seek engagement and leverage opportunities to deliver innovative solutions that maintain and foster the unique conditions of the Southern Ocean. </w:t>
      </w:r>
      <w:r>
        <w:t xml:space="preserve"> </w:t>
      </w:r>
      <w:r w:rsidRPr="002A4B9B">
        <w:t xml:space="preserve">This framework provides an initial roadmap to strengthen links between science, industry and policy, as well as to encourage internationally collaborative activities in order to address existing gaps in our knowledge and data coverage. </w:t>
      </w:r>
    </w:p>
    <w:p w14:paraId="50CB31C8" w14:textId="77777777" w:rsidR="00770306" w:rsidRDefault="00770306" w:rsidP="00770306">
      <w:pPr>
        <w:pStyle w:val="ATSNormal"/>
      </w:pPr>
      <w:r>
        <w:t xml:space="preserve">The Southern Ocean Action Plan is available to download at: </w:t>
      </w:r>
      <w:hyperlink r:id="rId18" w:history="1">
        <w:r w:rsidRPr="009F7551">
          <w:rPr>
            <w:rStyle w:val="Hipervnculo"/>
          </w:rPr>
          <w:t>https://www.sodecade.org/action-plan/southern-ocean-action-plan/</w:t>
        </w:r>
      </w:hyperlink>
    </w:p>
    <w:p w14:paraId="4720AB5A" w14:textId="77777777" w:rsidR="00770306" w:rsidRDefault="00770306" w:rsidP="00952E9F"/>
    <w:sectPr w:rsidR="00770306" w:rsidSect="00283F0F">
      <w:headerReference w:type="default" r:id="rId19"/>
      <w:footerReference w:type="default" r:id="rId20"/>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11921" w14:textId="77777777" w:rsidR="00000000" w:rsidRDefault="00770306">
      <w:r>
        <w:separator/>
      </w:r>
    </w:p>
  </w:endnote>
  <w:endnote w:type="continuationSeparator" w:id="0">
    <w:p w14:paraId="61566FE8" w14:textId="77777777" w:rsidR="00000000" w:rsidRDefault="00770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ED234" w14:textId="77777777" w:rsidR="00FA0B9F" w:rsidRDefault="00770306" w:rsidP="00CF5C82">
    <w:pPr>
      <w:framePr w:wrap="around" w:vAnchor="text" w:hAnchor="margin" w:xAlign="right" w:y="1"/>
    </w:pPr>
    <w:r>
      <w:fldChar w:fldCharType="begin"/>
    </w:r>
    <w:r>
      <w:instrText xml:space="preserve">PAGE  </w:instrText>
    </w:r>
    <w:r>
      <w:fldChar w:fldCharType="separate"/>
    </w:r>
    <w:r>
      <w:fldChar w:fldCharType="end"/>
    </w:r>
  </w:p>
  <w:p w14:paraId="6092D6FA" w14:textId="77777777" w:rsidR="00FA0B9F" w:rsidRDefault="00770306"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5ED5B" w14:textId="77777777" w:rsidR="00FA0B9F" w:rsidRDefault="00770306"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762FACF9" w14:textId="54B671CE" w:rsidR="00FA0B9F" w:rsidRDefault="00770306"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FDBC3" w14:textId="77777777" w:rsidR="00770306" w:rsidRDefault="00770306">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20566" w14:textId="77777777" w:rsidR="00E311C9" w:rsidRDefault="00770306"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556141D" w14:textId="77777777" w:rsidR="00E311C9" w:rsidRDefault="00770306"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65B95" w14:textId="77777777" w:rsidR="00000000" w:rsidRDefault="00770306">
      <w:r>
        <w:separator/>
      </w:r>
    </w:p>
  </w:footnote>
  <w:footnote w:type="continuationSeparator" w:id="0">
    <w:p w14:paraId="7FAC2B4F" w14:textId="77777777" w:rsidR="00000000" w:rsidRDefault="00770306">
      <w:r>
        <w:continuationSeparator/>
      </w:r>
    </w:p>
  </w:footnote>
  <w:footnote w:id="1">
    <w:p w14:paraId="1E41B873" w14:textId="77777777" w:rsidR="00770306" w:rsidRPr="007767C1" w:rsidRDefault="00770306" w:rsidP="00770306">
      <w:pPr>
        <w:pStyle w:val="Textonotapie"/>
        <w:rPr>
          <w:sz w:val="20"/>
          <w:szCs w:val="20"/>
        </w:rPr>
      </w:pPr>
      <w:r w:rsidRPr="007767C1">
        <w:rPr>
          <w:rStyle w:val="Refdenotaalpie"/>
          <w:sz w:val="20"/>
          <w:szCs w:val="20"/>
        </w:rPr>
        <w:footnoteRef/>
      </w:r>
      <w:r w:rsidRPr="007767C1">
        <w:rPr>
          <w:sz w:val="20"/>
          <w:szCs w:val="20"/>
        </w:rPr>
        <w:t xml:space="preserve"> SOOS – Southern Ocean Observing System</w:t>
      </w:r>
      <w:r>
        <w:rPr>
          <w:sz w:val="20"/>
          <w:szCs w:val="20"/>
        </w:rPr>
        <w:t>;</w:t>
      </w:r>
      <w:r w:rsidRPr="007767C1">
        <w:rPr>
          <w:sz w:val="20"/>
          <w:szCs w:val="20"/>
        </w:rPr>
        <w:t xml:space="preserve"> ICED – Integrating Climate and Ecosystem Dynamics in the Southern Ocean programme</w:t>
      </w:r>
      <w:r>
        <w:rPr>
          <w:sz w:val="20"/>
          <w:szCs w:val="20"/>
        </w:rPr>
        <w:t>;</w:t>
      </w:r>
      <w:r w:rsidRPr="007767C1">
        <w:rPr>
          <w:sz w:val="20"/>
          <w:szCs w:val="20"/>
        </w:rPr>
        <w:t xml:space="preserve"> SCOR – Scientific Committee on Oceanic Research</w:t>
      </w:r>
      <w:r>
        <w:rPr>
          <w:sz w:val="20"/>
          <w:szCs w:val="20"/>
        </w:rPr>
        <w:t>;</w:t>
      </w:r>
      <w:r w:rsidRPr="007767C1">
        <w:rPr>
          <w:sz w:val="20"/>
          <w:szCs w:val="20"/>
        </w:rPr>
        <w:t xml:space="preserve"> EPB – European Polar Board</w:t>
      </w:r>
      <w:r>
        <w:rPr>
          <w:sz w:val="20"/>
          <w:szCs w:val="20"/>
        </w:rPr>
        <w:t>;</w:t>
      </w:r>
      <w:r w:rsidRPr="007767C1">
        <w:rPr>
          <w:sz w:val="20"/>
          <w:szCs w:val="20"/>
        </w:rPr>
        <w:t xml:space="preserve"> IODE – International Oceanographic Data and Information Exchange</w:t>
      </w:r>
      <w:r>
        <w:rPr>
          <w:sz w:val="20"/>
          <w:szCs w:val="20"/>
        </w:rPr>
        <w:t>;</w:t>
      </w:r>
      <w:r w:rsidRPr="007767C1">
        <w:rPr>
          <w:sz w:val="20"/>
          <w:szCs w:val="20"/>
        </w:rPr>
        <w:t xml:space="preserve"> IAATO – International Association of Antarctica Tour Operators</w:t>
      </w:r>
      <w:r>
        <w:rPr>
          <w:sz w:val="20"/>
          <w:szCs w:val="20"/>
        </w:rPr>
        <w:t>;</w:t>
      </w:r>
      <w:r w:rsidRPr="007767C1">
        <w:rPr>
          <w:sz w:val="20"/>
          <w:szCs w:val="20"/>
        </w:rPr>
        <w:t xml:space="preserve"> WCRP – World Climate Research Programme</w:t>
      </w:r>
      <w:r>
        <w:rPr>
          <w:sz w:val="20"/>
          <w:szCs w:val="20"/>
        </w:rPr>
        <w:t>;</w:t>
      </w:r>
      <w:r w:rsidRPr="007767C1">
        <w:rPr>
          <w:sz w:val="20"/>
          <w:szCs w:val="20"/>
        </w:rPr>
        <w:t xml:space="preserve"> CLIVAR – Climate and Ocean -Variability, Predictability and Change</w:t>
      </w:r>
      <w:r>
        <w:rPr>
          <w:sz w:val="20"/>
          <w:szCs w:val="20"/>
        </w:rPr>
        <w:t>;</w:t>
      </w:r>
      <w:r w:rsidRPr="007767C1">
        <w:rPr>
          <w:sz w:val="20"/>
          <w:szCs w:val="20"/>
        </w:rPr>
        <w:t xml:space="preserve"> SORP – Southern Ocean Regional Panel</w:t>
      </w:r>
      <w:r>
        <w:rPr>
          <w:sz w:val="20"/>
          <w:szCs w:val="20"/>
        </w:rPr>
        <w:t>;</w:t>
      </w:r>
      <w:r w:rsidRPr="007767C1">
        <w:rPr>
          <w:sz w:val="20"/>
          <w:szCs w:val="20"/>
        </w:rPr>
        <w:t xml:space="preserve"> NIOZ – Royal Netherlands Institute for Sea Research</w:t>
      </w:r>
      <w:r>
        <w:rPr>
          <w:sz w:val="20"/>
          <w:szCs w:val="20"/>
        </w:rPr>
        <w:t>;</w:t>
      </w:r>
      <w:r w:rsidRPr="007767C1">
        <w:rPr>
          <w:sz w:val="20"/>
          <w:szCs w:val="20"/>
        </w:rPr>
        <w:t xml:space="preserve"> WWF – World Wide Fund for Nature</w:t>
      </w:r>
      <w:r>
        <w:rPr>
          <w:sz w:val="20"/>
          <w:szCs w:val="20"/>
        </w:rPr>
        <w:t>;</w:t>
      </w:r>
      <w:r w:rsidRPr="007767C1">
        <w:rPr>
          <w:sz w:val="20"/>
          <w:szCs w:val="20"/>
        </w:rPr>
        <w:t xml:space="preserve"> RBINS – Royal Belgian Institute of Natural Sciences</w:t>
      </w:r>
      <w:r>
        <w:rPr>
          <w:sz w:val="20"/>
          <w:szCs w:val="20"/>
        </w:rPr>
        <w:t>;</w:t>
      </w:r>
      <w:r w:rsidRPr="007767C1">
        <w:rPr>
          <w:sz w:val="20"/>
          <w:szCs w:val="20"/>
        </w:rPr>
        <w:t xml:space="preserve"> BELSPO – Belgian Federal Science Policy Office.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96605" w14:textId="77777777" w:rsidR="00770306" w:rsidRDefault="0077030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459"/>
      <w:gridCol w:w="1384"/>
      <w:gridCol w:w="390"/>
    </w:tblGrid>
    <w:tr w:rsidR="00752929" w14:paraId="63FFDED4" w14:textId="77777777" w:rsidTr="00770306">
      <w:trPr>
        <w:trHeight w:val="344"/>
        <w:jc w:val="center"/>
      </w:trPr>
      <w:tc>
        <w:tcPr>
          <w:tcW w:w="5495" w:type="dxa"/>
        </w:tcPr>
        <w:p w14:paraId="1A432834" w14:textId="77777777" w:rsidR="00DB7C09" w:rsidRDefault="00770306" w:rsidP="00F968D4"/>
      </w:tc>
      <w:tc>
        <w:tcPr>
          <w:tcW w:w="4003" w:type="dxa"/>
          <w:gridSpan w:val="2"/>
        </w:tcPr>
        <w:p w14:paraId="1D6A1AD3" w14:textId="77777777" w:rsidR="00DB7C09" w:rsidRPr="00BD47E4" w:rsidRDefault="00770306" w:rsidP="002A07BC">
          <w:pPr>
            <w:jc w:val="right"/>
            <w:rPr>
              <w:b/>
              <w:sz w:val="32"/>
              <w:szCs w:val="32"/>
            </w:rPr>
          </w:pPr>
          <w:bookmarkStart w:id="2" w:name="type"/>
          <w:r w:rsidRPr="00BD47E4">
            <w:rPr>
              <w:b/>
              <w:sz w:val="32"/>
              <w:szCs w:val="32"/>
            </w:rPr>
            <w:t>IP</w:t>
          </w:r>
          <w:bookmarkEnd w:id="2"/>
        </w:p>
      </w:tc>
      <w:tc>
        <w:tcPr>
          <w:tcW w:w="1774" w:type="dxa"/>
          <w:gridSpan w:val="2"/>
        </w:tcPr>
        <w:p w14:paraId="0A93D285" w14:textId="77777777" w:rsidR="00DB7C09" w:rsidRPr="00BD47E4" w:rsidRDefault="00770306" w:rsidP="00DB7C09">
          <w:pPr>
            <w:rPr>
              <w:b/>
              <w:sz w:val="32"/>
              <w:szCs w:val="32"/>
            </w:rPr>
          </w:pPr>
          <w:bookmarkStart w:id="3" w:name="number"/>
          <w:r w:rsidRPr="00BD47E4">
            <w:rPr>
              <w:b/>
              <w:sz w:val="32"/>
              <w:szCs w:val="32"/>
            </w:rPr>
            <w:t>107 rev. 1</w:t>
          </w:r>
          <w:bookmarkEnd w:id="3"/>
        </w:p>
      </w:tc>
    </w:tr>
    <w:tr w:rsidR="00752929" w14:paraId="5C223B7C" w14:textId="77777777" w:rsidTr="00490760">
      <w:trPr>
        <w:trHeight w:val="2165"/>
        <w:jc w:val="center"/>
      </w:trPr>
      <w:tc>
        <w:tcPr>
          <w:tcW w:w="5495" w:type="dxa"/>
        </w:tcPr>
        <w:p w14:paraId="6A1452CA" w14:textId="77777777" w:rsidR="00490760" w:rsidRPr="00EE4D48" w:rsidRDefault="00770306" w:rsidP="002A07BC">
          <w:pPr>
            <w:rPr>
              <w:b/>
              <w:sz w:val="28"/>
              <w:szCs w:val="28"/>
            </w:rPr>
          </w:pPr>
          <w:r>
            <w:rPr>
              <w:noProof/>
            </w:rPr>
            <w:drawing>
              <wp:inline distT="0" distB="0" distL="0" distR="0" wp14:anchorId="03539E57" wp14:editId="39EE3032">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567247"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28B8FF2D" w14:textId="77777777" w:rsidR="00490760" w:rsidRPr="00FE5146" w:rsidRDefault="00770306" w:rsidP="00490760">
          <w:pPr>
            <w:jc w:val="right"/>
            <w:rPr>
              <w:sz w:val="144"/>
              <w:szCs w:val="144"/>
            </w:rPr>
          </w:pPr>
          <w:r w:rsidRPr="00FE5146">
            <w:rPr>
              <w:sz w:val="144"/>
              <w:szCs w:val="144"/>
            </w:rPr>
            <w:t>ENG</w:t>
          </w:r>
        </w:p>
      </w:tc>
    </w:tr>
    <w:tr w:rsidR="00752929" w14:paraId="369A4E5D" w14:textId="77777777" w:rsidTr="00BD47E4">
      <w:trPr>
        <w:trHeight w:val="409"/>
        <w:jc w:val="center"/>
      </w:trPr>
      <w:tc>
        <w:tcPr>
          <w:tcW w:w="9039" w:type="dxa"/>
          <w:gridSpan w:val="2"/>
        </w:tcPr>
        <w:p w14:paraId="2850F198" w14:textId="77777777" w:rsidR="00BD47E4" w:rsidRDefault="00770306" w:rsidP="002C30DA">
          <w:pPr>
            <w:jc w:val="right"/>
          </w:pPr>
          <w:r>
            <w:t>Agenda Item:</w:t>
          </w:r>
        </w:p>
      </w:tc>
      <w:tc>
        <w:tcPr>
          <w:tcW w:w="1843" w:type="dxa"/>
          <w:gridSpan w:val="2"/>
        </w:tcPr>
        <w:p w14:paraId="2C9C6920" w14:textId="77777777" w:rsidR="00770306" w:rsidRDefault="00770306" w:rsidP="002C30DA">
          <w:pPr>
            <w:jc w:val="right"/>
          </w:pPr>
          <w:bookmarkStart w:id="4" w:name="agenda"/>
          <w:r>
            <w:t xml:space="preserve">ATCM 15, </w:t>
          </w:r>
        </w:p>
        <w:p w14:paraId="44511D20" w14:textId="166E9D7C" w:rsidR="00BD47E4" w:rsidRDefault="00770306" w:rsidP="002C30DA">
          <w:pPr>
            <w:jc w:val="right"/>
          </w:pPr>
          <w:r>
            <w:t>CEP 13</w:t>
          </w:r>
          <w:bookmarkEnd w:id="4"/>
        </w:p>
      </w:tc>
      <w:tc>
        <w:tcPr>
          <w:tcW w:w="390" w:type="dxa"/>
        </w:tcPr>
        <w:p w14:paraId="76D72458" w14:textId="77777777" w:rsidR="00BD47E4" w:rsidRDefault="00770306" w:rsidP="00387A65">
          <w:pPr>
            <w:jc w:val="right"/>
          </w:pPr>
        </w:p>
      </w:tc>
    </w:tr>
    <w:tr w:rsidR="00752929" w14:paraId="09F26502" w14:textId="77777777" w:rsidTr="00BD47E4">
      <w:trPr>
        <w:trHeight w:val="397"/>
        <w:jc w:val="center"/>
      </w:trPr>
      <w:tc>
        <w:tcPr>
          <w:tcW w:w="9039" w:type="dxa"/>
          <w:gridSpan w:val="2"/>
        </w:tcPr>
        <w:p w14:paraId="58BD0C24" w14:textId="77777777" w:rsidR="00BD47E4" w:rsidRDefault="00770306" w:rsidP="002C30DA">
          <w:pPr>
            <w:jc w:val="right"/>
          </w:pPr>
          <w:r>
            <w:t>Presented by:</w:t>
          </w:r>
        </w:p>
      </w:tc>
      <w:tc>
        <w:tcPr>
          <w:tcW w:w="1843" w:type="dxa"/>
          <w:gridSpan w:val="2"/>
        </w:tcPr>
        <w:p w14:paraId="6787B06B" w14:textId="3751D497" w:rsidR="00BD47E4" w:rsidRDefault="00770306" w:rsidP="002C30DA">
          <w:pPr>
            <w:jc w:val="right"/>
          </w:pPr>
          <w:bookmarkStart w:id="5" w:name="party"/>
          <w:r>
            <w:t xml:space="preserve">SCAR, Belgium, </w:t>
          </w:r>
          <w:r>
            <w:t xml:space="preserve">IAATO, the Netherlands, and </w:t>
          </w:r>
          <w:r>
            <w:t>WMO</w:t>
          </w:r>
          <w:bookmarkEnd w:id="5"/>
        </w:p>
      </w:tc>
      <w:tc>
        <w:tcPr>
          <w:tcW w:w="390" w:type="dxa"/>
        </w:tcPr>
        <w:p w14:paraId="5B87F5ED" w14:textId="77777777" w:rsidR="00BD47E4" w:rsidRDefault="00770306" w:rsidP="00387A65">
          <w:pPr>
            <w:jc w:val="right"/>
          </w:pPr>
        </w:p>
      </w:tc>
    </w:tr>
    <w:tr w:rsidR="00752929" w14:paraId="324A859A" w14:textId="77777777" w:rsidTr="00BD47E4">
      <w:trPr>
        <w:trHeight w:val="409"/>
        <w:jc w:val="center"/>
      </w:trPr>
      <w:tc>
        <w:tcPr>
          <w:tcW w:w="9039" w:type="dxa"/>
          <w:gridSpan w:val="2"/>
        </w:tcPr>
        <w:p w14:paraId="3319C463" w14:textId="77777777" w:rsidR="00BD47E4" w:rsidRDefault="00770306" w:rsidP="002C30DA">
          <w:pPr>
            <w:jc w:val="right"/>
          </w:pPr>
          <w:r>
            <w:t>Original:</w:t>
          </w:r>
        </w:p>
      </w:tc>
      <w:tc>
        <w:tcPr>
          <w:tcW w:w="1843" w:type="dxa"/>
          <w:gridSpan w:val="2"/>
        </w:tcPr>
        <w:p w14:paraId="7E8FC874" w14:textId="77777777" w:rsidR="00BD47E4" w:rsidRDefault="00770306" w:rsidP="002C30DA">
          <w:pPr>
            <w:jc w:val="right"/>
          </w:pPr>
          <w:bookmarkStart w:id="6" w:name="language"/>
          <w:r>
            <w:t>English</w:t>
          </w:r>
          <w:bookmarkEnd w:id="6"/>
        </w:p>
      </w:tc>
      <w:tc>
        <w:tcPr>
          <w:tcW w:w="390" w:type="dxa"/>
        </w:tcPr>
        <w:p w14:paraId="6D09F6B6" w14:textId="77777777" w:rsidR="00BD47E4" w:rsidRDefault="00770306" w:rsidP="00387A65">
          <w:pPr>
            <w:jc w:val="right"/>
          </w:pPr>
        </w:p>
      </w:tc>
    </w:tr>
    <w:tr w:rsidR="00752929" w14:paraId="0054D690" w14:textId="77777777" w:rsidTr="00BD47E4">
      <w:trPr>
        <w:trHeight w:val="409"/>
        <w:jc w:val="center"/>
      </w:trPr>
      <w:tc>
        <w:tcPr>
          <w:tcW w:w="9039" w:type="dxa"/>
          <w:gridSpan w:val="2"/>
        </w:tcPr>
        <w:p w14:paraId="6FF4248F" w14:textId="77777777" w:rsidR="0097629D" w:rsidRDefault="00770306" w:rsidP="002C30DA">
          <w:pPr>
            <w:jc w:val="right"/>
          </w:pPr>
          <w:r>
            <w:t>Submitted:</w:t>
          </w:r>
        </w:p>
      </w:tc>
      <w:tc>
        <w:tcPr>
          <w:tcW w:w="1843" w:type="dxa"/>
          <w:gridSpan w:val="2"/>
        </w:tcPr>
        <w:p w14:paraId="042B63F6" w14:textId="77777777" w:rsidR="0097629D" w:rsidRDefault="00770306" w:rsidP="0097629D">
          <w:pPr>
            <w:jc w:val="right"/>
          </w:pPr>
          <w:bookmarkStart w:id="7" w:name="date_submission"/>
          <w:r>
            <w:t>27/4/2022</w:t>
          </w:r>
          <w:bookmarkEnd w:id="7"/>
        </w:p>
      </w:tc>
      <w:tc>
        <w:tcPr>
          <w:tcW w:w="390" w:type="dxa"/>
        </w:tcPr>
        <w:p w14:paraId="0FA677F6" w14:textId="77777777" w:rsidR="0097629D" w:rsidRDefault="00770306" w:rsidP="00387A65">
          <w:pPr>
            <w:jc w:val="right"/>
          </w:pPr>
        </w:p>
      </w:tc>
    </w:tr>
  </w:tbl>
  <w:p w14:paraId="51B7FCA5" w14:textId="77777777" w:rsidR="00AE5DD0" w:rsidRDefault="0077030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F4205" w14:textId="77777777" w:rsidR="00770306" w:rsidRDefault="00770306">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356"/>
      <w:gridCol w:w="1670"/>
    </w:tblGrid>
    <w:tr w:rsidR="00752929" w14:paraId="584D2AE7" w14:textId="77777777" w:rsidTr="00770306">
      <w:trPr>
        <w:trHeight w:val="354"/>
        <w:jc w:val="center"/>
      </w:trPr>
      <w:tc>
        <w:tcPr>
          <w:tcW w:w="9356" w:type="dxa"/>
        </w:tcPr>
        <w:p w14:paraId="442D72EF" w14:textId="6D465C6D" w:rsidR="00AE5DD0" w:rsidRPr="00BD47E4" w:rsidRDefault="00770306" w:rsidP="00C26F2D">
          <w:pPr>
            <w:jc w:val="right"/>
            <w:rPr>
              <w:b/>
              <w:sz w:val="32"/>
              <w:szCs w:val="32"/>
            </w:rPr>
          </w:pPr>
          <w:r>
            <w:rPr>
              <w:b/>
              <w:sz w:val="32"/>
              <w:szCs w:val="32"/>
            </w:rPr>
            <w:t>IP</w:t>
          </w:r>
        </w:p>
      </w:tc>
      <w:tc>
        <w:tcPr>
          <w:tcW w:w="1670" w:type="dxa"/>
        </w:tcPr>
        <w:p w14:paraId="1E9F174A" w14:textId="64360664" w:rsidR="00AE5DD0" w:rsidRPr="00BD47E4" w:rsidRDefault="00770306" w:rsidP="00080F4C">
          <w:pPr>
            <w:rPr>
              <w:b/>
              <w:sz w:val="32"/>
              <w:szCs w:val="32"/>
            </w:rPr>
          </w:pPr>
          <w:r>
            <w:rPr>
              <w:b/>
              <w:sz w:val="32"/>
              <w:szCs w:val="32"/>
            </w:rPr>
            <w:t>107 rev.1</w:t>
          </w:r>
        </w:p>
      </w:tc>
    </w:tr>
  </w:tbl>
  <w:p w14:paraId="2373C287" w14:textId="77777777" w:rsidR="00AE5DD0" w:rsidRDefault="0077030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E1AE64E6">
      <w:start w:val="1"/>
      <w:numFmt w:val="bullet"/>
      <w:pStyle w:val="ATSBullet1"/>
      <w:lvlText w:val=""/>
      <w:lvlJc w:val="left"/>
      <w:pPr>
        <w:tabs>
          <w:tab w:val="num" w:pos="360"/>
        </w:tabs>
        <w:ind w:left="360" w:hanging="360"/>
      </w:pPr>
      <w:rPr>
        <w:rFonts w:ascii="Symbol" w:hAnsi="Symbol" w:hint="default"/>
        <w:color w:val="auto"/>
      </w:rPr>
    </w:lvl>
    <w:lvl w:ilvl="1" w:tplc="25C44D4E" w:tentative="1">
      <w:start w:val="1"/>
      <w:numFmt w:val="bullet"/>
      <w:lvlText w:val="o"/>
      <w:lvlJc w:val="left"/>
      <w:pPr>
        <w:tabs>
          <w:tab w:val="num" w:pos="1440"/>
        </w:tabs>
        <w:ind w:left="1440" w:hanging="360"/>
      </w:pPr>
      <w:rPr>
        <w:rFonts w:ascii="Courier New" w:hAnsi="Courier New" w:cs="Courier New" w:hint="default"/>
      </w:rPr>
    </w:lvl>
    <w:lvl w:ilvl="2" w:tplc="16505076" w:tentative="1">
      <w:start w:val="1"/>
      <w:numFmt w:val="bullet"/>
      <w:lvlText w:val=""/>
      <w:lvlJc w:val="left"/>
      <w:pPr>
        <w:tabs>
          <w:tab w:val="num" w:pos="2160"/>
        </w:tabs>
        <w:ind w:left="2160" w:hanging="360"/>
      </w:pPr>
      <w:rPr>
        <w:rFonts w:ascii="Wingdings" w:hAnsi="Wingdings" w:hint="default"/>
      </w:rPr>
    </w:lvl>
    <w:lvl w:ilvl="3" w:tplc="1CAEC294" w:tentative="1">
      <w:start w:val="1"/>
      <w:numFmt w:val="bullet"/>
      <w:lvlText w:val=""/>
      <w:lvlJc w:val="left"/>
      <w:pPr>
        <w:tabs>
          <w:tab w:val="num" w:pos="2880"/>
        </w:tabs>
        <w:ind w:left="2880" w:hanging="360"/>
      </w:pPr>
      <w:rPr>
        <w:rFonts w:ascii="Symbol" w:hAnsi="Symbol" w:hint="default"/>
      </w:rPr>
    </w:lvl>
    <w:lvl w:ilvl="4" w:tplc="488A322C" w:tentative="1">
      <w:start w:val="1"/>
      <w:numFmt w:val="bullet"/>
      <w:lvlText w:val="o"/>
      <w:lvlJc w:val="left"/>
      <w:pPr>
        <w:tabs>
          <w:tab w:val="num" w:pos="3600"/>
        </w:tabs>
        <w:ind w:left="3600" w:hanging="360"/>
      </w:pPr>
      <w:rPr>
        <w:rFonts w:ascii="Courier New" w:hAnsi="Courier New" w:cs="Courier New" w:hint="default"/>
      </w:rPr>
    </w:lvl>
    <w:lvl w:ilvl="5" w:tplc="1FEE42E2" w:tentative="1">
      <w:start w:val="1"/>
      <w:numFmt w:val="bullet"/>
      <w:lvlText w:val=""/>
      <w:lvlJc w:val="left"/>
      <w:pPr>
        <w:tabs>
          <w:tab w:val="num" w:pos="4320"/>
        </w:tabs>
        <w:ind w:left="4320" w:hanging="360"/>
      </w:pPr>
      <w:rPr>
        <w:rFonts w:ascii="Wingdings" w:hAnsi="Wingdings" w:hint="default"/>
      </w:rPr>
    </w:lvl>
    <w:lvl w:ilvl="6" w:tplc="3ADC8A48" w:tentative="1">
      <w:start w:val="1"/>
      <w:numFmt w:val="bullet"/>
      <w:lvlText w:val=""/>
      <w:lvlJc w:val="left"/>
      <w:pPr>
        <w:tabs>
          <w:tab w:val="num" w:pos="5040"/>
        </w:tabs>
        <w:ind w:left="5040" w:hanging="360"/>
      </w:pPr>
      <w:rPr>
        <w:rFonts w:ascii="Symbol" w:hAnsi="Symbol" w:hint="default"/>
      </w:rPr>
    </w:lvl>
    <w:lvl w:ilvl="7" w:tplc="7AB84DC2" w:tentative="1">
      <w:start w:val="1"/>
      <w:numFmt w:val="bullet"/>
      <w:lvlText w:val="o"/>
      <w:lvlJc w:val="left"/>
      <w:pPr>
        <w:tabs>
          <w:tab w:val="num" w:pos="5760"/>
        </w:tabs>
        <w:ind w:left="5760" w:hanging="360"/>
      </w:pPr>
      <w:rPr>
        <w:rFonts w:ascii="Courier New" w:hAnsi="Courier New" w:cs="Courier New" w:hint="default"/>
      </w:rPr>
    </w:lvl>
    <w:lvl w:ilvl="8" w:tplc="7D04742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D3526C00">
      <w:start w:val="1"/>
      <w:numFmt w:val="decimal"/>
      <w:lvlText w:val="%1)"/>
      <w:lvlJc w:val="left"/>
      <w:pPr>
        <w:tabs>
          <w:tab w:val="num" w:pos="340"/>
        </w:tabs>
        <w:ind w:left="340" w:hanging="340"/>
      </w:pPr>
      <w:rPr>
        <w:rFonts w:hint="default"/>
      </w:rPr>
    </w:lvl>
    <w:lvl w:ilvl="1" w:tplc="DC508458" w:tentative="1">
      <w:start w:val="1"/>
      <w:numFmt w:val="lowerLetter"/>
      <w:lvlText w:val="%2."/>
      <w:lvlJc w:val="left"/>
      <w:pPr>
        <w:tabs>
          <w:tab w:val="num" w:pos="1440"/>
        </w:tabs>
        <w:ind w:left="1440" w:hanging="360"/>
      </w:pPr>
    </w:lvl>
    <w:lvl w:ilvl="2" w:tplc="BE36A00C" w:tentative="1">
      <w:start w:val="1"/>
      <w:numFmt w:val="lowerRoman"/>
      <w:lvlText w:val="%3."/>
      <w:lvlJc w:val="right"/>
      <w:pPr>
        <w:tabs>
          <w:tab w:val="num" w:pos="2160"/>
        </w:tabs>
        <w:ind w:left="2160" w:hanging="180"/>
      </w:pPr>
    </w:lvl>
    <w:lvl w:ilvl="3" w:tplc="9C446152" w:tentative="1">
      <w:start w:val="1"/>
      <w:numFmt w:val="decimal"/>
      <w:lvlText w:val="%4."/>
      <w:lvlJc w:val="left"/>
      <w:pPr>
        <w:tabs>
          <w:tab w:val="num" w:pos="2880"/>
        </w:tabs>
        <w:ind w:left="2880" w:hanging="360"/>
      </w:pPr>
    </w:lvl>
    <w:lvl w:ilvl="4" w:tplc="118EC406" w:tentative="1">
      <w:start w:val="1"/>
      <w:numFmt w:val="lowerLetter"/>
      <w:lvlText w:val="%5."/>
      <w:lvlJc w:val="left"/>
      <w:pPr>
        <w:tabs>
          <w:tab w:val="num" w:pos="3600"/>
        </w:tabs>
        <w:ind w:left="3600" w:hanging="360"/>
      </w:pPr>
    </w:lvl>
    <w:lvl w:ilvl="5" w:tplc="BE1A8A3A" w:tentative="1">
      <w:start w:val="1"/>
      <w:numFmt w:val="lowerRoman"/>
      <w:lvlText w:val="%6."/>
      <w:lvlJc w:val="right"/>
      <w:pPr>
        <w:tabs>
          <w:tab w:val="num" w:pos="4320"/>
        </w:tabs>
        <w:ind w:left="4320" w:hanging="180"/>
      </w:pPr>
    </w:lvl>
    <w:lvl w:ilvl="6" w:tplc="3E3E615C" w:tentative="1">
      <w:start w:val="1"/>
      <w:numFmt w:val="decimal"/>
      <w:lvlText w:val="%7."/>
      <w:lvlJc w:val="left"/>
      <w:pPr>
        <w:tabs>
          <w:tab w:val="num" w:pos="5040"/>
        </w:tabs>
        <w:ind w:left="5040" w:hanging="360"/>
      </w:pPr>
    </w:lvl>
    <w:lvl w:ilvl="7" w:tplc="5A1AE960" w:tentative="1">
      <w:start w:val="1"/>
      <w:numFmt w:val="lowerLetter"/>
      <w:lvlText w:val="%8."/>
      <w:lvlJc w:val="left"/>
      <w:pPr>
        <w:tabs>
          <w:tab w:val="num" w:pos="5760"/>
        </w:tabs>
        <w:ind w:left="5760" w:hanging="360"/>
      </w:pPr>
    </w:lvl>
    <w:lvl w:ilvl="8" w:tplc="BA2262D4"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5B78959C">
      <w:start w:val="1"/>
      <w:numFmt w:val="decimal"/>
      <w:lvlText w:val="%1."/>
      <w:lvlJc w:val="left"/>
      <w:pPr>
        <w:tabs>
          <w:tab w:val="num" w:pos="1057"/>
        </w:tabs>
        <w:ind w:left="1057" w:hanging="360"/>
      </w:pPr>
      <w:rPr>
        <w:rFonts w:hint="default"/>
      </w:rPr>
    </w:lvl>
    <w:lvl w:ilvl="1" w:tplc="FEC8EB74" w:tentative="1">
      <w:start w:val="1"/>
      <w:numFmt w:val="lowerLetter"/>
      <w:lvlText w:val="%2."/>
      <w:lvlJc w:val="left"/>
      <w:pPr>
        <w:tabs>
          <w:tab w:val="num" w:pos="2137"/>
        </w:tabs>
        <w:ind w:left="2137" w:hanging="360"/>
      </w:pPr>
    </w:lvl>
    <w:lvl w:ilvl="2" w:tplc="86CA99AC" w:tentative="1">
      <w:start w:val="1"/>
      <w:numFmt w:val="lowerRoman"/>
      <w:lvlText w:val="%3."/>
      <w:lvlJc w:val="right"/>
      <w:pPr>
        <w:tabs>
          <w:tab w:val="num" w:pos="2857"/>
        </w:tabs>
        <w:ind w:left="2857" w:hanging="180"/>
      </w:pPr>
    </w:lvl>
    <w:lvl w:ilvl="3" w:tplc="C38ED6CA" w:tentative="1">
      <w:start w:val="1"/>
      <w:numFmt w:val="decimal"/>
      <w:lvlText w:val="%4."/>
      <w:lvlJc w:val="left"/>
      <w:pPr>
        <w:tabs>
          <w:tab w:val="num" w:pos="3577"/>
        </w:tabs>
        <w:ind w:left="3577" w:hanging="360"/>
      </w:pPr>
    </w:lvl>
    <w:lvl w:ilvl="4" w:tplc="A0AA4622" w:tentative="1">
      <w:start w:val="1"/>
      <w:numFmt w:val="lowerLetter"/>
      <w:lvlText w:val="%5."/>
      <w:lvlJc w:val="left"/>
      <w:pPr>
        <w:tabs>
          <w:tab w:val="num" w:pos="4297"/>
        </w:tabs>
        <w:ind w:left="4297" w:hanging="360"/>
      </w:pPr>
    </w:lvl>
    <w:lvl w:ilvl="5" w:tplc="EB04B2AC" w:tentative="1">
      <w:start w:val="1"/>
      <w:numFmt w:val="lowerRoman"/>
      <w:lvlText w:val="%6."/>
      <w:lvlJc w:val="right"/>
      <w:pPr>
        <w:tabs>
          <w:tab w:val="num" w:pos="5017"/>
        </w:tabs>
        <w:ind w:left="5017" w:hanging="180"/>
      </w:pPr>
    </w:lvl>
    <w:lvl w:ilvl="6" w:tplc="0CE6438E" w:tentative="1">
      <w:start w:val="1"/>
      <w:numFmt w:val="decimal"/>
      <w:lvlText w:val="%7."/>
      <w:lvlJc w:val="left"/>
      <w:pPr>
        <w:tabs>
          <w:tab w:val="num" w:pos="5737"/>
        </w:tabs>
        <w:ind w:left="5737" w:hanging="360"/>
      </w:pPr>
    </w:lvl>
    <w:lvl w:ilvl="7" w:tplc="1BB427D8" w:tentative="1">
      <w:start w:val="1"/>
      <w:numFmt w:val="lowerLetter"/>
      <w:lvlText w:val="%8."/>
      <w:lvlJc w:val="left"/>
      <w:pPr>
        <w:tabs>
          <w:tab w:val="num" w:pos="6457"/>
        </w:tabs>
        <w:ind w:left="6457" w:hanging="360"/>
      </w:pPr>
    </w:lvl>
    <w:lvl w:ilvl="8" w:tplc="DD1E4180"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B8BEC672">
      <w:start w:val="1"/>
      <w:numFmt w:val="decimal"/>
      <w:pStyle w:val="ATSNumber1"/>
      <w:lvlText w:val="%1)"/>
      <w:lvlJc w:val="left"/>
      <w:pPr>
        <w:tabs>
          <w:tab w:val="num" w:pos="720"/>
        </w:tabs>
        <w:ind w:left="720" w:hanging="360"/>
      </w:pPr>
    </w:lvl>
    <w:lvl w:ilvl="1" w:tplc="7C121EBA" w:tentative="1">
      <w:start w:val="1"/>
      <w:numFmt w:val="lowerLetter"/>
      <w:lvlText w:val="%2."/>
      <w:lvlJc w:val="left"/>
      <w:pPr>
        <w:tabs>
          <w:tab w:val="num" w:pos="1440"/>
        </w:tabs>
        <w:ind w:left="1440" w:hanging="360"/>
      </w:pPr>
    </w:lvl>
    <w:lvl w:ilvl="2" w:tplc="2E7493F2" w:tentative="1">
      <w:start w:val="1"/>
      <w:numFmt w:val="lowerRoman"/>
      <w:lvlText w:val="%3."/>
      <w:lvlJc w:val="right"/>
      <w:pPr>
        <w:tabs>
          <w:tab w:val="num" w:pos="2160"/>
        </w:tabs>
        <w:ind w:left="2160" w:hanging="180"/>
      </w:pPr>
    </w:lvl>
    <w:lvl w:ilvl="3" w:tplc="59DCB7E4" w:tentative="1">
      <w:start w:val="1"/>
      <w:numFmt w:val="decimal"/>
      <w:lvlText w:val="%4."/>
      <w:lvlJc w:val="left"/>
      <w:pPr>
        <w:tabs>
          <w:tab w:val="num" w:pos="2880"/>
        </w:tabs>
        <w:ind w:left="2880" w:hanging="360"/>
      </w:pPr>
    </w:lvl>
    <w:lvl w:ilvl="4" w:tplc="26F4E0AC" w:tentative="1">
      <w:start w:val="1"/>
      <w:numFmt w:val="lowerLetter"/>
      <w:lvlText w:val="%5."/>
      <w:lvlJc w:val="left"/>
      <w:pPr>
        <w:tabs>
          <w:tab w:val="num" w:pos="3600"/>
        </w:tabs>
        <w:ind w:left="3600" w:hanging="360"/>
      </w:pPr>
    </w:lvl>
    <w:lvl w:ilvl="5" w:tplc="B678B0EA" w:tentative="1">
      <w:start w:val="1"/>
      <w:numFmt w:val="lowerRoman"/>
      <w:lvlText w:val="%6."/>
      <w:lvlJc w:val="right"/>
      <w:pPr>
        <w:tabs>
          <w:tab w:val="num" w:pos="4320"/>
        </w:tabs>
        <w:ind w:left="4320" w:hanging="180"/>
      </w:pPr>
    </w:lvl>
    <w:lvl w:ilvl="6" w:tplc="B1DA6CE4" w:tentative="1">
      <w:start w:val="1"/>
      <w:numFmt w:val="decimal"/>
      <w:lvlText w:val="%7."/>
      <w:lvlJc w:val="left"/>
      <w:pPr>
        <w:tabs>
          <w:tab w:val="num" w:pos="5040"/>
        </w:tabs>
        <w:ind w:left="5040" w:hanging="360"/>
      </w:pPr>
    </w:lvl>
    <w:lvl w:ilvl="7" w:tplc="E7229ACE" w:tentative="1">
      <w:start w:val="1"/>
      <w:numFmt w:val="lowerLetter"/>
      <w:lvlText w:val="%8."/>
      <w:lvlJc w:val="left"/>
      <w:pPr>
        <w:tabs>
          <w:tab w:val="num" w:pos="5760"/>
        </w:tabs>
        <w:ind w:left="5760" w:hanging="360"/>
      </w:pPr>
    </w:lvl>
    <w:lvl w:ilvl="8" w:tplc="7D688700"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7DCC82B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F83239EA" w:tentative="1">
      <w:start w:val="1"/>
      <w:numFmt w:val="bullet"/>
      <w:lvlText w:val="o"/>
      <w:lvlJc w:val="left"/>
      <w:pPr>
        <w:tabs>
          <w:tab w:val="num" w:pos="2517"/>
        </w:tabs>
        <w:ind w:left="2517" w:hanging="360"/>
      </w:pPr>
      <w:rPr>
        <w:rFonts w:ascii="Courier New" w:hAnsi="Courier New" w:cs="Courier New" w:hint="default"/>
      </w:rPr>
    </w:lvl>
    <w:lvl w:ilvl="2" w:tplc="37F89856" w:tentative="1">
      <w:start w:val="1"/>
      <w:numFmt w:val="bullet"/>
      <w:lvlText w:val=""/>
      <w:lvlJc w:val="left"/>
      <w:pPr>
        <w:tabs>
          <w:tab w:val="num" w:pos="3237"/>
        </w:tabs>
        <w:ind w:left="3237" w:hanging="360"/>
      </w:pPr>
      <w:rPr>
        <w:rFonts w:ascii="Wingdings" w:hAnsi="Wingdings" w:hint="default"/>
      </w:rPr>
    </w:lvl>
    <w:lvl w:ilvl="3" w:tplc="84124C70" w:tentative="1">
      <w:start w:val="1"/>
      <w:numFmt w:val="bullet"/>
      <w:lvlText w:val=""/>
      <w:lvlJc w:val="left"/>
      <w:pPr>
        <w:tabs>
          <w:tab w:val="num" w:pos="3957"/>
        </w:tabs>
        <w:ind w:left="3957" w:hanging="360"/>
      </w:pPr>
      <w:rPr>
        <w:rFonts w:ascii="Symbol" w:hAnsi="Symbol" w:hint="default"/>
      </w:rPr>
    </w:lvl>
    <w:lvl w:ilvl="4" w:tplc="E474D2DC" w:tentative="1">
      <w:start w:val="1"/>
      <w:numFmt w:val="bullet"/>
      <w:lvlText w:val="o"/>
      <w:lvlJc w:val="left"/>
      <w:pPr>
        <w:tabs>
          <w:tab w:val="num" w:pos="4677"/>
        </w:tabs>
        <w:ind w:left="4677" w:hanging="360"/>
      </w:pPr>
      <w:rPr>
        <w:rFonts w:ascii="Courier New" w:hAnsi="Courier New" w:cs="Courier New" w:hint="default"/>
      </w:rPr>
    </w:lvl>
    <w:lvl w:ilvl="5" w:tplc="E300173C" w:tentative="1">
      <w:start w:val="1"/>
      <w:numFmt w:val="bullet"/>
      <w:lvlText w:val=""/>
      <w:lvlJc w:val="left"/>
      <w:pPr>
        <w:tabs>
          <w:tab w:val="num" w:pos="5397"/>
        </w:tabs>
        <w:ind w:left="5397" w:hanging="360"/>
      </w:pPr>
      <w:rPr>
        <w:rFonts w:ascii="Wingdings" w:hAnsi="Wingdings" w:hint="default"/>
      </w:rPr>
    </w:lvl>
    <w:lvl w:ilvl="6" w:tplc="9C0C11E6" w:tentative="1">
      <w:start w:val="1"/>
      <w:numFmt w:val="bullet"/>
      <w:lvlText w:val=""/>
      <w:lvlJc w:val="left"/>
      <w:pPr>
        <w:tabs>
          <w:tab w:val="num" w:pos="6117"/>
        </w:tabs>
        <w:ind w:left="6117" w:hanging="360"/>
      </w:pPr>
      <w:rPr>
        <w:rFonts w:ascii="Symbol" w:hAnsi="Symbol" w:hint="default"/>
      </w:rPr>
    </w:lvl>
    <w:lvl w:ilvl="7" w:tplc="295ABE16" w:tentative="1">
      <w:start w:val="1"/>
      <w:numFmt w:val="bullet"/>
      <w:lvlText w:val="o"/>
      <w:lvlJc w:val="left"/>
      <w:pPr>
        <w:tabs>
          <w:tab w:val="num" w:pos="6837"/>
        </w:tabs>
        <w:ind w:left="6837" w:hanging="360"/>
      </w:pPr>
      <w:rPr>
        <w:rFonts w:ascii="Courier New" w:hAnsi="Courier New" w:cs="Courier New" w:hint="default"/>
      </w:rPr>
    </w:lvl>
    <w:lvl w:ilvl="8" w:tplc="D8B0869E"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81369D02">
      <w:start w:val="1"/>
      <w:numFmt w:val="decimal"/>
      <w:pStyle w:val="ATSNumber2"/>
      <w:lvlText w:val="%1."/>
      <w:lvlJc w:val="left"/>
      <w:pPr>
        <w:tabs>
          <w:tab w:val="num" w:pos="720"/>
        </w:tabs>
        <w:ind w:left="720" w:hanging="360"/>
      </w:pPr>
      <w:rPr>
        <w:rFonts w:hint="default"/>
      </w:rPr>
    </w:lvl>
    <w:lvl w:ilvl="1" w:tplc="E93E9302" w:tentative="1">
      <w:start w:val="1"/>
      <w:numFmt w:val="lowerLetter"/>
      <w:lvlText w:val="%2."/>
      <w:lvlJc w:val="left"/>
      <w:pPr>
        <w:tabs>
          <w:tab w:val="num" w:pos="1440"/>
        </w:tabs>
        <w:ind w:left="1440" w:hanging="360"/>
      </w:pPr>
    </w:lvl>
    <w:lvl w:ilvl="2" w:tplc="60D40374" w:tentative="1">
      <w:start w:val="1"/>
      <w:numFmt w:val="lowerRoman"/>
      <w:lvlText w:val="%3."/>
      <w:lvlJc w:val="right"/>
      <w:pPr>
        <w:tabs>
          <w:tab w:val="num" w:pos="2160"/>
        </w:tabs>
        <w:ind w:left="2160" w:hanging="180"/>
      </w:pPr>
    </w:lvl>
    <w:lvl w:ilvl="3" w:tplc="B6824336" w:tentative="1">
      <w:start w:val="1"/>
      <w:numFmt w:val="decimal"/>
      <w:lvlText w:val="%4."/>
      <w:lvlJc w:val="left"/>
      <w:pPr>
        <w:tabs>
          <w:tab w:val="num" w:pos="2880"/>
        </w:tabs>
        <w:ind w:left="2880" w:hanging="360"/>
      </w:pPr>
    </w:lvl>
    <w:lvl w:ilvl="4" w:tplc="BE0ECD90" w:tentative="1">
      <w:start w:val="1"/>
      <w:numFmt w:val="lowerLetter"/>
      <w:lvlText w:val="%5."/>
      <w:lvlJc w:val="left"/>
      <w:pPr>
        <w:tabs>
          <w:tab w:val="num" w:pos="3600"/>
        </w:tabs>
        <w:ind w:left="3600" w:hanging="360"/>
      </w:pPr>
    </w:lvl>
    <w:lvl w:ilvl="5" w:tplc="AD0E7C9C" w:tentative="1">
      <w:start w:val="1"/>
      <w:numFmt w:val="lowerRoman"/>
      <w:lvlText w:val="%6."/>
      <w:lvlJc w:val="right"/>
      <w:pPr>
        <w:tabs>
          <w:tab w:val="num" w:pos="4320"/>
        </w:tabs>
        <w:ind w:left="4320" w:hanging="180"/>
      </w:pPr>
    </w:lvl>
    <w:lvl w:ilvl="6" w:tplc="107A8AFE" w:tentative="1">
      <w:start w:val="1"/>
      <w:numFmt w:val="decimal"/>
      <w:lvlText w:val="%7."/>
      <w:lvlJc w:val="left"/>
      <w:pPr>
        <w:tabs>
          <w:tab w:val="num" w:pos="5040"/>
        </w:tabs>
        <w:ind w:left="5040" w:hanging="360"/>
      </w:pPr>
    </w:lvl>
    <w:lvl w:ilvl="7" w:tplc="C45A525A" w:tentative="1">
      <w:start w:val="1"/>
      <w:numFmt w:val="lowerLetter"/>
      <w:lvlText w:val="%8."/>
      <w:lvlJc w:val="left"/>
      <w:pPr>
        <w:tabs>
          <w:tab w:val="num" w:pos="5760"/>
        </w:tabs>
        <w:ind w:left="5760" w:hanging="360"/>
      </w:pPr>
    </w:lvl>
    <w:lvl w:ilvl="8" w:tplc="D6F86F44" w:tentative="1">
      <w:start w:val="1"/>
      <w:numFmt w:val="lowerRoman"/>
      <w:lvlText w:val="%9."/>
      <w:lvlJc w:val="right"/>
      <w:pPr>
        <w:tabs>
          <w:tab w:val="num" w:pos="6480"/>
        </w:tabs>
        <w:ind w:left="6480" w:hanging="180"/>
      </w:pPr>
    </w:lvl>
  </w:abstractNum>
  <w:num w:numId="1" w16cid:durableId="1476944127">
    <w:abstractNumId w:val="9"/>
  </w:num>
  <w:num w:numId="2" w16cid:durableId="115487244">
    <w:abstractNumId w:val="7"/>
  </w:num>
  <w:num w:numId="3" w16cid:durableId="139275799">
    <w:abstractNumId w:val="6"/>
  </w:num>
  <w:num w:numId="4" w16cid:durableId="1635988347">
    <w:abstractNumId w:val="5"/>
  </w:num>
  <w:num w:numId="5" w16cid:durableId="878973491">
    <w:abstractNumId w:val="4"/>
  </w:num>
  <w:num w:numId="6" w16cid:durableId="355734904">
    <w:abstractNumId w:val="8"/>
  </w:num>
  <w:num w:numId="7" w16cid:durableId="1433436024">
    <w:abstractNumId w:val="3"/>
  </w:num>
  <w:num w:numId="8" w16cid:durableId="784930705">
    <w:abstractNumId w:val="2"/>
  </w:num>
  <w:num w:numId="9" w16cid:durableId="495536388">
    <w:abstractNumId w:val="1"/>
  </w:num>
  <w:num w:numId="10" w16cid:durableId="1740639862">
    <w:abstractNumId w:val="0"/>
  </w:num>
  <w:num w:numId="11" w16cid:durableId="1638417641">
    <w:abstractNumId w:val="11"/>
  </w:num>
  <w:num w:numId="12" w16cid:durableId="428355095">
    <w:abstractNumId w:val="15"/>
  </w:num>
  <w:num w:numId="13" w16cid:durableId="621689673">
    <w:abstractNumId w:val="14"/>
  </w:num>
  <w:num w:numId="14" w16cid:durableId="1238436506">
    <w:abstractNumId w:val="12"/>
  </w:num>
  <w:num w:numId="15" w16cid:durableId="853878667">
    <w:abstractNumId w:val="13"/>
  </w:num>
  <w:num w:numId="16" w16cid:durableId="1478034428">
    <w:abstractNumId w:val="10"/>
  </w:num>
  <w:num w:numId="17" w16cid:durableId="806894757">
    <w:abstractNumId w:val="11"/>
  </w:num>
  <w:num w:numId="18" w16cid:durableId="1562981485">
    <w:abstractNumId w:val="15"/>
  </w:num>
  <w:num w:numId="19" w16cid:durableId="1562444794">
    <w:abstractNumId w:val="14"/>
  </w:num>
  <w:num w:numId="20" w16cid:durableId="1023056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929"/>
    <w:rsid w:val="00752929"/>
    <w:rsid w:val="007703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982133C"/>
  <w15:chartTrackingRefBased/>
  <w15:docId w15:val="{5E8A7BE3-EB2A-4549-9BA2-82CE584AB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footnote text" w:uiPriority="99"/>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link w:val="TextonotapieCar"/>
    <w:uiPriority w:val="99"/>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TextonotapieCar">
    <w:name w:val="Texto nota pie Car"/>
    <w:basedOn w:val="Fuentedeprrafopredeter"/>
    <w:link w:val="Textonotapie"/>
    <w:uiPriority w:val="99"/>
    <w:rsid w:val="00770306"/>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sodecade.org/action-plan/southern-ocean-action-pla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oceandecade.org/about" TargetMode="External"/><Relationship Id="rId2" Type="http://schemas.openxmlformats.org/officeDocument/2006/relationships/numbering" Target="numbering.xml"/><Relationship Id="rId16" Type="http://schemas.openxmlformats.org/officeDocument/2006/relationships/hyperlink" Target="https://www.sodecade.org/about/"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sodecade.org/action-plan/southern-ocean-action-plan/" TargetMode="Externa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oceandecade.org/"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833</Words>
  <Characters>5260</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2022-04-27T10:29:00Z</dcterms:modified>
</cp:coreProperties>
</file>