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D5FD" w14:textId="77777777" w:rsidR="00C26F2D" w:rsidRPr="00BF077B" w:rsidRDefault="00757F19" w:rsidP="00BF077B">
      <w:pPr>
        <w:pStyle w:val="ATSNormal"/>
        <w:rPr>
          <w:rStyle w:val="Ttulodellibro"/>
        </w:rPr>
      </w:pPr>
    </w:p>
    <w:p w14:paraId="662B37C7" w14:textId="77777777" w:rsidR="002F0A13" w:rsidRDefault="00757F19" w:rsidP="004B4A60">
      <w:pPr>
        <w:rPr>
          <w:b/>
          <w:u w:val="single"/>
          <w:lang w:val="es-ES_tradnl"/>
        </w:rPr>
      </w:pPr>
    </w:p>
    <w:p w14:paraId="2307CAA6" w14:textId="77777777" w:rsidR="002F0A13" w:rsidRDefault="00757F19" w:rsidP="004B4A60">
      <w:pPr>
        <w:rPr>
          <w:b/>
          <w:u w:val="single"/>
          <w:lang w:val="es-ES_tradnl"/>
        </w:rPr>
      </w:pPr>
    </w:p>
    <w:p w14:paraId="7CF617B8" w14:textId="77777777" w:rsidR="002F0A13" w:rsidRDefault="00757F19" w:rsidP="004B4A60">
      <w:pPr>
        <w:rPr>
          <w:b/>
          <w:u w:val="single"/>
          <w:lang w:val="es-ES_tradnl"/>
        </w:rPr>
      </w:pPr>
    </w:p>
    <w:p w14:paraId="07F8F0BF" w14:textId="77777777" w:rsidR="002F0A13" w:rsidRDefault="00757F19" w:rsidP="004B4A60">
      <w:pPr>
        <w:rPr>
          <w:b/>
          <w:u w:val="single"/>
          <w:lang w:val="es-ES_tradnl"/>
        </w:rPr>
      </w:pPr>
    </w:p>
    <w:p w14:paraId="74388F73" w14:textId="77777777" w:rsidR="00C26F2D" w:rsidRDefault="00757F19" w:rsidP="004B4A60">
      <w:pPr>
        <w:rPr>
          <w:b/>
          <w:u w:val="single"/>
          <w:lang w:val="es-ES_tradnl"/>
        </w:rPr>
      </w:pPr>
    </w:p>
    <w:p w14:paraId="38E4143B" w14:textId="417A991E" w:rsidR="004B4A60" w:rsidRDefault="00757F19" w:rsidP="001B789F">
      <w:pPr>
        <w:pStyle w:val="ATSTitle"/>
      </w:pPr>
      <w:bookmarkStart w:id="0" w:name="name"/>
      <w:r>
        <w:t>Report by the CEP Observer to the XXXVII SCAR Delegates’ Meeting</w:t>
      </w:r>
      <w:bookmarkEnd w:id="0"/>
    </w:p>
    <w:p w14:paraId="20E8F32D" w14:textId="1304F3AE" w:rsidR="004B4A60" w:rsidRPr="00757F19" w:rsidRDefault="00757F19" w:rsidP="00757F19">
      <w:pPr>
        <w:pStyle w:val="ATSHeading1"/>
        <w:rPr>
          <w:sz w:val="28"/>
          <w:szCs w:val="28"/>
        </w:rPr>
      </w:pPr>
      <w:r w:rsidRPr="00757F19">
        <w:rPr>
          <w:sz w:val="28"/>
          <w:szCs w:val="28"/>
        </w:rPr>
        <w:t>(Report by France)</w:t>
      </w:r>
    </w:p>
    <w:p w14:paraId="23C5D3BA" w14:textId="77777777" w:rsidR="004B4A60" w:rsidRPr="002F0A13" w:rsidRDefault="00757F19" w:rsidP="002F0A13"/>
    <w:p w14:paraId="775839E5" w14:textId="77777777" w:rsidR="004B4A60" w:rsidRDefault="00757F19" w:rsidP="00F75424">
      <w:pPr>
        <w:jc w:val="center"/>
      </w:pPr>
      <w:bookmarkStart w:id="1" w:name="memo"/>
      <w:bookmarkEnd w:id="1"/>
    </w:p>
    <w:p w14:paraId="0EB1F04B" w14:textId="77777777" w:rsidR="0097629D" w:rsidRDefault="00757F19" w:rsidP="00F75424">
      <w:pPr>
        <w:jc w:val="center"/>
      </w:pPr>
    </w:p>
    <w:p w14:paraId="5B5C2883" w14:textId="77777777" w:rsidR="0097629D" w:rsidRDefault="00757F19" w:rsidP="00F75424">
      <w:pPr>
        <w:jc w:val="center"/>
      </w:pPr>
    </w:p>
    <w:p w14:paraId="798B1D6D" w14:textId="77777777" w:rsidR="0097629D" w:rsidRDefault="00757F19" w:rsidP="00F75424">
      <w:pPr>
        <w:jc w:val="center"/>
      </w:pPr>
    </w:p>
    <w:p w14:paraId="68F4D7C1" w14:textId="77777777" w:rsidR="0097629D" w:rsidRPr="00C26F2D" w:rsidRDefault="00757F19" w:rsidP="00F75424">
      <w:pPr>
        <w:jc w:val="center"/>
      </w:pPr>
    </w:p>
    <w:p w14:paraId="1405FC61" w14:textId="77777777" w:rsidR="004B4A60" w:rsidRPr="0057246E" w:rsidRDefault="00757F19" w:rsidP="004B4A60"/>
    <w:p w14:paraId="44AFD2FB" w14:textId="77777777" w:rsidR="00C26F2D" w:rsidRDefault="00757F1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4AF95DD" w14:textId="77777777" w:rsidR="00757F19" w:rsidRDefault="00757F19" w:rsidP="00757F19">
      <w:pPr>
        <w:pStyle w:val="ATSTitle"/>
        <w:rPr>
          <w:sz w:val="32"/>
          <w:lang w:eastAsia="en-GB"/>
        </w:rPr>
      </w:pPr>
      <w:r>
        <w:rPr>
          <w:sz w:val="32"/>
          <w:lang w:eastAsia="en-GB"/>
        </w:rPr>
        <w:lastRenderedPageBreak/>
        <w:t xml:space="preserve">Report by the CEP Observer </w:t>
      </w:r>
    </w:p>
    <w:p w14:paraId="0F152770" w14:textId="77777777" w:rsidR="00757F19" w:rsidRDefault="00757F19" w:rsidP="00757F19">
      <w:pPr>
        <w:pStyle w:val="ATSTitle"/>
        <w:rPr>
          <w:sz w:val="32"/>
          <w:lang w:eastAsia="en-GB"/>
        </w:rPr>
      </w:pPr>
      <w:r>
        <w:rPr>
          <w:sz w:val="32"/>
          <w:lang w:eastAsia="en-GB"/>
        </w:rPr>
        <w:t>to the XXXVII SCAR Delegates’ Meeting</w:t>
      </w:r>
    </w:p>
    <w:p w14:paraId="3996B9BF" w14:textId="77777777" w:rsidR="00757F19" w:rsidRPr="00DE77E5" w:rsidRDefault="00757F19" w:rsidP="00757F19">
      <w:pPr>
        <w:pStyle w:val="ATSHeading2"/>
      </w:pPr>
      <w:r w:rsidRPr="00DE77E5">
        <w:t>Sum</w:t>
      </w:r>
      <w:r>
        <w:t>mary</w:t>
      </w:r>
    </w:p>
    <w:p w14:paraId="6660A7DB" w14:textId="77777777" w:rsidR="00757F19" w:rsidRDefault="00757F19" w:rsidP="00757F19">
      <w:pPr>
        <w:pStyle w:val="ATSNormal"/>
        <w:rPr>
          <w:szCs w:val="22"/>
          <w:lang w:val="en-US"/>
        </w:rPr>
      </w:pPr>
      <w:r w:rsidRPr="00DD7EA5">
        <w:rPr>
          <w:szCs w:val="22"/>
          <w:lang w:val="en-US"/>
        </w:rPr>
        <w:t xml:space="preserve">The XXXVII Meeting of Delegates of the Scientific Committee on Antarctic Research (SCAR) was held 5-7 September 2022, in a hybrid format; in presential in Goa, India, a </w:t>
      </w:r>
      <w:proofErr w:type="spellStart"/>
      <w:r w:rsidRPr="00DD7EA5">
        <w:rPr>
          <w:szCs w:val="22"/>
          <w:lang w:val="en-US"/>
        </w:rPr>
        <w:t>visio</w:t>
      </w:r>
      <w:proofErr w:type="spellEnd"/>
      <w:r w:rsidRPr="00DD7EA5">
        <w:rPr>
          <w:szCs w:val="22"/>
          <w:lang w:val="en-US"/>
        </w:rPr>
        <w:t xml:space="preserve">-hub in Leuven, Belgium attended by three Parties and the rest of the attendees online. This paper presents some aspects of the meeting that may be of relevance to the work of the CEP. </w:t>
      </w:r>
    </w:p>
    <w:p w14:paraId="251463BD" w14:textId="77777777" w:rsidR="00757F19" w:rsidRDefault="00757F19" w:rsidP="00757F19">
      <w:pPr>
        <w:pStyle w:val="ATSHeading2"/>
        <w:keepNext/>
      </w:pPr>
      <w:r>
        <w:t>Introduction</w:t>
      </w:r>
    </w:p>
    <w:p w14:paraId="1A4301B6" w14:textId="77777777" w:rsidR="00757F19" w:rsidRDefault="00757F19" w:rsidP="00757F19">
      <w:pPr>
        <w:autoSpaceDE w:val="0"/>
        <w:autoSpaceDN w:val="0"/>
        <w:adjustRightInd w:val="0"/>
        <w:rPr>
          <w:rFonts w:eastAsia="TimesNewRomanPSMT"/>
          <w:sz w:val="13"/>
          <w:szCs w:val="13"/>
        </w:rPr>
      </w:pPr>
      <w:r>
        <w:t xml:space="preserve">At CEP XXIV, the Committee nominated </w:t>
      </w:r>
      <w:r>
        <w:rPr>
          <w:rFonts w:eastAsia="TimesNewRomanPSMT"/>
        </w:rPr>
        <w:t xml:space="preserve">the CEP Representative from France to act as the CEP Observer at the XXXVII SCAR Delegates Meeting </w:t>
      </w:r>
      <w:r>
        <w:t xml:space="preserve">held 5-7 September 2022, in a hybrid format; in presential in Goa, India, a </w:t>
      </w:r>
      <w:proofErr w:type="spellStart"/>
      <w:r>
        <w:t>visio</w:t>
      </w:r>
      <w:proofErr w:type="spellEnd"/>
      <w:r>
        <w:t xml:space="preserve">-hub in Leuven, Belgium attended by three Parties and the rest of the attendees online. The SCAR Delegates Meeting was attended by Delegates from 46 members countries and 9 Union Members, and representatives of the SCAR Subsidiary Groups. The documents presented and discussed during the meeting and the final meeting report are available from the SCAR website (see: </w:t>
      </w:r>
      <w:hyperlink r:id="rId11" w:history="1">
        <w:r w:rsidRPr="007F3A4D">
          <w:rPr>
            <w:rStyle w:val="Hipervnculo"/>
          </w:rPr>
          <w:t>https://www.scar.org/general-scar-news/xxxvii-delegates-report/</w:t>
        </w:r>
      </w:hyperlink>
      <w:r>
        <w:t>).</w:t>
      </w:r>
    </w:p>
    <w:p w14:paraId="17A55180" w14:textId="77777777" w:rsidR="00757F19" w:rsidRDefault="00757F19" w:rsidP="00757F19">
      <w:pPr>
        <w:pStyle w:val="ATSNormal"/>
      </w:pPr>
      <w:r>
        <w:t xml:space="preserve">The SCAR Delegates Meeting was chaired by its President, </w:t>
      </w:r>
      <w:proofErr w:type="spellStart"/>
      <w:r w:rsidRPr="008B09F1">
        <w:t>Yeadong</w:t>
      </w:r>
      <w:proofErr w:type="spellEnd"/>
      <w:r w:rsidRPr="008B09F1">
        <w:t xml:space="preserve"> Kim</w:t>
      </w:r>
      <w:r>
        <w:t>.</w:t>
      </w:r>
    </w:p>
    <w:p w14:paraId="3C345FAF" w14:textId="77777777" w:rsidR="00757F19" w:rsidRDefault="00757F19" w:rsidP="00757F19">
      <w:pPr>
        <w:pStyle w:val="ATSNormal"/>
        <w:rPr>
          <w:szCs w:val="22"/>
        </w:rPr>
      </w:pPr>
      <w:r>
        <w:t xml:space="preserve">During this meeting, no new </w:t>
      </w:r>
      <w:r>
        <w:rPr>
          <w:szCs w:val="22"/>
        </w:rPr>
        <w:t>countries</w:t>
      </w:r>
      <w:r>
        <w:rPr>
          <w:rFonts w:eastAsia="TimesNewRomanPSMT"/>
          <w:szCs w:val="22"/>
        </w:rPr>
        <w:t xml:space="preserve"> </w:t>
      </w:r>
      <w:r>
        <w:rPr>
          <w:szCs w:val="22"/>
        </w:rPr>
        <w:t>joined SCAR as Full Members, but one new country joined as Associate Member (Luxembourg).</w:t>
      </w:r>
      <w:r>
        <w:t xml:space="preserve"> The SCAR has now 46 member countries. </w:t>
      </w:r>
      <w:r>
        <w:rPr>
          <w:szCs w:val="22"/>
        </w:rPr>
        <w:t>Three scenarios for an increase in the registration costs of Parties to SCAR were proposed to the Delegates to account for the inflation that weighs on SCAR budget.</w:t>
      </w:r>
    </w:p>
    <w:p w14:paraId="4047A1A7" w14:textId="77777777" w:rsidR="00757F19" w:rsidRDefault="00757F19" w:rsidP="00757F19">
      <w:pPr>
        <w:pStyle w:val="ATSNormal"/>
        <w:rPr>
          <w:rFonts w:eastAsia="TimesNewRomanPSMT"/>
          <w:szCs w:val="22"/>
        </w:rPr>
      </w:pPr>
      <w:r>
        <w:rPr>
          <w:rFonts w:eastAsia="TimesNewRomanPSMT"/>
          <w:szCs w:val="22"/>
        </w:rPr>
        <w:t xml:space="preserve">Marcelo </w:t>
      </w:r>
      <w:proofErr w:type="spellStart"/>
      <w:r>
        <w:rPr>
          <w:rFonts w:eastAsia="TimesNewRomanPSMT"/>
          <w:szCs w:val="22"/>
        </w:rPr>
        <w:t>Leppe</w:t>
      </w:r>
      <w:proofErr w:type="spellEnd"/>
      <w:r>
        <w:rPr>
          <w:rFonts w:eastAsia="TimesNewRomanPSMT"/>
          <w:szCs w:val="22"/>
        </w:rPr>
        <w:t xml:space="preserve"> (Chile) and </w:t>
      </w:r>
      <w:proofErr w:type="spellStart"/>
      <w:r w:rsidRPr="00180D11">
        <w:rPr>
          <w:rFonts w:eastAsia="TimesNewRomanPSMT"/>
          <w:szCs w:val="22"/>
        </w:rPr>
        <w:t>Burcu</w:t>
      </w:r>
      <w:proofErr w:type="spellEnd"/>
      <w:r w:rsidRPr="00180D11">
        <w:rPr>
          <w:rFonts w:eastAsia="TimesNewRomanPSMT"/>
          <w:szCs w:val="22"/>
        </w:rPr>
        <w:t xml:space="preserve"> </w:t>
      </w:r>
      <w:proofErr w:type="spellStart"/>
      <w:r w:rsidRPr="00180D11">
        <w:rPr>
          <w:rFonts w:eastAsia="TimesNewRomanPSMT"/>
          <w:szCs w:val="22"/>
        </w:rPr>
        <w:t>Ozsoy</w:t>
      </w:r>
      <w:proofErr w:type="spellEnd"/>
      <w:r w:rsidRPr="00180D11">
        <w:rPr>
          <w:rFonts w:eastAsia="TimesNewRomanPSMT"/>
          <w:szCs w:val="22"/>
        </w:rPr>
        <w:t xml:space="preserve"> </w:t>
      </w:r>
      <w:r>
        <w:rPr>
          <w:rFonts w:eastAsia="TimesNewRomanPSMT"/>
          <w:szCs w:val="22"/>
        </w:rPr>
        <w:t>(</w:t>
      </w:r>
      <w:r w:rsidRPr="00180D11">
        <w:rPr>
          <w:rFonts w:eastAsia="TimesNewRomanPSMT"/>
          <w:szCs w:val="22"/>
        </w:rPr>
        <w:t>Türkiye</w:t>
      </w:r>
      <w:r>
        <w:rPr>
          <w:rFonts w:eastAsia="TimesNewRomanPSMT"/>
          <w:szCs w:val="22"/>
        </w:rPr>
        <w:t xml:space="preserve">) were elected new vice-presidents for Administration and Capacity Building, respectively for 4 years. They will accompany </w:t>
      </w:r>
      <w:r w:rsidRPr="00180D11">
        <w:rPr>
          <w:rFonts w:eastAsia="TimesNewRomanPSMT"/>
          <w:szCs w:val="22"/>
        </w:rPr>
        <w:t xml:space="preserve">Jefferson Cardia </w:t>
      </w:r>
      <w:proofErr w:type="spellStart"/>
      <w:r w:rsidRPr="00180D11">
        <w:rPr>
          <w:rFonts w:eastAsia="TimesNewRomanPSMT"/>
          <w:szCs w:val="22"/>
        </w:rPr>
        <w:t>Simões</w:t>
      </w:r>
      <w:proofErr w:type="spellEnd"/>
      <w:r>
        <w:rPr>
          <w:rFonts w:eastAsia="TimesNewRomanPSMT"/>
          <w:szCs w:val="22"/>
        </w:rPr>
        <w:t xml:space="preserve"> (Brazil) and Deneb </w:t>
      </w:r>
      <w:proofErr w:type="spellStart"/>
      <w:r>
        <w:rPr>
          <w:rFonts w:eastAsia="TimesNewRomanPSMT"/>
          <w:szCs w:val="22"/>
        </w:rPr>
        <w:t>Karentz</w:t>
      </w:r>
      <w:proofErr w:type="spellEnd"/>
      <w:r>
        <w:rPr>
          <w:rFonts w:eastAsia="TimesNewRomanPSMT"/>
          <w:szCs w:val="22"/>
        </w:rPr>
        <w:t xml:space="preserve"> (USA) who currently act as vice-presidents for Finance and Science, respectively</w:t>
      </w:r>
      <w:r w:rsidRPr="004E28DD">
        <w:rPr>
          <w:rFonts w:eastAsia="TimesNewRomanPSMT"/>
          <w:szCs w:val="22"/>
        </w:rPr>
        <w:t>.</w:t>
      </w:r>
    </w:p>
    <w:p w14:paraId="17115EC9" w14:textId="77777777" w:rsidR="00757F19" w:rsidRPr="004E28DD" w:rsidRDefault="00757F19" w:rsidP="00757F19">
      <w:pPr>
        <w:pStyle w:val="ATSNormal"/>
        <w:rPr>
          <w:rFonts w:eastAsia="TimesNewRomanPSMT"/>
          <w:szCs w:val="22"/>
        </w:rPr>
      </w:pPr>
      <w:r w:rsidRPr="00151CE7">
        <w:rPr>
          <w:rFonts w:eastAsia="TimesNewRomanPSMT"/>
          <w:szCs w:val="22"/>
        </w:rPr>
        <w:t xml:space="preserve">Prof Steven L </w:t>
      </w:r>
      <w:proofErr w:type="spellStart"/>
      <w:r w:rsidRPr="00151CE7">
        <w:rPr>
          <w:rFonts w:eastAsia="TimesNewRomanPSMT"/>
          <w:szCs w:val="22"/>
        </w:rPr>
        <w:t>Chown</w:t>
      </w:r>
      <w:proofErr w:type="spellEnd"/>
      <w:r w:rsidRPr="00151CE7">
        <w:rPr>
          <w:rFonts w:eastAsia="TimesNewRomanPSMT"/>
          <w:szCs w:val="22"/>
        </w:rPr>
        <w:t xml:space="preserve"> was awarded Honorary SCAR membership in recognition of </w:t>
      </w:r>
      <w:r>
        <w:rPr>
          <w:rFonts w:eastAsia="TimesNewRomanPSMT"/>
          <w:szCs w:val="22"/>
        </w:rPr>
        <w:t>the</w:t>
      </w:r>
      <w:r w:rsidRPr="00151CE7">
        <w:rPr>
          <w:rFonts w:eastAsia="TimesNewRomanPSMT"/>
          <w:szCs w:val="22"/>
        </w:rPr>
        <w:t xml:space="preserve"> numerous roles</w:t>
      </w:r>
      <w:r>
        <w:rPr>
          <w:rFonts w:eastAsia="TimesNewRomanPSMT"/>
          <w:szCs w:val="22"/>
        </w:rPr>
        <w:t xml:space="preserve"> he held in </w:t>
      </w:r>
      <w:r w:rsidRPr="00151CE7">
        <w:rPr>
          <w:rFonts w:eastAsia="TimesNewRomanPSMT"/>
          <w:szCs w:val="22"/>
        </w:rPr>
        <w:t xml:space="preserve">SCAR </w:t>
      </w:r>
      <w:r>
        <w:rPr>
          <w:rFonts w:eastAsia="TimesNewRomanPSMT"/>
          <w:szCs w:val="22"/>
        </w:rPr>
        <w:t xml:space="preserve">such as being its </w:t>
      </w:r>
      <w:r w:rsidRPr="00151CE7">
        <w:rPr>
          <w:rFonts w:eastAsia="TimesNewRomanPSMT"/>
          <w:szCs w:val="22"/>
        </w:rPr>
        <w:t>President from 2016-2021</w:t>
      </w:r>
      <w:r>
        <w:rPr>
          <w:rFonts w:eastAsia="TimesNewRomanPSMT"/>
          <w:szCs w:val="22"/>
        </w:rPr>
        <w:t xml:space="preserve"> </w:t>
      </w:r>
      <w:r w:rsidRPr="00151CE7">
        <w:rPr>
          <w:rFonts w:eastAsia="TimesNewRomanPSMT"/>
          <w:szCs w:val="22"/>
        </w:rPr>
        <w:t>and represent</w:t>
      </w:r>
      <w:r>
        <w:rPr>
          <w:rFonts w:eastAsia="TimesNewRomanPSMT"/>
          <w:szCs w:val="22"/>
        </w:rPr>
        <w:t>ing</w:t>
      </w:r>
      <w:r w:rsidRPr="00151CE7">
        <w:rPr>
          <w:rFonts w:eastAsia="TimesNewRomanPSMT"/>
          <w:szCs w:val="22"/>
        </w:rPr>
        <w:t xml:space="preserve"> SCAR at the Antarctic Treaty Consultative Meetings, providing scientific advice on a broad range of environmental and science policy matters.</w:t>
      </w:r>
    </w:p>
    <w:p w14:paraId="106DF3B4" w14:textId="77777777" w:rsidR="00757F19" w:rsidRDefault="00757F19" w:rsidP="00757F19">
      <w:pPr>
        <w:pStyle w:val="ATSHeading2"/>
        <w:keepNext/>
      </w:pPr>
      <w:r>
        <w:t xml:space="preserve">Aspects of the meeting of </w:t>
      </w:r>
      <w:proofErr w:type="gramStart"/>
      <w:r>
        <w:t>particular relevance</w:t>
      </w:r>
      <w:proofErr w:type="gramEnd"/>
      <w:r>
        <w:t xml:space="preserve"> to the CEP</w:t>
      </w:r>
    </w:p>
    <w:p w14:paraId="652AFA15" w14:textId="77777777" w:rsidR="00757F19" w:rsidRDefault="00757F19" w:rsidP="00757F19">
      <w:pPr>
        <w:autoSpaceDE w:val="0"/>
        <w:autoSpaceDN w:val="0"/>
        <w:adjustRightInd w:val="0"/>
        <w:rPr>
          <w:rFonts w:eastAsia="TimesNewRomanPSMT"/>
        </w:rPr>
      </w:pPr>
    </w:p>
    <w:p w14:paraId="3CC8F296" w14:textId="77777777" w:rsidR="00757F19" w:rsidRDefault="00757F19" w:rsidP="00757F19">
      <w:pPr>
        <w:autoSpaceDE w:val="0"/>
        <w:autoSpaceDN w:val="0"/>
        <w:adjustRightInd w:val="0"/>
        <w:rPr>
          <w:rFonts w:eastAsia="TimesNewRomanPSMT"/>
          <w:b/>
        </w:rPr>
      </w:pPr>
      <w:r w:rsidRPr="008E3C52">
        <w:rPr>
          <w:rFonts w:eastAsia="TimesNewRomanPSMT"/>
          <w:b/>
        </w:rPr>
        <w:t>New Scientific Research Programmes</w:t>
      </w:r>
    </w:p>
    <w:p w14:paraId="040F411C" w14:textId="77777777" w:rsidR="00757F19" w:rsidRDefault="00757F19" w:rsidP="00757F19">
      <w:pPr>
        <w:autoSpaceDE w:val="0"/>
        <w:autoSpaceDN w:val="0"/>
        <w:adjustRightInd w:val="0"/>
        <w:rPr>
          <w:rFonts w:eastAsia="TimesNewRomanPSMT"/>
        </w:rPr>
      </w:pPr>
      <w:r>
        <w:rPr>
          <w:rFonts w:eastAsia="TimesNewRomanPSMT"/>
        </w:rPr>
        <w:t>SCAR currently houses three Research Programmes that have been running since 2020</w:t>
      </w:r>
      <w:r w:rsidRPr="008E3C52">
        <w:rPr>
          <w:rFonts w:eastAsia="TimesNewRomanPSMT"/>
        </w:rPr>
        <w:t>.</w:t>
      </w:r>
      <w:r>
        <w:rPr>
          <w:rFonts w:eastAsia="TimesNewRomanPSMT"/>
        </w:rPr>
        <w:t xml:space="preserve"> The potential programmes are all directed towards overarching issues and areas of concern for policy and management, </w:t>
      </w:r>
      <w:r w:rsidRPr="008E3C52">
        <w:rPr>
          <w:rFonts w:eastAsia="TimesNewRomanPSMT"/>
        </w:rPr>
        <w:t>and the needs of the CEP and the Antarctic Treaty system in general has been highlighted as a rational for these programmes</w:t>
      </w:r>
      <w:r>
        <w:rPr>
          <w:rFonts w:eastAsia="TimesNewRomanPSMT"/>
        </w:rPr>
        <w:t>:</w:t>
      </w:r>
    </w:p>
    <w:p w14:paraId="58416FC4" w14:textId="77777777" w:rsidR="00757F19" w:rsidRDefault="00757F19" w:rsidP="00757F19">
      <w:pPr>
        <w:pStyle w:val="Prrafodelista"/>
        <w:numPr>
          <w:ilvl w:val="0"/>
          <w:numId w:val="21"/>
        </w:numPr>
        <w:autoSpaceDE w:val="0"/>
        <w:autoSpaceDN w:val="0"/>
        <w:adjustRightInd w:val="0"/>
        <w:rPr>
          <w:rFonts w:eastAsia="TimesNewRomanPSMT"/>
        </w:rPr>
      </w:pPr>
      <w:r>
        <w:rPr>
          <w:rFonts w:eastAsia="TimesNewRomanPSMT"/>
        </w:rPr>
        <w:t>Integrated Conservation Planning for Antarctica and the Southern Ocean (</w:t>
      </w:r>
      <w:r w:rsidRPr="008E3C52">
        <w:rPr>
          <w:rFonts w:eastAsia="TimesNewRomanPSMT"/>
          <w:b/>
        </w:rPr>
        <w:t>Ant-ICON</w:t>
      </w:r>
      <w:r>
        <w:rPr>
          <w:rFonts w:eastAsia="TimesNewRomanPSMT"/>
        </w:rPr>
        <w:t>) which will aim to</w:t>
      </w:r>
      <w:r w:rsidRPr="008E3C52">
        <w:rPr>
          <w:rFonts w:eastAsia="TimesNewRomanPSMT"/>
        </w:rPr>
        <w:t xml:space="preserve"> answer fundamental science questions (as identified by the SCAR Horizon Scan), relating to the conservation and management of Antarctica and the Southern Ocean and focus on research to drive and inform international decision-making and policy change. The SRP will focus on four research themes, broadly covering: </w:t>
      </w:r>
      <w:proofErr w:type="spellStart"/>
      <w:r w:rsidRPr="008E3C52">
        <w:rPr>
          <w:rFonts w:eastAsia="TimesNewRomanPSMT"/>
        </w:rPr>
        <w:t>i</w:t>
      </w:r>
      <w:proofErr w:type="spellEnd"/>
      <w:r w:rsidRPr="008E3C52">
        <w:rPr>
          <w:rFonts w:eastAsia="TimesNewRomanPSMT"/>
        </w:rPr>
        <w:t xml:space="preserve">) integrated forecasting of future change to support conservation planning; ii) environmental sustainability of human activities in Antarctica; iii) Antarctic conservation in a global context; and iv) socio-ecological approaches to conservation </w:t>
      </w:r>
      <w:r w:rsidRPr="008E3C52">
        <w:rPr>
          <w:rFonts w:eastAsia="TimesNewRomanPSMT"/>
        </w:rPr>
        <w:lastRenderedPageBreak/>
        <w:t xml:space="preserve">planning. </w:t>
      </w:r>
      <w:r w:rsidRPr="0070090D">
        <w:rPr>
          <w:rFonts w:eastAsia="TimesNewRomanPSMT"/>
        </w:rPr>
        <w:t xml:space="preserve">The Chief Officers of Ant-ICON are </w:t>
      </w:r>
      <w:r>
        <w:rPr>
          <w:rFonts w:eastAsia="TimesNewRomanPSMT"/>
        </w:rPr>
        <w:t>Mercedes</w:t>
      </w:r>
      <w:r w:rsidRPr="0070090D">
        <w:rPr>
          <w:rFonts w:eastAsia="TimesNewRomanPSMT"/>
        </w:rPr>
        <w:t xml:space="preserve"> Santos</w:t>
      </w:r>
      <w:r>
        <w:rPr>
          <w:rFonts w:eastAsia="TimesNewRomanPSMT"/>
        </w:rPr>
        <w:t xml:space="preserve"> (Argentina)</w:t>
      </w:r>
      <w:r w:rsidRPr="0070090D">
        <w:rPr>
          <w:rFonts w:eastAsia="TimesNewRomanPSMT"/>
        </w:rPr>
        <w:t xml:space="preserve"> and Daniela Liggett</w:t>
      </w:r>
      <w:r>
        <w:rPr>
          <w:rFonts w:eastAsia="TimesNewRomanPSMT"/>
        </w:rPr>
        <w:t xml:space="preserve"> (New Zealand)</w:t>
      </w:r>
      <w:r w:rsidRPr="008E3C52">
        <w:rPr>
          <w:rFonts w:eastAsia="TimesNewRomanPSMT"/>
        </w:rPr>
        <w:t>. </w:t>
      </w:r>
    </w:p>
    <w:p w14:paraId="61698C91" w14:textId="77777777" w:rsidR="00757F19" w:rsidRDefault="00757F19" w:rsidP="00757F19">
      <w:pPr>
        <w:pStyle w:val="Prrafodelista"/>
        <w:numPr>
          <w:ilvl w:val="0"/>
          <w:numId w:val="21"/>
        </w:numPr>
        <w:autoSpaceDE w:val="0"/>
        <w:autoSpaceDN w:val="0"/>
        <w:adjustRightInd w:val="0"/>
        <w:rPr>
          <w:rFonts w:eastAsia="TimesNewRomanPSMT"/>
        </w:rPr>
      </w:pPr>
      <w:r>
        <w:rPr>
          <w:rFonts w:eastAsia="TimesNewRomanPSMT"/>
        </w:rPr>
        <w:t>Near-term Variability and Prediction of the Antarctic Climate System (</w:t>
      </w:r>
      <w:proofErr w:type="spellStart"/>
      <w:r w:rsidRPr="008E3C52">
        <w:rPr>
          <w:rFonts w:eastAsia="TimesNewRomanPSMT"/>
          <w:b/>
        </w:rPr>
        <w:t>AntClim</w:t>
      </w:r>
      <w:r w:rsidRPr="008E3C52">
        <w:rPr>
          <w:rFonts w:eastAsia="TimesNewRomanPSMT"/>
          <w:b/>
          <w:vertAlign w:val="superscript"/>
        </w:rPr>
        <w:t>now</w:t>
      </w:r>
      <w:proofErr w:type="spellEnd"/>
      <w:r>
        <w:rPr>
          <w:rFonts w:eastAsia="TimesNewRomanPSMT"/>
        </w:rPr>
        <w:t>) which will aim to</w:t>
      </w:r>
      <w:r w:rsidRPr="008E3C52">
        <w:rPr>
          <w:rFonts w:eastAsia="TimesNewRomanPSMT"/>
        </w:rPr>
        <w:t xml:space="preserve"> investigate prediction of near-term conditions in the Antarctic climate system on timescales of years to multiple decades. These time scales are highly relevant across multiple disciplines and to a range of key stakeholders whilst aligning strongly with scientific priorities identified as part of the SCAR Horizon Scan. </w:t>
      </w:r>
      <w:r w:rsidRPr="00201236">
        <w:rPr>
          <w:rFonts w:eastAsia="TimesNewRomanPSMT"/>
        </w:rPr>
        <w:t xml:space="preserve">The joint Chief Officers of </w:t>
      </w:r>
      <w:proofErr w:type="spellStart"/>
      <w:r w:rsidRPr="00201236">
        <w:rPr>
          <w:rFonts w:eastAsia="TimesNewRomanPSMT"/>
        </w:rPr>
        <w:t>AntClim</w:t>
      </w:r>
      <w:r>
        <w:rPr>
          <w:rFonts w:eastAsia="TimesNewRomanPSMT"/>
          <w:vertAlign w:val="superscript"/>
        </w:rPr>
        <w:t>n</w:t>
      </w:r>
      <w:r w:rsidRPr="00201236">
        <w:rPr>
          <w:rFonts w:eastAsia="TimesNewRomanPSMT"/>
          <w:vertAlign w:val="superscript"/>
        </w:rPr>
        <w:t>ow</w:t>
      </w:r>
      <w:proofErr w:type="spellEnd"/>
      <w:r w:rsidRPr="00201236">
        <w:rPr>
          <w:rFonts w:eastAsia="TimesNewRomanPSMT"/>
        </w:rPr>
        <w:t xml:space="preserve"> are Tom Bracegirdle </w:t>
      </w:r>
      <w:r>
        <w:rPr>
          <w:rFonts w:eastAsia="TimesNewRomanPSMT"/>
        </w:rPr>
        <w:t>(UK)</w:t>
      </w:r>
      <w:r w:rsidRPr="00201236">
        <w:rPr>
          <w:rFonts w:eastAsia="TimesNewRomanPSMT"/>
        </w:rPr>
        <w:t xml:space="preserve"> and Ilana </w:t>
      </w:r>
      <w:proofErr w:type="spellStart"/>
      <w:r w:rsidRPr="00201236">
        <w:rPr>
          <w:rFonts w:eastAsia="TimesNewRomanPSMT"/>
        </w:rPr>
        <w:t>Wainer</w:t>
      </w:r>
      <w:proofErr w:type="spellEnd"/>
      <w:r>
        <w:rPr>
          <w:rFonts w:eastAsia="TimesNewRomanPSMT"/>
        </w:rPr>
        <w:t xml:space="preserve"> (Brazil)</w:t>
      </w:r>
      <w:r w:rsidRPr="00201236">
        <w:rPr>
          <w:rFonts w:eastAsia="TimesNewRomanPSMT"/>
        </w:rPr>
        <w:t>.</w:t>
      </w:r>
    </w:p>
    <w:p w14:paraId="294272C4" w14:textId="77777777" w:rsidR="00757F19" w:rsidRPr="001223A4" w:rsidRDefault="00757F19" w:rsidP="00757F19">
      <w:pPr>
        <w:pStyle w:val="Prrafodelista"/>
        <w:numPr>
          <w:ilvl w:val="0"/>
          <w:numId w:val="21"/>
        </w:numPr>
        <w:autoSpaceDE w:val="0"/>
        <w:autoSpaceDN w:val="0"/>
        <w:adjustRightInd w:val="0"/>
        <w:rPr>
          <w:rFonts w:eastAsia="TimesNewRomanPSMT"/>
        </w:rPr>
      </w:pPr>
      <w:proofErr w:type="spellStart"/>
      <w:r w:rsidRPr="0070090D">
        <w:rPr>
          <w:rFonts w:eastAsia="TimesNewRomanPSMT"/>
        </w:rPr>
        <w:t>INStabilities</w:t>
      </w:r>
      <w:proofErr w:type="spellEnd"/>
      <w:r w:rsidRPr="0070090D">
        <w:rPr>
          <w:rFonts w:eastAsia="TimesNewRomanPSMT"/>
        </w:rPr>
        <w:t xml:space="preserve"> &amp; Thresholds in </w:t>
      </w:r>
      <w:proofErr w:type="spellStart"/>
      <w:r w:rsidRPr="0070090D">
        <w:rPr>
          <w:rFonts w:eastAsia="TimesNewRomanPSMT"/>
        </w:rPr>
        <w:t>ANTarctica</w:t>
      </w:r>
      <w:proofErr w:type="spellEnd"/>
      <w:r w:rsidRPr="0070090D">
        <w:rPr>
          <w:rFonts w:eastAsia="TimesNewRomanPSMT"/>
        </w:rPr>
        <w:t xml:space="preserve"> (</w:t>
      </w:r>
      <w:r w:rsidRPr="0070090D">
        <w:rPr>
          <w:rFonts w:eastAsia="TimesNewRomanPSMT"/>
          <w:b/>
          <w:bCs/>
        </w:rPr>
        <w:t>INSTANT</w:t>
      </w:r>
      <w:r w:rsidRPr="0070090D">
        <w:rPr>
          <w:rFonts w:eastAsia="TimesNewRomanPSMT"/>
        </w:rPr>
        <w:t>)</w:t>
      </w:r>
      <w:r>
        <w:rPr>
          <w:rFonts w:eastAsia="TimesNewRomanPSMT"/>
        </w:rPr>
        <w:t xml:space="preserve"> which will </w:t>
      </w:r>
      <w:r w:rsidRPr="0070090D">
        <w:rPr>
          <w:rFonts w:eastAsia="TimesNewRomanPSMT"/>
        </w:rPr>
        <w:t>aim to quantify the Antarctic ice sheet contribution to past and future global sea-level change</w:t>
      </w:r>
      <w:r w:rsidRPr="008E3C52">
        <w:rPr>
          <w:rFonts w:eastAsia="TimesNewRomanPSMT"/>
        </w:rPr>
        <w:t xml:space="preserve">, from improved understanding of climate, ocean and solid Earth interactions and feedbacks with the ice, so that decision-makers can better anticipate and assess the risk to manage and adapt to sea-level rise and evaluate mitigation pathways. </w:t>
      </w:r>
      <w:r w:rsidRPr="0070090D">
        <w:rPr>
          <w:rFonts w:eastAsia="TimesNewRomanPSMT"/>
        </w:rPr>
        <w:t xml:space="preserve">The joint Chief Officers of INSTANT are Tim </w:t>
      </w:r>
      <w:proofErr w:type="spellStart"/>
      <w:r w:rsidRPr="0070090D">
        <w:rPr>
          <w:rFonts w:eastAsia="TimesNewRomanPSMT"/>
        </w:rPr>
        <w:t>Naish</w:t>
      </w:r>
      <w:proofErr w:type="spellEnd"/>
      <w:r w:rsidRPr="0070090D">
        <w:rPr>
          <w:rFonts w:eastAsia="TimesNewRomanPSMT"/>
        </w:rPr>
        <w:t xml:space="preserve"> (New Zealand) and Florence Colleoni (Italy).</w:t>
      </w:r>
    </w:p>
    <w:p w14:paraId="753985BE" w14:textId="77777777" w:rsidR="00757F19" w:rsidRDefault="00757F19" w:rsidP="00757F19">
      <w:pPr>
        <w:autoSpaceDE w:val="0"/>
        <w:autoSpaceDN w:val="0"/>
        <w:adjustRightInd w:val="0"/>
        <w:rPr>
          <w:rFonts w:eastAsia="TimesNewRomanPSMT"/>
        </w:rPr>
      </w:pPr>
    </w:p>
    <w:p w14:paraId="3ACCC13C" w14:textId="77777777" w:rsidR="00757F19" w:rsidRDefault="00757F19" w:rsidP="00757F19">
      <w:pPr>
        <w:rPr>
          <w:rFonts w:eastAsia="TimesNewRomanPSMT"/>
        </w:rPr>
      </w:pPr>
      <w:r w:rsidRPr="00F44BC0">
        <w:rPr>
          <w:rFonts w:eastAsia="TimesNewRomanPSMT"/>
        </w:rPr>
        <w:t xml:space="preserve">A </w:t>
      </w:r>
      <w:r>
        <w:rPr>
          <w:rFonts w:eastAsia="TimesNewRomanPSMT"/>
        </w:rPr>
        <w:t xml:space="preserve">new </w:t>
      </w:r>
      <w:r w:rsidRPr="00F44BC0">
        <w:rPr>
          <w:rFonts w:eastAsia="TimesNewRomanPSMT"/>
        </w:rPr>
        <w:t xml:space="preserve">Proposal Planning Group (PPG) for </w:t>
      </w:r>
      <w:r>
        <w:rPr>
          <w:rFonts w:eastAsia="TimesNewRomanPSMT"/>
        </w:rPr>
        <w:t xml:space="preserve">a </w:t>
      </w:r>
      <w:r w:rsidRPr="00F44BC0">
        <w:rPr>
          <w:rFonts w:eastAsia="TimesNewRomanPSMT"/>
        </w:rPr>
        <w:t xml:space="preserve">new Scientific Research Programme (SRP) has been </w:t>
      </w:r>
      <w:r>
        <w:rPr>
          <w:rFonts w:eastAsia="TimesNewRomanPSMT"/>
        </w:rPr>
        <w:t>presented</w:t>
      </w:r>
      <w:r w:rsidRPr="00F44BC0">
        <w:rPr>
          <w:rFonts w:eastAsia="TimesNewRomanPSMT"/>
        </w:rPr>
        <w:t xml:space="preserve">: Antarctic </w:t>
      </w:r>
      <w:proofErr w:type="spellStart"/>
      <w:r w:rsidRPr="00F44BC0">
        <w:rPr>
          <w:rFonts w:eastAsia="TimesNewRomanPSMT"/>
        </w:rPr>
        <w:t>Geospace</w:t>
      </w:r>
      <w:proofErr w:type="spellEnd"/>
      <w:r w:rsidRPr="00F44BC0">
        <w:rPr>
          <w:rFonts w:eastAsia="TimesNewRomanPSMT"/>
        </w:rPr>
        <w:t xml:space="preserve"> and </w:t>
      </w:r>
      <w:proofErr w:type="spellStart"/>
      <w:r w:rsidRPr="00F44BC0">
        <w:rPr>
          <w:rFonts w:eastAsia="TimesNewRomanPSMT"/>
        </w:rPr>
        <w:t>ATmosphere</w:t>
      </w:r>
      <w:proofErr w:type="spellEnd"/>
      <w:r w:rsidRPr="00F44BC0">
        <w:rPr>
          <w:rFonts w:eastAsia="TimesNewRomanPSMT"/>
        </w:rPr>
        <w:t xml:space="preserve"> </w:t>
      </w:r>
      <w:proofErr w:type="spellStart"/>
      <w:r w:rsidRPr="00F44BC0">
        <w:rPr>
          <w:rFonts w:eastAsia="TimesNewRomanPSMT"/>
        </w:rPr>
        <w:t>reseArch</w:t>
      </w:r>
      <w:proofErr w:type="spellEnd"/>
      <w:r w:rsidRPr="00F44BC0">
        <w:rPr>
          <w:rFonts w:eastAsia="TimesNewRomanPSMT"/>
        </w:rPr>
        <w:t xml:space="preserve"> (AGATA). The proposed SRP aims at understanding the coupling of atmospheric layers in polar regions and its response to increased geomagnetic activity, using radio signals from the GNSS or other satellites, and from ground-based radars. The tentative Chief Officers are Lucilla Alfonsi (Italy), Nicolas </w:t>
      </w:r>
      <w:proofErr w:type="spellStart"/>
      <w:r w:rsidRPr="00F44BC0">
        <w:rPr>
          <w:rFonts w:eastAsia="TimesNewRomanPSMT"/>
        </w:rPr>
        <w:t>Bergeot</w:t>
      </w:r>
      <w:proofErr w:type="spellEnd"/>
      <w:r w:rsidRPr="00F44BC0">
        <w:rPr>
          <w:rFonts w:eastAsia="TimesNewRomanPSMT"/>
        </w:rPr>
        <w:t xml:space="preserve"> (Belgium).</w:t>
      </w:r>
    </w:p>
    <w:p w14:paraId="5C1DF456" w14:textId="77777777" w:rsidR="00757F19" w:rsidRPr="00F44BC0" w:rsidRDefault="00757F19" w:rsidP="00757F19">
      <w:pPr>
        <w:rPr>
          <w:rFonts w:eastAsia="TimesNewRomanPSMT"/>
        </w:rPr>
      </w:pPr>
    </w:p>
    <w:p w14:paraId="04336368" w14:textId="77777777" w:rsidR="00757F19" w:rsidRDefault="00757F19" w:rsidP="00757F19">
      <w:pPr>
        <w:autoSpaceDE w:val="0"/>
        <w:autoSpaceDN w:val="0"/>
        <w:adjustRightInd w:val="0"/>
        <w:rPr>
          <w:rFonts w:eastAsia="TimesNewRomanPSMT"/>
        </w:rPr>
      </w:pPr>
      <w:r>
        <w:rPr>
          <w:rFonts w:eastAsia="TimesNewRomanPSMT"/>
        </w:rPr>
        <w:t>New programmes will be considered at the next Delegates meeting. The meeting discussed potential programmes which will work to develop full proposals to the 2024 Delegates meeting.</w:t>
      </w:r>
    </w:p>
    <w:p w14:paraId="4279504B" w14:textId="77777777" w:rsidR="00757F19" w:rsidRDefault="00757F19" w:rsidP="00757F19">
      <w:pPr>
        <w:autoSpaceDE w:val="0"/>
        <w:autoSpaceDN w:val="0"/>
        <w:adjustRightInd w:val="0"/>
        <w:rPr>
          <w:rFonts w:eastAsia="TimesNewRomanPSMT"/>
        </w:rPr>
      </w:pPr>
    </w:p>
    <w:p w14:paraId="430A19F9" w14:textId="77777777" w:rsidR="00757F19" w:rsidRPr="00735FA7" w:rsidRDefault="00757F19" w:rsidP="00757F19">
      <w:pPr>
        <w:autoSpaceDE w:val="0"/>
        <w:autoSpaceDN w:val="0"/>
        <w:adjustRightInd w:val="0"/>
        <w:rPr>
          <w:rFonts w:eastAsia="TimesNewRomanPSMT"/>
          <w:b/>
        </w:rPr>
      </w:pPr>
      <w:r w:rsidRPr="00735FA7">
        <w:rPr>
          <w:rFonts w:eastAsia="TimesNewRomanPSMT"/>
          <w:b/>
        </w:rPr>
        <w:t>Scientific Groups</w:t>
      </w:r>
    </w:p>
    <w:p w14:paraId="75933F4B" w14:textId="77777777" w:rsidR="00757F19" w:rsidRDefault="00757F19" w:rsidP="00757F19">
      <w:pPr>
        <w:autoSpaceDE w:val="0"/>
        <w:autoSpaceDN w:val="0"/>
        <w:adjustRightInd w:val="0"/>
        <w:rPr>
          <w:rFonts w:eastAsia="TimesNewRomanPSMT"/>
        </w:rPr>
      </w:pPr>
      <w:r>
        <w:rPr>
          <w:rFonts w:eastAsia="TimesNewRomanPSMT"/>
        </w:rPr>
        <w:t>The current scientific groups reported progress to the meeting and highlighted coming efforts worth noting the establishment of several new Action and Expert groups:</w:t>
      </w:r>
    </w:p>
    <w:p w14:paraId="2CF01848" w14:textId="77777777" w:rsidR="00757F19" w:rsidRDefault="00757F19" w:rsidP="00757F19">
      <w:pPr>
        <w:pStyle w:val="Prrafodelista"/>
        <w:numPr>
          <w:ilvl w:val="0"/>
          <w:numId w:val="22"/>
        </w:numPr>
        <w:autoSpaceDE w:val="0"/>
        <w:autoSpaceDN w:val="0"/>
        <w:adjustRightInd w:val="0"/>
        <w:rPr>
          <w:rFonts w:eastAsia="TimesNewRomanPSMT"/>
        </w:rPr>
      </w:pPr>
      <w:r w:rsidRPr="00735FA7">
        <w:rPr>
          <w:rFonts w:eastAsia="TimesNewRomanPSMT"/>
        </w:rPr>
        <w:t>Geosciences Group (GSG</w:t>
      </w:r>
      <w:r>
        <w:rPr>
          <w:rFonts w:eastAsia="TimesNewRomanPSMT"/>
        </w:rPr>
        <w:t xml:space="preserve">: </w:t>
      </w:r>
      <w:hyperlink r:id="rId12" w:history="1">
        <w:r w:rsidRPr="00B16D75">
          <w:rPr>
            <w:rStyle w:val="Hipervnculo"/>
          </w:rPr>
          <w:t>https://www.scar.org/science/gsg/home/</w:t>
        </w:r>
      </w:hyperlink>
      <w:r w:rsidRPr="00735FA7">
        <w:rPr>
          <w:rFonts w:eastAsia="TimesNewRomanPSMT"/>
        </w:rPr>
        <w:t xml:space="preserve">): </w:t>
      </w:r>
    </w:p>
    <w:p w14:paraId="11E05BB3" w14:textId="77777777" w:rsidR="00757F19" w:rsidRPr="00E61239" w:rsidRDefault="00757F19" w:rsidP="00757F19">
      <w:pPr>
        <w:pStyle w:val="Prrafodelista"/>
        <w:numPr>
          <w:ilvl w:val="1"/>
          <w:numId w:val="22"/>
        </w:numPr>
        <w:autoSpaceDE w:val="0"/>
        <w:autoSpaceDN w:val="0"/>
        <w:adjustRightInd w:val="0"/>
        <w:rPr>
          <w:iCs/>
        </w:rPr>
      </w:pPr>
      <w:r>
        <w:rPr>
          <w:iCs/>
        </w:rPr>
        <w:t xml:space="preserve">The secretary of the Group has changed with Marcelo </w:t>
      </w:r>
      <w:proofErr w:type="spellStart"/>
      <w:r>
        <w:rPr>
          <w:iCs/>
        </w:rPr>
        <w:t>Leppe</w:t>
      </w:r>
      <w:proofErr w:type="spellEnd"/>
      <w:r>
        <w:rPr>
          <w:iCs/>
        </w:rPr>
        <w:t xml:space="preserve"> (Chile) stepping down and being replaced by Laura de </w:t>
      </w:r>
      <w:proofErr w:type="spellStart"/>
      <w:r>
        <w:rPr>
          <w:iCs/>
        </w:rPr>
        <w:t>Santis</w:t>
      </w:r>
      <w:proofErr w:type="spellEnd"/>
      <w:r>
        <w:rPr>
          <w:iCs/>
        </w:rPr>
        <w:t xml:space="preserve"> (Italy).</w:t>
      </w:r>
    </w:p>
    <w:p w14:paraId="672A97D3" w14:textId="77777777" w:rsidR="00757F19" w:rsidRDefault="00757F19" w:rsidP="00757F19">
      <w:pPr>
        <w:pStyle w:val="Prrafodelista"/>
        <w:numPr>
          <w:ilvl w:val="1"/>
          <w:numId w:val="22"/>
        </w:numPr>
        <w:autoSpaceDE w:val="0"/>
        <w:autoSpaceDN w:val="0"/>
        <w:adjustRightInd w:val="0"/>
        <w:rPr>
          <w:iCs/>
        </w:rPr>
      </w:pPr>
      <w:r w:rsidRPr="00E61239">
        <w:t xml:space="preserve">The Geological Heritage and </w:t>
      </w:r>
      <w:proofErr w:type="spellStart"/>
      <w:r w:rsidRPr="00E61239">
        <w:t>Geoconservation</w:t>
      </w:r>
      <w:proofErr w:type="spellEnd"/>
      <w:r>
        <w:t xml:space="preserve"> Action Group has completed its term and is now closed</w:t>
      </w:r>
      <w:r w:rsidRPr="00427FF9">
        <w:rPr>
          <w:iCs/>
        </w:rPr>
        <w:t>.</w:t>
      </w:r>
      <w:r>
        <w:rPr>
          <w:iCs/>
        </w:rPr>
        <w:t xml:space="preserve"> It was endorsed to transition to an Expert Group (GEOCON: </w:t>
      </w:r>
      <w:r w:rsidRPr="00E61239">
        <w:rPr>
          <w:iCs/>
        </w:rPr>
        <w:t xml:space="preserve">Geological Heritage and </w:t>
      </w:r>
      <w:proofErr w:type="spellStart"/>
      <w:r w:rsidRPr="00E61239">
        <w:rPr>
          <w:iCs/>
        </w:rPr>
        <w:t>Geoconservation</w:t>
      </w:r>
      <w:proofErr w:type="spellEnd"/>
      <w:r>
        <w:rPr>
          <w:iCs/>
        </w:rPr>
        <w:t>).</w:t>
      </w:r>
    </w:p>
    <w:p w14:paraId="680F6386" w14:textId="77777777" w:rsidR="00757F19" w:rsidRPr="003757E4" w:rsidRDefault="00757F19" w:rsidP="00757F19">
      <w:pPr>
        <w:pStyle w:val="Prrafodelista"/>
        <w:numPr>
          <w:ilvl w:val="1"/>
          <w:numId w:val="22"/>
        </w:numPr>
        <w:autoSpaceDE w:val="0"/>
        <w:autoSpaceDN w:val="0"/>
        <w:adjustRightInd w:val="0"/>
        <w:rPr>
          <w:iCs/>
        </w:rPr>
      </w:pPr>
      <w:r>
        <w:rPr>
          <w:iCs/>
        </w:rPr>
        <w:t>Two</w:t>
      </w:r>
      <w:r w:rsidRPr="003757E4">
        <w:rPr>
          <w:iCs/>
        </w:rPr>
        <w:t xml:space="preserve"> new Action Group</w:t>
      </w:r>
      <w:r>
        <w:rPr>
          <w:iCs/>
        </w:rPr>
        <w:t>s</w:t>
      </w:r>
      <w:r w:rsidRPr="003757E4">
        <w:rPr>
          <w:iCs/>
        </w:rPr>
        <w:t xml:space="preserve"> </w:t>
      </w:r>
      <w:r>
        <w:rPr>
          <w:iCs/>
        </w:rPr>
        <w:t>were</w:t>
      </w:r>
      <w:r w:rsidRPr="003757E4">
        <w:rPr>
          <w:iCs/>
        </w:rPr>
        <w:t xml:space="preserve"> endorsed</w:t>
      </w:r>
      <w:r>
        <w:rPr>
          <w:iCs/>
        </w:rPr>
        <w:t>:</w:t>
      </w:r>
      <w:r w:rsidRPr="003757E4">
        <w:rPr>
          <w:iCs/>
        </w:rPr>
        <w:t xml:space="preserve"> </w:t>
      </w:r>
      <w:r w:rsidRPr="003757E4">
        <w:rPr>
          <w:b/>
          <w:bCs/>
          <w:iCs/>
        </w:rPr>
        <w:t>ICEPRO</w:t>
      </w:r>
      <w:r w:rsidRPr="003757E4">
        <w:rPr>
          <w:iCs/>
        </w:rPr>
        <w:t xml:space="preserve"> </w:t>
      </w:r>
      <w:r>
        <w:rPr>
          <w:iCs/>
        </w:rPr>
        <w:t>“</w:t>
      </w:r>
      <w:r w:rsidRPr="003757E4">
        <w:rPr>
          <w:iCs/>
        </w:rPr>
        <w:t>An International Collaboration Effort for Improving Paleoclimate Research in the</w:t>
      </w:r>
      <w:r>
        <w:rPr>
          <w:iCs/>
        </w:rPr>
        <w:t xml:space="preserve"> </w:t>
      </w:r>
      <w:r w:rsidRPr="003757E4">
        <w:rPr>
          <w:iCs/>
        </w:rPr>
        <w:t>Southern Ocean</w:t>
      </w:r>
      <w:r>
        <w:rPr>
          <w:iCs/>
        </w:rPr>
        <w:t xml:space="preserve">”, which aims </w:t>
      </w:r>
      <w:r w:rsidRPr="003757E4">
        <w:rPr>
          <w:iCs/>
        </w:rPr>
        <w:t>to</w:t>
      </w:r>
      <w:r>
        <w:rPr>
          <w:iCs/>
        </w:rPr>
        <w:t xml:space="preserve"> </w:t>
      </w:r>
      <w:r w:rsidRPr="003757E4">
        <w:rPr>
          <w:iCs/>
        </w:rPr>
        <w:t>improve our understanding of past ocean-ice-earth interactions</w:t>
      </w:r>
      <w:r>
        <w:rPr>
          <w:iCs/>
        </w:rPr>
        <w:t xml:space="preserve"> </w:t>
      </w:r>
      <w:r w:rsidRPr="003757E4">
        <w:rPr>
          <w:iCs/>
        </w:rPr>
        <w:t>by</w:t>
      </w:r>
      <w:r>
        <w:rPr>
          <w:iCs/>
        </w:rPr>
        <w:t xml:space="preserve"> </w:t>
      </w:r>
      <w:r w:rsidRPr="003757E4">
        <w:rPr>
          <w:iCs/>
        </w:rPr>
        <w:t>linking modern observations and paleo-records by</w:t>
      </w:r>
      <w:r>
        <w:rPr>
          <w:iCs/>
        </w:rPr>
        <w:t xml:space="preserve"> </w:t>
      </w:r>
      <w:r w:rsidRPr="003757E4">
        <w:rPr>
          <w:iCs/>
        </w:rPr>
        <w:t>facilitating</w:t>
      </w:r>
      <w:r>
        <w:rPr>
          <w:iCs/>
        </w:rPr>
        <w:t xml:space="preserve"> </w:t>
      </w:r>
      <w:r w:rsidRPr="003757E4">
        <w:rPr>
          <w:iCs/>
        </w:rPr>
        <w:t>transnational collaborations on(paleo)environmental</w:t>
      </w:r>
      <w:r>
        <w:rPr>
          <w:iCs/>
        </w:rPr>
        <w:t xml:space="preserve"> </w:t>
      </w:r>
      <w:r w:rsidRPr="003757E4">
        <w:rPr>
          <w:iCs/>
        </w:rPr>
        <w:t>studies in the Southern Ocean</w:t>
      </w:r>
      <w:r>
        <w:rPr>
          <w:iCs/>
        </w:rPr>
        <w:t xml:space="preserve">; and </w:t>
      </w:r>
      <w:r w:rsidRPr="003757E4">
        <w:rPr>
          <w:b/>
          <w:bCs/>
          <w:iCs/>
        </w:rPr>
        <w:t>RINGS</w:t>
      </w:r>
      <w:r>
        <w:rPr>
          <w:iCs/>
        </w:rPr>
        <w:t xml:space="preserve"> “Ice sheet margin”</w:t>
      </w:r>
      <w:r w:rsidRPr="003757E4">
        <w:rPr>
          <w:iCs/>
        </w:rPr>
        <w:t xml:space="preserve"> will clarify the current knowledge gaps at the ice-sheet margin and assess the impacts of new data filling these knowledge gaps, and </w:t>
      </w:r>
      <w:r>
        <w:rPr>
          <w:iCs/>
        </w:rPr>
        <w:t>will</w:t>
      </w:r>
      <w:r w:rsidRPr="003757E4">
        <w:rPr>
          <w:iCs/>
        </w:rPr>
        <w:t xml:space="preserve"> develop a set of protocols to systematically collect, </w:t>
      </w:r>
      <w:proofErr w:type="spellStart"/>
      <w:r w:rsidRPr="003757E4">
        <w:rPr>
          <w:iCs/>
        </w:rPr>
        <w:t>analyze</w:t>
      </w:r>
      <w:proofErr w:type="spellEnd"/>
      <w:r w:rsidRPr="003757E4">
        <w:rPr>
          <w:iCs/>
        </w:rPr>
        <w:t>, and share comprehensive airborne geophysical data</w:t>
      </w:r>
      <w:r>
        <w:rPr>
          <w:iCs/>
        </w:rPr>
        <w:t>).</w:t>
      </w:r>
    </w:p>
    <w:p w14:paraId="3169FEC5" w14:textId="77777777" w:rsidR="00757F19" w:rsidRPr="00551C8C" w:rsidRDefault="00757F19" w:rsidP="00757F19">
      <w:pPr>
        <w:pStyle w:val="Prrafodelista"/>
        <w:numPr>
          <w:ilvl w:val="1"/>
          <w:numId w:val="22"/>
        </w:numPr>
        <w:autoSpaceDE w:val="0"/>
        <w:autoSpaceDN w:val="0"/>
        <w:adjustRightInd w:val="0"/>
        <w:rPr>
          <w:iCs/>
          <w:lang w:val="en-US"/>
        </w:rPr>
      </w:pPr>
      <w:r>
        <w:rPr>
          <w:iCs/>
          <w:lang w:val="en-US"/>
        </w:rPr>
        <w:t>The Geosciences Group reiterate the n</w:t>
      </w:r>
      <w:r w:rsidRPr="00551C8C">
        <w:rPr>
          <w:iCs/>
          <w:lang w:val="en-US"/>
        </w:rPr>
        <w:t>eed to collect bathymetric and other geophysical data on the way to and from Antarctica to share the data with all nations to improve the Southern Ocean bathymetry map and geophysical dataset</w:t>
      </w:r>
      <w:r>
        <w:rPr>
          <w:iCs/>
          <w:lang w:val="en-US"/>
        </w:rPr>
        <w:t>.</w:t>
      </w:r>
    </w:p>
    <w:p w14:paraId="4A5FA568" w14:textId="77777777" w:rsidR="00757F19" w:rsidRPr="004F02B7" w:rsidRDefault="00757F19" w:rsidP="00757F19">
      <w:pPr>
        <w:pStyle w:val="Prrafodelista"/>
        <w:numPr>
          <w:ilvl w:val="0"/>
          <w:numId w:val="22"/>
        </w:numPr>
        <w:autoSpaceDE w:val="0"/>
        <w:autoSpaceDN w:val="0"/>
        <w:adjustRightInd w:val="0"/>
        <w:rPr>
          <w:rFonts w:eastAsia="TimesNewRomanPSMT"/>
        </w:rPr>
      </w:pPr>
      <w:r w:rsidRPr="00735FA7">
        <w:rPr>
          <w:rFonts w:eastAsia="TimesNewRomanPSMT"/>
        </w:rPr>
        <w:t>Life Sciences Group</w:t>
      </w:r>
      <w:r>
        <w:rPr>
          <w:rFonts w:eastAsia="TimesNewRomanPSMT"/>
        </w:rPr>
        <w:t xml:space="preserve"> (LSG: </w:t>
      </w:r>
      <w:hyperlink r:id="rId13" w:history="1">
        <w:r w:rsidRPr="00B16D75">
          <w:rPr>
            <w:rStyle w:val="Hipervnculo"/>
          </w:rPr>
          <w:t>https://www.scar.org/science/lsg/home/</w:t>
        </w:r>
      </w:hyperlink>
      <w:r>
        <w:rPr>
          <w:rFonts w:eastAsia="TimesNewRomanPSMT"/>
        </w:rPr>
        <w:t xml:space="preserve">): </w:t>
      </w:r>
    </w:p>
    <w:p w14:paraId="52595874" w14:textId="77777777" w:rsidR="00757F19" w:rsidRPr="007635A9" w:rsidRDefault="00757F19" w:rsidP="00757F19">
      <w:pPr>
        <w:numPr>
          <w:ilvl w:val="1"/>
          <w:numId w:val="22"/>
        </w:numPr>
      </w:pPr>
      <w:r>
        <w:t xml:space="preserve">Following the departure of Chief Officer Yan </w:t>
      </w:r>
      <w:proofErr w:type="spellStart"/>
      <w:r>
        <w:t>Ropert-Coudert</w:t>
      </w:r>
      <w:proofErr w:type="spellEnd"/>
      <w:r>
        <w:t xml:space="preserve"> (France) and deputy Chief Officer Marc </w:t>
      </w:r>
      <w:proofErr w:type="spellStart"/>
      <w:r>
        <w:t>Shepanek</w:t>
      </w:r>
      <w:proofErr w:type="spellEnd"/>
      <w:r>
        <w:t xml:space="preserve"> (USA), a</w:t>
      </w:r>
      <w:r w:rsidRPr="007635A9">
        <w:t xml:space="preserve"> new leadership team was elected during the business meeting and endorsed by the Delegates: Ian McDonald (Chief Officer - New Zealand), Natalie </w:t>
      </w:r>
      <w:proofErr w:type="spellStart"/>
      <w:r w:rsidRPr="007635A9">
        <w:t>Pattyn</w:t>
      </w:r>
      <w:proofErr w:type="spellEnd"/>
      <w:r w:rsidRPr="007635A9">
        <w:t xml:space="preserve"> (Deputy CO - Belgium/JEGHBM) and Byron Adams (Secretary - USA).</w:t>
      </w:r>
      <w:r>
        <w:t xml:space="preserve"> </w:t>
      </w:r>
    </w:p>
    <w:p w14:paraId="48A33388" w14:textId="77777777" w:rsidR="00757F19" w:rsidRDefault="00757F19" w:rsidP="00757F19">
      <w:pPr>
        <w:numPr>
          <w:ilvl w:val="1"/>
          <w:numId w:val="22"/>
        </w:numPr>
      </w:pPr>
      <w:r w:rsidRPr="007635A9">
        <w:t xml:space="preserve">A number of groups have </w:t>
      </w:r>
      <w:r>
        <w:t>obtained</w:t>
      </w:r>
      <w:r w:rsidRPr="007635A9">
        <w:t xml:space="preserve"> extensions</w:t>
      </w:r>
      <w:r>
        <w:t xml:space="preserve"> from the Delegates</w:t>
      </w:r>
      <w:r w:rsidRPr="007635A9">
        <w:t xml:space="preserve">: Extension for 6 years of </w:t>
      </w:r>
      <w:r>
        <w:t xml:space="preserve">the </w:t>
      </w:r>
      <w:r w:rsidRPr="007635A9">
        <w:t xml:space="preserve">expert group </w:t>
      </w:r>
      <w:r w:rsidRPr="003757E4">
        <w:rPr>
          <w:b/>
          <w:bCs/>
        </w:rPr>
        <w:t>EG-ABI</w:t>
      </w:r>
      <w:r w:rsidRPr="007635A9">
        <w:t xml:space="preserve"> </w:t>
      </w:r>
      <w:r>
        <w:t xml:space="preserve">“Antarctic Biodiversity Informatics”, which </w:t>
      </w:r>
      <w:r w:rsidRPr="005C6455">
        <w:t>aims to foster the application and development of computationally-</w:t>
      </w:r>
      <w:r w:rsidRPr="005C6455">
        <w:lastRenderedPageBreak/>
        <w:t>driven biodiversity science and information processing in the SCAR community</w:t>
      </w:r>
      <w:r w:rsidRPr="007635A9">
        <w:t xml:space="preserve">; Extension </w:t>
      </w:r>
      <w:r>
        <w:t xml:space="preserve">for 2 years </w:t>
      </w:r>
      <w:r w:rsidRPr="007635A9">
        <w:t xml:space="preserve">of action group </w:t>
      </w:r>
      <w:r w:rsidRPr="003757E4">
        <w:rPr>
          <w:b/>
          <w:bCs/>
        </w:rPr>
        <w:t>PLASTICS</w:t>
      </w:r>
      <w:r w:rsidRPr="007635A9">
        <w:t xml:space="preserve"> </w:t>
      </w:r>
      <w:r>
        <w:t xml:space="preserve">“Plastic in Polar Environments”, which </w:t>
      </w:r>
      <w:r w:rsidRPr="003757E4">
        <w:t xml:space="preserve">examine the presence, origin and biological effects of macro-, micro- and </w:t>
      </w:r>
      <w:proofErr w:type="spellStart"/>
      <w:r w:rsidRPr="003757E4">
        <w:t>nanoplastics</w:t>
      </w:r>
      <w:proofErr w:type="spellEnd"/>
      <w:r>
        <w:t>,</w:t>
      </w:r>
      <w:r w:rsidRPr="003757E4">
        <w:t xml:space="preserve"> quantify the scale of the problem and propose solutions for minimising the environmental risk and impacts on Polar ecosystems</w:t>
      </w:r>
      <w:r w:rsidRPr="007635A9">
        <w:t xml:space="preserve">; Extension </w:t>
      </w:r>
      <w:r>
        <w:t xml:space="preserve">for 1 year </w:t>
      </w:r>
      <w:r w:rsidRPr="007635A9">
        <w:t xml:space="preserve">of action group </w:t>
      </w:r>
      <w:proofErr w:type="spellStart"/>
      <w:r w:rsidRPr="003757E4">
        <w:rPr>
          <w:b/>
          <w:bCs/>
        </w:rPr>
        <w:t>ImPACT</w:t>
      </w:r>
      <w:proofErr w:type="spellEnd"/>
      <w:r>
        <w:t xml:space="preserve"> “Input pathways</w:t>
      </w:r>
      <w:r w:rsidRPr="003757E4">
        <w:t xml:space="preserve"> </w:t>
      </w:r>
      <w:r>
        <w:t>of persistent organic</w:t>
      </w:r>
      <w:r w:rsidRPr="003757E4">
        <w:t xml:space="preserve"> </w:t>
      </w:r>
      <w:r>
        <w:t>pollutants</w:t>
      </w:r>
      <w:r w:rsidRPr="003757E4">
        <w:t xml:space="preserve"> </w:t>
      </w:r>
      <w:r>
        <w:t>to Antarctica”,</w:t>
      </w:r>
      <w:r w:rsidRPr="007635A9">
        <w:t xml:space="preserve"> </w:t>
      </w:r>
      <w:r w:rsidRPr="003757E4">
        <w:t>which aims to serve both the Global Monitoring Plan of the Stockholm Convention on Persistent Organic Pollutants, as well as the Madrid Protocol</w:t>
      </w:r>
      <w:r w:rsidRPr="007635A9">
        <w:t xml:space="preserve">. </w:t>
      </w:r>
    </w:p>
    <w:p w14:paraId="37FCB6A2" w14:textId="77777777" w:rsidR="00757F19" w:rsidRPr="007635A9" w:rsidRDefault="00757F19" w:rsidP="00757F19">
      <w:pPr>
        <w:numPr>
          <w:ilvl w:val="1"/>
          <w:numId w:val="22"/>
        </w:numPr>
      </w:pPr>
      <w:r w:rsidRPr="007635A9">
        <w:t>SKAG</w:t>
      </w:r>
      <w:r>
        <w:t xml:space="preserve"> aims to be the prime conduit between CCAMLR and the wider krill science community to provide a forum to set research directions and promote collaboration to improve understanding of krill biology and ecology, and to assist in providing critical scientific information that matters the krill fishery management. The Delegates endorsed its</w:t>
      </w:r>
      <w:r w:rsidRPr="007635A9">
        <w:t xml:space="preserve"> request to become an expert group (</w:t>
      </w:r>
      <w:r>
        <w:t xml:space="preserve">now referred to as </w:t>
      </w:r>
      <w:r w:rsidRPr="007635A9">
        <w:t>SKEG)</w:t>
      </w:r>
      <w:r>
        <w:t xml:space="preserve">. </w:t>
      </w:r>
    </w:p>
    <w:p w14:paraId="74F7309A" w14:textId="77777777" w:rsidR="00757F19" w:rsidRDefault="00757F19" w:rsidP="00757F19">
      <w:pPr>
        <w:pStyle w:val="Prrafodelista"/>
        <w:numPr>
          <w:ilvl w:val="0"/>
          <w:numId w:val="22"/>
        </w:numPr>
        <w:autoSpaceDE w:val="0"/>
        <w:autoSpaceDN w:val="0"/>
        <w:adjustRightInd w:val="0"/>
        <w:rPr>
          <w:rFonts w:eastAsia="TimesNewRomanPSMT"/>
        </w:rPr>
      </w:pPr>
      <w:r w:rsidRPr="00735FA7">
        <w:rPr>
          <w:rFonts w:eastAsia="TimesNewRomanPSMT"/>
        </w:rPr>
        <w:t>Physical Sciences Group (PSG</w:t>
      </w:r>
      <w:r>
        <w:rPr>
          <w:rFonts w:eastAsia="TimesNewRomanPSMT"/>
        </w:rPr>
        <w:t>: (</w:t>
      </w:r>
      <w:hyperlink r:id="rId14" w:history="1">
        <w:r>
          <w:rPr>
            <w:rStyle w:val="Hipervnculo"/>
          </w:rPr>
          <w:t>https://www.scar.org/science/psg/home/</w:t>
        </w:r>
      </w:hyperlink>
      <w:r w:rsidRPr="00735FA7">
        <w:rPr>
          <w:rFonts w:eastAsia="TimesNewRomanPSMT"/>
        </w:rPr>
        <w:t xml:space="preserve">): </w:t>
      </w:r>
    </w:p>
    <w:p w14:paraId="4A107649" w14:textId="77777777" w:rsidR="00757F19" w:rsidRPr="005C6455" w:rsidRDefault="00757F19" w:rsidP="00757F19">
      <w:pPr>
        <w:pStyle w:val="Prrafodelista"/>
        <w:numPr>
          <w:ilvl w:val="1"/>
          <w:numId w:val="22"/>
        </w:numPr>
        <w:autoSpaceDE w:val="0"/>
        <w:autoSpaceDN w:val="0"/>
        <w:adjustRightInd w:val="0"/>
        <w:rPr>
          <w:lang w:val="fr-FR"/>
        </w:rPr>
      </w:pPr>
      <w:r w:rsidRPr="00551C8C">
        <w:rPr>
          <w:lang w:val="en-US"/>
        </w:rPr>
        <w:t xml:space="preserve">David Bromwich </w:t>
      </w:r>
      <w:r>
        <w:rPr>
          <w:lang w:val="en-US"/>
        </w:rPr>
        <w:t xml:space="preserve">(CO, USA) </w:t>
      </w:r>
      <w:r w:rsidRPr="00551C8C">
        <w:rPr>
          <w:lang w:val="en-US"/>
        </w:rPr>
        <w:t xml:space="preserve">and Steven Colwell </w:t>
      </w:r>
      <w:r>
        <w:rPr>
          <w:lang w:val="en-US"/>
        </w:rPr>
        <w:t xml:space="preserve">(secretary, UK) </w:t>
      </w:r>
      <w:r w:rsidRPr="00551C8C">
        <w:rPr>
          <w:lang w:val="en-US"/>
        </w:rPr>
        <w:t>have completed their terms of office and are no longer eligible for re-election</w:t>
      </w:r>
      <w:r>
        <w:rPr>
          <w:lang w:val="en-US"/>
        </w:rPr>
        <w:t>. New CO is Tajiki Nakamura (Japan</w:t>
      </w:r>
      <w:proofErr w:type="gramStart"/>
      <w:r>
        <w:rPr>
          <w:lang w:val="en-US"/>
        </w:rPr>
        <w:t>)</w:t>
      </w:r>
      <w:proofErr w:type="gramEnd"/>
      <w:r>
        <w:rPr>
          <w:lang w:val="en-US"/>
        </w:rPr>
        <w:t xml:space="preserve"> and new secretary is </w:t>
      </w:r>
      <w:r w:rsidRPr="00F44BC0">
        <w:rPr>
          <w:lang w:val="en-US"/>
        </w:rPr>
        <w:t xml:space="preserve">Wojciech </w:t>
      </w:r>
      <w:proofErr w:type="spellStart"/>
      <w:r w:rsidRPr="00F44BC0">
        <w:rPr>
          <w:lang w:val="en-US"/>
        </w:rPr>
        <w:t>Miloch</w:t>
      </w:r>
      <w:proofErr w:type="spellEnd"/>
      <w:r>
        <w:rPr>
          <w:lang w:val="en-US"/>
        </w:rPr>
        <w:t xml:space="preserve"> (Norway). Adriana </w:t>
      </w:r>
      <w:proofErr w:type="spellStart"/>
      <w:r w:rsidRPr="003F4F32">
        <w:rPr>
          <w:lang w:val="en-US"/>
        </w:rPr>
        <w:t>Gulisano</w:t>
      </w:r>
      <w:proofErr w:type="spellEnd"/>
      <w:r>
        <w:rPr>
          <w:lang w:val="en-US"/>
        </w:rPr>
        <w:t xml:space="preserve"> (Deputy CO, Argentina) stays in office.</w:t>
      </w:r>
    </w:p>
    <w:p w14:paraId="7496AF8C" w14:textId="77777777" w:rsidR="00757F19" w:rsidRPr="00551C8C" w:rsidRDefault="00757F19" w:rsidP="00757F19">
      <w:pPr>
        <w:pStyle w:val="Prrafodelista"/>
        <w:numPr>
          <w:ilvl w:val="1"/>
          <w:numId w:val="22"/>
        </w:numPr>
        <w:autoSpaceDE w:val="0"/>
        <w:autoSpaceDN w:val="0"/>
        <w:adjustRightInd w:val="0"/>
        <w:rPr>
          <w:lang w:val="en-US"/>
        </w:rPr>
      </w:pPr>
      <w:r w:rsidRPr="00551C8C">
        <w:rPr>
          <w:rFonts w:hint="eastAsia"/>
          <w:lang w:val="en-US"/>
        </w:rPr>
        <w:t>Covid-19</w:t>
      </w:r>
      <w:r>
        <w:rPr>
          <w:lang w:val="en-US"/>
        </w:rPr>
        <w:t xml:space="preserve"> substantially and </w:t>
      </w:r>
      <w:r w:rsidRPr="00551C8C">
        <w:rPr>
          <w:rFonts w:hint="eastAsia"/>
          <w:lang w:val="en-US"/>
        </w:rPr>
        <w:t>negatively</w:t>
      </w:r>
      <w:r>
        <w:rPr>
          <w:lang w:val="en-US"/>
        </w:rPr>
        <w:t xml:space="preserve"> </w:t>
      </w:r>
      <w:r w:rsidRPr="00551C8C">
        <w:rPr>
          <w:rFonts w:hint="eastAsia"/>
          <w:lang w:val="en-US"/>
        </w:rPr>
        <w:t>impacted</w:t>
      </w:r>
      <w:r>
        <w:rPr>
          <w:lang w:val="en-US"/>
        </w:rPr>
        <w:t xml:space="preserve"> </w:t>
      </w:r>
      <w:r w:rsidRPr="00551C8C">
        <w:rPr>
          <w:rFonts w:hint="eastAsia"/>
          <w:lang w:val="en-US"/>
        </w:rPr>
        <w:t>the</w:t>
      </w:r>
      <w:r>
        <w:rPr>
          <w:lang w:val="en-US"/>
        </w:rPr>
        <w:t xml:space="preserve"> </w:t>
      </w:r>
      <w:r w:rsidRPr="00551C8C">
        <w:rPr>
          <w:rFonts w:hint="eastAsia"/>
          <w:lang w:val="en-US"/>
        </w:rPr>
        <w:t>activities</w:t>
      </w:r>
      <w:r>
        <w:rPr>
          <w:lang w:val="en-US"/>
        </w:rPr>
        <w:t xml:space="preserve"> </w:t>
      </w:r>
      <w:r w:rsidRPr="00551C8C">
        <w:rPr>
          <w:rFonts w:hint="eastAsia"/>
          <w:lang w:val="en-US"/>
        </w:rPr>
        <w:t>of</w:t>
      </w:r>
      <w:r>
        <w:rPr>
          <w:lang w:val="en-US"/>
        </w:rPr>
        <w:t xml:space="preserve"> </w:t>
      </w:r>
      <w:r w:rsidRPr="00551C8C">
        <w:rPr>
          <w:rFonts w:hint="eastAsia"/>
          <w:lang w:val="en-US"/>
        </w:rPr>
        <w:t>all</w:t>
      </w:r>
      <w:r>
        <w:rPr>
          <w:lang w:val="en-US"/>
        </w:rPr>
        <w:t xml:space="preserve"> </w:t>
      </w:r>
      <w:r w:rsidRPr="00551C8C">
        <w:rPr>
          <w:rFonts w:hint="eastAsia"/>
          <w:lang w:val="en-US"/>
        </w:rPr>
        <w:t>Action</w:t>
      </w:r>
      <w:r>
        <w:rPr>
          <w:lang w:val="en-US"/>
        </w:rPr>
        <w:t xml:space="preserve"> </w:t>
      </w:r>
      <w:r w:rsidRPr="00551C8C">
        <w:rPr>
          <w:rFonts w:hint="eastAsia"/>
          <w:lang w:val="en-US"/>
        </w:rPr>
        <w:t>Groups</w:t>
      </w:r>
      <w:r>
        <w:rPr>
          <w:lang w:val="en-US"/>
        </w:rPr>
        <w:t xml:space="preserve"> </w:t>
      </w:r>
      <w:r w:rsidRPr="00551C8C">
        <w:rPr>
          <w:rFonts w:hint="eastAsia"/>
          <w:lang w:val="en-US"/>
        </w:rPr>
        <w:t>(AGs)</w:t>
      </w:r>
      <w:r>
        <w:rPr>
          <w:lang w:val="en-US"/>
        </w:rPr>
        <w:t xml:space="preserve"> </w:t>
      </w:r>
      <w:r w:rsidRPr="00551C8C">
        <w:rPr>
          <w:rFonts w:hint="eastAsia"/>
          <w:lang w:val="en-US"/>
        </w:rPr>
        <w:t xml:space="preserve">and Expert Groups (EGs) in 2020-2022. Action groups typically have a lifetime to 2-4 year and can be renewed once. The impact of the pandemic has meant that fieldwork could not be carried out but also the switch to remote working has meant that people have not had much time to commit to the work of the action groups due to other commitments. </w:t>
      </w:r>
      <w:proofErr w:type="gramStart"/>
      <w:r w:rsidRPr="00551C8C">
        <w:rPr>
          <w:rFonts w:hint="eastAsia"/>
          <w:lang w:val="en-US"/>
        </w:rPr>
        <w:t>Consequently</w:t>
      </w:r>
      <w:proofErr w:type="gramEnd"/>
      <w:r w:rsidRPr="00551C8C">
        <w:rPr>
          <w:rFonts w:hint="eastAsia"/>
          <w:lang w:val="en-US"/>
        </w:rPr>
        <w:t xml:space="preserve"> all action groups were extended for at least 2 years, RINGS, </w:t>
      </w:r>
      <w:proofErr w:type="spellStart"/>
      <w:r w:rsidRPr="00551C8C">
        <w:rPr>
          <w:rFonts w:hint="eastAsia"/>
          <w:lang w:val="en-US"/>
        </w:rPr>
        <w:t>AntArchitecture</w:t>
      </w:r>
      <w:proofErr w:type="spellEnd"/>
      <w:r w:rsidRPr="00551C8C">
        <w:rPr>
          <w:rFonts w:hint="eastAsia"/>
          <w:lang w:val="en-US"/>
        </w:rPr>
        <w:t xml:space="preserve"> and EOAG being extended for 4 years. </w:t>
      </w:r>
    </w:p>
    <w:p w14:paraId="53D996AD" w14:textId="77777777" w:rsidR="00757F19" w:rsidRDefault="00757F19" w:rsidP="00757F19">
      <w:pPr>
        <w:autoSpaceDE w:val="0"/>
        <w:autoSpaceDN w:val="0"/>
        <w:adjustRightInd w:val="0"/>
        <w:rPr>
          <w:rFonts w:eastAsia="TimesNewRomanPSMT"/>
        </w:rPr>
      </w:pPr>
    </w:p>
    <w:p w14:paraId="5D765EC3" w14:textId="77777777" w:rsidR="00757F19" w:rsidRDefault="00757F19" w:rsidP="00757F19">
      <w:pPr>
        <w:autoSpaceDE w:val="0"/>
        <w:autoSpaceDN w:val="0"/>
        <w:adjustRightInd w:val="0"/>
        <w:rPr>
          <w:rFonts w:eastAsia="TimesNewRomanPSMT"/>
        </w:rPr>
      </w:pPr>
      <w:r>
        <w:rPr>
          <w:rFonts w:eastAsia="TimesNewRomanPSMT"/>
        </w:rPr>
        <w:t>SCAR is furthermore undertaking a review of the current structure of SCAR and its subsidiary bodies, led initially by the Vice-President for Administration, Gary Wilson. The development of new SCAR groups and activities will be subject to the outcome of this review, which may alter aspects of SCAR’s rules for subsidiary bodies. Discussions are still on-going.</w:t>
      </w:r>
    </w:p>
    <w:p w14:paraId="211E389B" w14:textId="77777777" w:rsidR="00757F19" w:rsidRDefault="00757F19" w:rsidP="00757F19">
      <w:pPr>
        <w:autoSpaceDE w:val="0"/>
        <w:autoSpaceDN w:val="0"/>
        <w:adjustRightInd w:val="0"/>
        <w:rPr>
          <w:rFonts w:eastAsia="TimesNewRomanPSMT"/>
        </w:rPr>
      </w:pPr>
    </w:p>
    <w:p w14:paraId="1F6E5D04" w14:textId="77777777" w:rsidR="00757F19" w:rsidRDefault="00757F19" w:rsidP="00757F19">
      <w:pPr>
        <w:autoSpaceDE w:val="0"/>
        <w:autoSpaceDN w:val="0"/>
        <w:adjustRightInd w:val="0"/>
        <w:rPr>
          <w:rFonts w:eastAsia="TimesNewRomanPSMT"/>
        </w:rPr>
      </w:pPr>
      <w:r>
        <w:rPr>
          <w:rFonts w:eastAsia="TimesNewRomanPSMT"/>
        </w:rPr>
        <w:t>Please note that t</w:t>
      </w:r>
      <w:r w:rsidRPr="003F4F32">
        <w:rPr>
          <w:rFonts w:eastAsia="TimesNewRomanPSMT"/>
        </w:rPr>
        <w:t>he presentations from the 10</w:t>
      </w:r>
      <w:r w:rsidRPr="003F4F32">
        <w:rPr>
          <w:rFonts w:eastAsia="TimesNewRomanPSMT"/>
          <w:vertAlign w:val="superscript"/>
        </w:rPr>
        <w:t>th</w:t>
      </w:r>
      <w:r>
        <w:rPr>
          <w:rFonts w:eastAsia="TimesNewRomanPSMT"/>
        </w:rPr>
        <w:t xml:space="preserve"> </w:t>
      </w:r>
      <w:r w:rsidRPr="003F4F32">
        <w:rPr>
          <w:rFonts w:eastAsia="TimesNewRomanPSMT"/>
        </w:rPr>
        <w:t>SCAR Open</w:t>
      </w:r>
      <w:r>
        <w:rPr>
          <w:rFonts w:eastAsia="TimesNewRomanPSMT"/>
        </w:rPr>
        <w:t xml:space="preserve"> </w:t>
      </w:r>
      <w:r w:rsidRPr="003F4F32">
        <w:rPr>
          <w:rFonts w:eastAsia="TimesNewRomanPSMT"/>
        </w:rPr>
        <w:t>Science Conference earlier this year are now</w:t>
      </w:r>
      <w:r>
        <w:rPr>
          <w:rFonts w:eastAsia="TimesNewRomanPSMT"/>
        </w:rPr>
        <w:t xml:space="preserve"> </w:t>
      </w:r>
      <w:r w:rsidRPr="003F4F32">
        <w:rPr>
          <w:rFonts w:eastAsia="TimesNewRomanPSMT"/>
        </w:rPr>
        <w:t>available from the SCAR YouTube channel.</w:t>
      </w:r>
      <w:r>
        <w:rPr>
          <w:rFonts w:eastAsia="TimesNewRomanPSMT"/>
        </w:rPr>
        <w:t xml:space="preserve"> </w:t>
      </w:r>
      <w:r w:rsidRPr="003F4F32">
        <w:rPr>
          <w:rFonts w:eastAsia="TimesNewRomanPSMT"/>
        </w:rPr>
        <w:t xml:space="preserve">You can see an overview of all videos </w:t>
      </w:r>
      <w:hyperlink r:id="rId15" w:history="1">
        <w:r w:rsidRPr="00A72520">
          <w:rPr>
            <w:rStyle w:val="Hipervnculo"/>
            <w:rFonts w:eastAsia="TimesNewRomanPSMT"/>
          </w:rPr>
          <w:t>here</w:t>
        </w:r>
      </w:hyperlink>
      <w:r>
        <w:rPr>
          <w:rFonts w:eastAsia="TimesNewRomanPSMT"/>
        </w:rPr>
        <w:t>.</w:t>
      </w:r>
    </w:p>
    <w:p w14:paraId="67F31999" w14:textId="77777777" w:rsidR="00757F19" w:rsidRDefault="00757F19" w:rsidP="00757F19">
      <w:pPr>
        <w:autoSpaceDE w:val="0"/>
        <w:autoSpaceDN w:val="0"/>
        <w:adjustRightInd w:val="0"/>
        <w:rPr>
          <w:rFonts w:eastAsia="TimesNewRomanPSMT"/>
        </w:rPr>
      </w:pPr>
    </w:p>
    <w:p w14:paraId="7429F6CB" w14:textId="77777777" w:rsidR="00757F19" w:rsidRDefault="00757F19" w:rsidP="00757F19">
      <w:pPr>
        <w:autoSpaceDE w:val="0"/>
        <w:autoSpaceDN w:val="0"/>
        <w:adjustRightInd w:val="0"/>
        <w:rPr>
          <w:rFonts w:eastAsia="TimesNewRomanPSMT"/>
        </w:rPr>
      </w:pPr>
    </w:p>
    <w:p w14:paraId="08EDBF63" w14:textId="77777777" w:rsidR="00757F19" w:rsidRDefault="00757F19" w:rsidP="00757F19">
      <w:pPr>
        <w:autoSpaceDE w:val="0"/>
        <w:autoSpaceDN w:val="0"/>
        <w:adjustRightInd w:val="0"/>
        <w:rPr>
          <w:rFonts w:eastAsia="TimesNewRomanPSMT"/>
        </w:rPr>
      </w:pPr>
    </w:p>
    <w:p w14:paraId="23D3F356" w14:textId="77777777" w:rsidR="00757F19" w:rsidRPr="00323C28" w:rsidRDefault="00757F19" w:rsidP="00757F19">
      <w:pPr>
        <w:autoSpaceDE w:val="0"/>
        <w:autoSpaceDN w:val="0"/>
        <w:adjustRightInd w:val="0"/>
        <w:rPr>
          <w:rFonts w:eastAsia="TimesNewRomanPSMT"/>
          <w:b/>
        </w:rPr>
      </w:pPr>
      <w:r w:rsidRPr="00323C28">
        <w:rPr>
          <w:rFonts w:eastAsia="TimesNewRomanPSMT"/>
          <w:b/>
        </w:rPr>
        <w:t>SCAR Standing Committee on the Antarctic Treaty System (SC</w:t>
      </w:r>
      <w:r>
        <w:rPr>
          <w:rFonts w:eastAsia="TimesNewRomanPSMT"/>
          <w:b/>
        </w:rPr>
        <w:t>-</w:t>
      </w:r>
      <w:r w:rsidRPr="00323C28">
        <w:rPr>
          <w:rFonts w:eastAsia="TimesNewRomanPSMT"/>
          <w:b/>
        </w:rPr>
        <w:t>ATS)</w:t>
      </w:r>
    </w:p>
    <w:p w14:paraId="152AF0D4" w14:textId="77777777" w:rsidR="00757F19" w:rsidRPr="00B74018" w:rsidRDefault="00757F19" w:rsidP="00757F19">
      <w:pPr>
        <w:autoSpaceDE w:val="0"/>
        <w:autoSpaceDN w:val="0"/>
        <w:adjustRightInd w:val="0"/>
        <w:rPr>
          <w:rFonts w:eastAsia="TimesNewRomanPSMT"/>
        </w:rPr>
      </w:pPr>
      <w:proofErr w:type="spellStart"/>
      <w:r>
        <w:rPr>
          <w:rFonts w:eastAsia="TimesNewRomanPSMT"/>
        </w:rPr>
        <w:t>Dr.</w:t>
      </w:r>
      <w:proofErr w:type="spellEnd"/>
      <w:r>
        <w:rPr>
          <w:rFonts w:eastAsia="TimesNewRomanPSMT"/>
        </w:rPr>
        <w:t xml:space="preserve"> Susie Grants reported on the progress and plans of the SC-ATS, including interactions with the Treaty and the CEP</w:t>
      </w:r>
      <w:r>
        <w:rPr>
          <w:rFonts w:ascii="Open Sans" w:hAnsi="Open Sans"/>
          <w:color w:val="757575"/>
          <w:szCs w:val="22"/>
          <w:shd w:val="clear" w:color="auto" w:fill="FFFFFF"/>
        </w:rPr>
        <w:t>. </w:t>
      </w:r>
      <w:r>
        <w:rPr>
          <w:rFonts w:eastAsia="TimesNewRomanPSMT"/>
        </w:rPr>
        <w:t>R</w:t>
      </w:r>
      <w:r w:rsidRPr="00FE79F4">
        <w:rPr>
          <w:rFonts w:eastAsia="TimesNewRomanPSMT"/>
        </w:rPr>
        <w:t>elevant achievements and plans</w:t>
      </w:r>
      <w:r>
        <w:rPr>
          <w:rFonts w:eastAsia="TimesNewRomanPSMT"/>
        </w:rPr>
        <w:t xml:space="preserve"> to note are</w:t>
      </w:r>
      <w:r w:rsidRPr="00FE79F4">
        <w:rPr>
          <w:rFonts w:eastAsia="TimesNewRomanPSMT"/>
        </w:rPr>
        <w:t>:</w:t>
      </w:r>
    </w:p>
    <w:p w14:paraId="2B65AC8A" w14:textId="77777777" w:rsidR="00757F19" w:rsidRPr="0007128A" w:rsidRDefault="00757F19" w:rsidP="00757F19">
      <w:pPr>
        <w:numPr>
          <w:ilvl w:val="0"/>
          <w:numId w:val="22"/>
        </w:numPr>
        <w:autoSpaceDE w:val="0"/>
        <w:autoSpaceDN w:val="0"/>
        <w:adjustRightInd w:val="0"/>
        <w:rPr>
          <w:rFonts w:eastAsia="TimesNewRomanPSMT"/>
        </w:rPr>
      </w:pPr>
      <w:r>
        <w:t xml:space="preserve">Contribution to SCAR, especially to the </w:t>
      </w:r>
      <w:r w:rsidRPr="0007128A">
        <w:t>updates on current understanding and future projections of climate change, including the major Antarctic Climate Change and the Environment Decadal Synopsis report</w:t>
      </w:r>
      <w:r>
        <w:t>;</w:t>
      </w:r>
      <w:r w:rsidRPr="0007128A">
        <w:t xml:space="preserve"> advice on special protection and conservation status of the emperor penguin, establishment of an Environmental Code of Conduct for Geosciences Field Research Activities, development of closer links between SC-ATS and the Antarctic Environments Portal, and a mini- Symposium jointly convened by Ant-ICON and SC-ATS on “How SCAR informs and guides Antarctic policy and conservation” during the SCAR Open Science Conference.</w:t>
      </w:r>
    </w:p>
    <w:p w14:paraId="7698F475" w14:textId="77777777" w:rsidR="00757F19" w:rsidRPr="0007128A" w:rsidRDefault="00757F19" w:rsidP="00757F19">
      <w:pPr>
        <w:autoSpaceDE w:val="0"/>
        <w:autoSpaceDN w:val="0"/>
        <w:adjustRightInd w:val="0"/>
        <w:rPr>
          <w:rFonts w:eastAsia="TimesNewRomanPSMT"/>
        </w:rPr>
      </w:pPr>
    </w:p>
    <w:p w14:paraId="64E733E6" w14:textId="77777777" w:rsidR="00757F19" w:rsidRPr="0007128A" w:rsidRDefault="00757F19" w:rsidP="00757F19">
      <w:pPr>
        <w:autoSpaceDE w:val="0"/>
        <w:autoSpaceDN w:val="0"/>
        <w:adjustRightInd w:val="0"/>
        <w:rPr>
          <w:rFonts w:eastAsia="TimesNewRomanPSMT"/>
          <w:i/>
        </w:rPr>
      </w:pPr>
      <w:r w:rsidRPr="0007128A">
        <w:rPr>
          <w:rFonts w:eastAsia="TimesNewRomanPSMT"/>
          <w:i/>
        </w:rPr>
        <w:t xml:space="preserve">Planned deliveries and commitments relevant to the </w:t>
      </w:r>
      <w:proofErr w:type="gramStart"/>
      <w:r w:rsidRPr="0007128A">
        <w:rPr>
          <w:rFonts w:eastAsia="TimesNewRomanPSMT"/>
          <w:i/>
        </w:rPr>
        <w:t>CEP</w:t>
      </w:r>
      <w:proofErr w:type="gramEnd"/>
    </w:p>
    <w:p w14:paraId="14BEE117" w14:textId="77777777" w:rsidR="00757F19" w:rsidRPr="0007128A" w:rsidRDefault="00757F19" w:rsidP="00757F19">
      <w:pPr>
        <w:numPr>
          <w:ilvl w:val="0"/>
          <w:numId w:val="22"/>
        </w:numPr>
        <w:autoSpaceDE w:val="0"/>
        <w:autoSpaceDN w:val="0"/>
        <w:adjustRightInd w:val="0"/>
        <w:rPr>
          <w:rFonts w:eastAsia="TimesNewRomanPSMT"/>
        </w:rPr>
      </w:pPr>
      <w:r w:rsidRPr="0007128A">
        <w:t xml:space="preserve">SC-ATS will engage with Ant-ICON, </w:t>
      </w:r>
      <w:proofErr w:type="spellStart"/>
      <w:r w:rsidRPr="0007128A">
        <w:t>AntClim</w:t>
      </w:r>
      <w:r w:rsidRPr="0007128A">
        <w:rPr>
          <w:vertAlign w:val="superscript"/>
        </w:rPr>
        <w:t>now</w:t>
      </w:r>
      <w:proofErr w:type="spellEnd"/>
      <w:r w:rsidRPr="0007128A">
        <w:t xml:space="preserve"> and INSTANT on the strategic development of inputs to the </w:t>
      </w:r>
      <w:r>
        <w:t>Antarctic Treaty System</w:t>
      </w:r>
      <w:r w:rsidRPr="0007128A">
        <w:t>, given the focus of the</w:t>
      </w:r>
      <w:r>
        <w:t>se</w:t>
      </w:r>
      <w:r w:rsidRPr="0007128A">
        <w:t xml:space="preserve"> </w:t>
      </w:r>
      <w:r w:rsidRPr="0007128A">
        <w:lastRenderedPageBreak/>
        <w:t>S</w:t>
      </w:r>
      <w:r>
        <w:t xml:space="preserve">cientific </w:t>
      </w:r>
      <w:r w:rsidRPr="0007128A">
        <w:t>R</w:t>
      </w:r>
      <w:r>
        <w:t xml:space="preserve">esearch </w:t>
      </w:r>
      <w:r w:rsidRPr="0007128A">
        <w:t>P</w:t>
      </w:r>
      <w:r>
        <w:t>rogram</w:t>
      </w:r>
      <w:r w:rsidRPr="0007128A">
        <w:t xml:space="preserve">s on policy-relevant science, and high- priority topics for the </w:t>
      </w:r>
      <w:r>
        <w:t>Antarctic Treaty System.</w:t>
      </w:r>
    </w:p>
    <w:p w14:paraId="79CDDD5C" w14:textId="77777777" w:rsidR="00757F19" w:rsidRDefault="00757F19" w:rsidP="00757F19">
      <w:pPr>
        <w:numPr>
          <w:ilvl w:val="0"/>
          <w:numId w:val="22"/>
        </w:numPr>
        <w:autoSpaceDE w:val="0"/>
        <w:autoSpaceDN w:val="0"/>
        <w:adjustRightInd w:val="0"/>
        <w:rPr>
          <w:rFonts w:eastAsia="TimesNewRomanPSMT"/>
          <w:i/>
        </w:rPr>
      </w:pPr>
      <w:r w:rsidRPr="0007128A">
        <w:rPr>
          <w:rFonts w:eastAsia="TimesNewRomanPSMT"/>
        </w:rPr>
        <w:t xml:space="preserve">SC-ATS will further develop a Fellowship to allow the participation of early-career researchers in policy meetings (ATCM and CCAMLR), in collaboration with Ant-ICON and other SCAR groups as </w:t>
      </w:r>
      <w:proofErr w:type="gramStart"/>
      <w:r w:rsidRPr="0007128A">
        <w:rPr>
          <w:rFonts w:eastAsia="TimesNewRomanPSMT"/>
        </w:rPr>
        <w:t>appropriate</w:t>
      </w:r>
      <w:proofErr w:type="gramEnd"/>
    </w:p>
    <w:p w14:paraId="69B2007D" w14:textId="77777777" w:rsidR="00757F19" w:rsidRPr="00614377" w:rsidRDefault="00757F19" w:rsidP="00757F19">
      <w:pPr>
        <w:numPr>
          <w:ilvl w:val="0"/>
          <w:numId w:val="22"/>
        </w:numPr>
        <w:autoSpaceDE w:val="0"/>
        <w:autoSpaceDN w:val="0"/>
        <w:adjustRightInd w:val="0"/>
        <w:rPr>
          <w:rFonts w:eastAsia="TimesNewRomanPSMT"/>
        </w:rPr>
      </w:pPr>
      <w:r w:rsidRPr="0007128A">
        <w:rPr>
          <w:rFonts w:eastAsia="TimesNewRomanPSMT"/>
        </w:rPr>
        <w:t>Forthcoming Information and advice specifically requested by the ATCM and CEP</w:t>
      </w:r>
      <w:r>
        <w:rPr>
          <w:rFonts w:eastAsia="TimesNewRomanPSMT"/>
        </w:rPr>
        <w:t xml:space="preserve"> on </w:t>
      </w:r>
      <w:proofErr w:type="spellStart"/>
      <w:r>
        <w:rPr>
          <w:rFonts w:eastAsia="TimesNewRomanPSMT"/>
        </w:rPr>
        <w:t>i</w:t>
      </w:r>
      <w:proofErr w:type="spellEnd"/>
      <w:r>
        <w:rPr>
          <w:rFonts w:eastAsia="TimesNewRomanPSMT"/>
        </w:rPr>
        <w:t xml:space="preserve">) </w:t>
      </w:r>
      <w:r w:rsidRPr="0007128A">
        <w:rPr>
          <w:rFonts w:eastAsia="TimesNewRomanPSMT"/>
        </w:rPr>
        <w:t xml:space="preserve">climate change, </w:t>
      </w:r>
      <w:r>
        <w:rPr>
          <w:rFonts w:eastAsia="TimesNewRomanPSMT"/>
        </w:rPr>
        <w:t xml:space="preserve">ii) </w:t>
      </w:r>
      <w:r w:rsidRPr="0007128A">
        <w:rPr>
          <w:rFonts w:eastAsia="TimesNewRomanPSMT"/>
        </w:rPr>
        <w:t xml:space="preserve">non-native species, </w:t>
      </w:r>
      <w:r>
        <w:rPr>
          <w:rFonts w:eastAsia="TimesNewRomanPSMT"/>
        </w:rPr>
        <w:t xml:space="preserve">iii) </w:t>
      </w:r>
      <w:r w:rsidRPr="0007128A">
        <w:rPr>
          <w:rFonts w:eastAsia="TimesNewRomanPSMT"/>
        </w:rPr>
        <w:t xml:space="preserve">tourism, </w:t>
      </w:r>
      <w:r>
        <w:rPr>
          <w:rFonts w:eastAsia="TimesNewRomanPSMT"/>
        </w:rPr>
        <w:t>iv) de</w:t>
      </w:r>
      <w:r w:rsidRPr="0007128A">
        <w:rPr>
          <w:rFonts w:eastAsia="TimesNewRomanPSMT"/>
        </w:rPr>
        <w:t>signation of the emperor penguin as a Specially Protected Specie</w:t>
      </w:r>
      <w:r>
        <w:rPr>
          <w:rFonts w:eastAsia="TimesNewRomanPSMT"/>
        </w:rPr>
        <w:t xml:space="preserve">s, v) </w:t>
      </w:r>
      <w:r w:rsidRPr="00614377">
        <w:rPr>
          <w:rFonts w:eastAsia="TimesNewRomanPSMT"/>
        </w:rPr>
        <w:t>Environmental Impact Assessment</w:t>
      </w:r>
      <w:r>
        <w:rPr>
          <w:rFonts w:eastAsia="TimesNewRomanPSMT"/>
        </w:rPr>
        <w:t xml:space="preserve">, v) chemical contamination, vi) Important Bird Areas, vii) seismic activities. </w:t>
      </w:r>
    </w:p>
    <w:p w14:paraId="6CC9B52B" w14:textId="77777777" w:rsidR="00757F19" w:rsidRPr="00614377" w:rsidRDefault="00757F19" w:rsidP="00757F19">
      <w:pPr>
        <w:numPr>
          <w:ilvl w:val="0"/>
          <w:numId w:val="22"/>
        </w:numPr>
        <w:autoSpaceDE w:val="0"/>
        <w:autoSpaceDN w:val="0"/>
        <w:adjustRightInd w:val="0"/>
        <w:rPr>
          <w:rFonts w:eastAsia="TimesNewRomanPSMT"/>
        </w:rPr>
      </w:pPr>
      <w:r>
        <w:rPr>
          <w:rFonts w:eastAsia="TimesNewRomanPSMT"/>
        </w:rPr>
        <w:t>I</w:t>
      </w:r>
      <w:r w:rsidRPr="00614377">
        <w:rPr>
          <w:rFonts w:eastAsia="TimesNewRomanPSMT"/>
        </w:rPr>
        <w:t xml:space="preserve">nvitation to contribute a lecture on scientific issues relevant to ATCM XLV (2023). </w:t>
      </w:r>
    </w:p>
    <w:p w14:paraId="113812D5" w14:textId="77777777" w:rsidR="00757F19" w:rsidRDefault="00757F19" w:rsidP="00757F19">
      <w:pPr>
        <w:autoSpaceDE w:val="0"/>
        <w:autoSpaceDN w:val="0"/>
        <w:adjustRightInd w:val="0"/>
      </w:pPr>
    </w:p>
    <w:p w14:paraId="2F37318C" w14:textId="77777777" w:rsidR="00757F19" w:rsidRPr="0070090D" w:rsidRDefault="00757F19" w:rsidP="00757F19">
      <w:pPr>
        <w:autoSpaceDE w:val="0"/>
        <w:autoSpaceDN w:val="0"/>
        <w:adjustRightInd w:val="0"/>
      </w:pPr>
      <w:r>
        <w:t>SCAR Delegates approved the further development of the Antarctic Environments Portal and note that the</w:t>
      </w:r>
      <w:r w:rsidRPr="0070090D">
        <w:t xml:space="preserve"> Antarctic Environments Portal will require additional funds in 2023 and the subsequent years to account for the costs of the editor’s salary, as well as for the maintenance of the website and the translations of articles into the four languages of the Treaty.</w:t>
      </w:r>
    </w:p>
    <w:p w14:paraId="73749C3A" w14:textId="77777777" w:rsidR="00757F19" w:rsidRDefault="00757F19" w:rsidP="00757F19">
      <w:pPr>
        <w:pStyle w:val="ATSHeading2"/>
        <w:keepNext/>
      </w:pPr>
      <w:r>
        <w:t>Next meeting</w:t>
      </w:r>
    </w:p>
    <w:p w14:paraId="5B9A4B23" w14:textId="77777777" w:rsidR="00757F19" w:rsidRPr="00177C48" w:rsidRDefault="00757F19" w:rsidP="00757F19">
      <w:pPr>
        <w:pStyle w:val="ATSNormal"/>
        <w:rPr>
          <w:szCs w:val="22"/>
          <w:lang w:val="en-US"/>
        </w:rPr>
      </w:pPr>
      <w:r>
        <w:rPr>
          <w:lang w:val="en-US"/>
        </w:rPr>
        <w:t xml:space="preserve">Next SCAR Delegates’ Meetings will all be in a hybrid format, the next one being held in </w:t>
      </w:r>
      <w:proofErr w:type="spellStart"/>
      <w:r>
        <w:rPr>
          <w:lang w:val="en-US"/>
        </w:rPr>
        <w:t>Puc</w:t>
      </w:r>
      <w:r w:rsidRPr="001F7743">
        <w:rPr>
          <w:lang w:val="en-US"/>
        </w:rPr>
        <w:t>ó</w:t>
      </w:r>
      <w:r>
        <w:rPr>
          <w:lang w:val="en-US"/>
        </w:rPr>
        <w:t>n</w:t>
      </w:r>
      <w:proofErr w:type="spellEnd"/>
      <w:r>
        <w:rPr>
          <w:lang w:val="en-US"/>
        </w:rPr>
        <w:t xml:space="preserve">, </w:t>
      </w:r>
      <w:r>
        <w:rPr>
          <w:szCs w:val="22"/>
          <w:lang w:val="en-US"/>
        </w:rPr>
        <w:t>Chile, in 2024.</w:t>
      </w:r>
    </w:p>
    <w:p w14:paraId="49417779" w14:textId="77777777" w:rsidR="00757F19" w:rsidRPr="00DD7EA5" w:rsidRDefault="00757F19" w:rsidP="00757F19">
      <w:pPr>
        <w:pStyle w:val="ATSNormal"/>
        <w:rPr>
          <w:i/>
          <w:iCs/>
          <w:lang w:val="en-US"/>
        </w:rPr>
      </w:pPr>
    </w:p>
    <w:p w14:paraId="2D7B77CC" w14:textId="77777777" w:rsidR="00757F19" w:rsidRPr="00757F19" w:rsidRDefault="00757F19" w:rsidP="00952E9F">
      <w:pPr>
        <w:rPr>
          <w:lang w:val="en-US"/>
        </w:rPr>
      </w:pPr>
    </w:p>
    <w:sectPr w:rsidR="00757F19" w:rsidRPr="00757F19"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2747" w14:textId="77777777" w:rsidR="00000000" w:rsidRDefault="00757F19">
      <w:r>
        <w:separator/>
      </w:r>
    </w:p>
  </w:endnote>
  <w:endnote w:type="continuationSeparator" w:id="0">
    <w:p w14:paraId="6C4861D0" w14:textId="77777777" w:rsidR="00000000" w:rsidRDefault="0075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Heiti TC Light"/>
    <w:charset w:val="80"/>
    <w:family w:val="auto"/>
    <w:pitch w:val="default"/>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6FD" w14:textId="77777777" w:rsidR="00FA0B9F" w:rsidRDefault="00757F19" w:rsidP="00CF5C82">
    <w:pPr>
      <w:framePr w:wrap="around" w:vAnchor="text" w:hAnchor="margin" w:xAlign="right" w:y="1"/>
    </w:pPr>
    <w:r>
      <w:fldChar w:fldCharType="begin"/>
    </w:r>
    <w:r>
      <w:instrText xml:space="preserve">PAGE  </w:instrText>
    </w:r>
    <w:r>
      <w:fldChar w:fldCharType="separate"/>
    </w:r>
    <w:r>
      <w:fldChar w:fldCharType="end"/>
    </w:r>
  </w:p>
  <w:p w14:paraId="280EA997" w14:textId="77777777" w:rsidR="00FA0B9F" w:rsidRDefault="00757F1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473B" w14:textId="77777777" w:rsidR="00FA0B9F" w:rsidRDefault="00757F1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BCD67AB" w14:textId="6AFC82E4" w:rsidR="00FA0B9F" w:rsidRDefault="00757F19" w:rsidP="00757F1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E09D" w14:textId="77777777" w:rsidR="00E311C9" w:rsidRDefault="00757F1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E10C930" w14:textId="77777777" w:rsidR="00E311C9" w:rsidRDefault="00757F1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EA94" w14:textId="77777777" w:rsidR="00000000" w:rsidRDefault="00757F19">
      <w:r>
        <w:separator/>
      </w:r>
    </w:p>
  </w:footnote>
  <w:footnote w:type="continuationSeparator" w:id="0">
    <w:p w14:paraId="140C0EA8" w14:textId="77777777" w:rsidR="00000000" w:rsidRDefault="00757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C2D0E" w14:paraId="0663CB50" w14:textId="77777777" w:rsidTr="002E12EC">
      <w:trPr>
        <w:trHeight w:val="344"/>
        <w:jc w:val="center"/>
      </w:trPr>
      <w:tc>
        <w:tcPr>
          <w:tcW w:w="5495" w:type="dxa"/>
        </w:tcPr>
        <w:p w14:paraId="20B5D7CF" w14:textId="77777777" w:rsidR="00DB7C09" w:rsidRDefault="00757F19" w:rsidP="00F968D4"/>
      </w:tc>
      <w:tc>
        <w:tcPr>
          <w:tcW w:w="4253" w:type="dxa"/>
          <w:gridSpan w:val="2"/>
        </w:tcPr>
        <w:p w14:paraId="7B24EEB9" w14:textId="77777777" w:rsidR="00DB7C09" w:rsidRPr="00BD47E4" w:rsidRDefault="00757F19" w:rsidP="002A07BC">
          <w:pPr>
            <w:jc w:val="right"/>
            <w:rPr>
              <w:b/>
              <w:sz w:val="32"/>
              <w:szCs w:val="32"/>
            </w:rPr>
          </w:pPr>
          <w:bookmarkStart w:id="2" w:name="type"/>
          <w:r w:rsidRPr="00BD47E4">
            <w:rPr>
              <w:b/>
              <w:sz w:val="32"/>
              <w:szCs w:val="32"/>
            </w:rPr>
            <w:t>IP</w:t>
          </w:r>
          <w:bookmarkEnd w:id="2"/>
        </w:p>
      </w:tc>
      <w:tc>
        <w:tcPr>
          <w:tcW w:w="1524" w:type="dxa"/>
          <w:gridSpan w:val="2"/>
        </w:tcPr>
        <w:p w14:paraId="52E716D5" w14:textId="77777777" w:rsidR="00DB7C09" w:rsidRPr="00BD47E4" w:rsidRDefault="00757F19" w:rsidP="00DB7C09">
          <w:pPr>
            <w:rPr>
              <w:b/>
              <w:sz w:val="32"/>
              <w:szCs w:val="32"/>
            </w:rPr>
          </w:pPr>
          <w:bookmarkStart w:id="3" w:name="number"/>
          <w:r w:rsidRPr="00BD47E4">
            <w:rPr>
              <w:b/>
              <w:sz w:val="32"/>
              <w:szCs w:val="32"/>
            </w:rPr>
            <w:t>1</w:t>
          </w:r>
          <w:bookmarkEnd w:id="3"/>
        </w:p>
      </w:tc>
    </w:tr>
    <w:tr w:rsidR="004C2D0E" w14:paraId="51FDA198" w14:textId="77777777" w:rsidTr="002E12EC">
      <w:trPr>
        <w:trHeight w:val="2165"/>
        <w:jc w:val="center"/>
      </w:trPr>
      <w:tc>
        <w:tcPr>
          <w:tcW w:w="5495" w:type="dxa"/>
        </w:tcPr>
        <w:p w14:paraId="3D7B7F0D" w14:textId="77777777" w:rsidR="00490760" w:rsidRPr="00EE4D48" w:rsidRDefault="00757F19" w:rsidP="002A07BC">
          <w:pPr>
            <w:rPr>
              <w:b/>
              <w:sz w:val="28"/>
              <w:szCs w:val="28"/>
            </w:rPr>
          </w:pPr>
          <w:r>
            <w:rPr>
              <w:noProof/>
            </w:rPr>
            <w:drawing>
              <wp:inline distT="0" distB="0" distL="0" distR="0" wp14:anchorId="79E9A65A" wp14:editId="139FB16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1469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5C5D809" w14:textId="77777777" w:rsidR="00490760" w:rsidRPr="00FE5146" w:rsidRDefault="00757F19" w:rsidP="00490760">
          <w:pPr>
            <w:jc w:val="right"/>
            <w:rPr>
              <w:sz w:val="144"/>
              <w:szCs w:val="144"/>
            </w:rPr>
          </w:pPr>
          <w:r w:rsidRPr="00FE5146">
            <w:rPr>
              <w:sz w:val="144"/>
              <w:szCs w:val="144"/>
            </w:rPr>
            <w:t>ENG</w:t>
          </w:r>
        </w:p>
      </w:tc>
    </w:tr>
    <w:tr w:rsidR="004C2D0E" w14:paraId="67FA6CC4" w14:textId="77777777" w:rsidTr="002E12EC">
      <w:trPr>
        <w:trHeight w:val="409"/>
        <w:jc w:val="center"/>
      </w:trPr>
      <w:tc>
        <w:tcPr>
          <w:tcW w:w="8500" w:type="dxa"/>
          <w:gridSpan w:val="2"/>
        </w:tcPr>
        <w:p w14:paraId="0A2D1346" w14:textId="77777777" w:rsidR="00BD47E4" w:rsidRDefault="00757F19" w:rsidP="002C30DA">
          <w:pPr>
            <w:jc w:val="right"/>
          </w:pPr>
          <w:r>
            <w:t>Agenda Item:</w:t>
          </w:r>
        </w:p>
      </w:tc>
      <w:tc>
        <w:tcPr>
          <w:tcW w:w="2382" w:type="dxa"/>
          <w:gridSpan w:val="2"/>
        </w:tcPr>
        <w:p w14:paraId="7E4909BE" w14:textId="77777777" w:rsidR="00BD47E4" w:rsidRDefault="00757F19" w:rsidP="002C30DA">
          <w:pPr>
            <w:jc w:val="right"/>
          </w:pPr>
          <w:bookmarkStart w:id="4" w:name="agenda"/>
          <w:r>
            <w:t>CEP 5</w:t>
          </w:r>
          <w:bookmarkEnd w:id="4"/>
        </w:p>
      </w:tc>
      <w:tc>
        <w:tcPr>
          <w:tcW w:w="390" w:type="dxa"/>
        </w:tcPr>
        <w:p w14:paraId="5307A965" w14:textId="77777777" w:rsidR="00BD47E4" w:rsidRDefault="00757F19" w:rsidP="00387A65">
          <w:pPr>
            <w:jc w:val="right"/>
          </w:pPr>
        </w:p>
      </w:tc>
    </w:tr>
    <w:tr w:rsidR="004C2D0E" w14:paraId="5839D814" w14:textId="77777777" w:rsidTr="002E12EC">
      <w:trPr>
        <w:trHeight w:val="397"/>
        <w:jc w:val="center"/>
      </w:trPr>
      <w:tc>
        <w:tcPr>
          <w:tcW w:w="8500" w:type="dxa"/>
          <w:gridSpan w:val="2"/>
        </w:tcPr>
        <w:p w14:paraId="0D2B9CAF" w14:textId="77777777" w:rsidR="00BD47E4" w:rsidRDefault="00757F19" w:rsidP="002C30DA">
          <w:pPr>
            <w:jc w:val="right"/>
          </w:pPr>
          <w:r>
            <w:t>Presented by:</w:t>
          </w:r>
        </w:p>
      </w:tc>
      <w:tc>
        <w:tcPr>
          <w:tcW w:w="2382" w:type="dxa"/>
          <w:gridSpan w:val="2"/>
        </w:tcPr>
        <w:p w14:paraId="5D269441" w14:textId="77777777" w:rsidR="00BD47E4" w:rsidRDefault="00757F19" w:rsidP="002C30DA">
          <w:pPr>
            <w:jc w:val="right"/>
          </w:pPr>
          <w:bookmarkStart w:id="5" w:name="party"/>
          <w:r>
            <w:t>France</w:t>
          </w:r>
          <w:bookmarkEnd w:id="5"/>
        </w:p>
      </w:tc>
      <w:tc>
        <w:tcPr>
          <w:tcW w:w="390" w:type="dxa"/>
        </w:tcPr>
        <w:p w14:paraId="2C1261AC" w14:textId="77777777" w:rsidR="00BD47E4" w:rsidRDefault="00757F19" w:rsidP="00387A65">
          <w:pPr>
            <w:jc w:val="right"/>
          </w:pPr>
        </w:p>
      </w:tc>
    </w:tr>
    <w:tr w:rsidR="004C2D0E" w14:paraId="3B8380C8" w14:textId="77777777" w:rsidTr="002E12EC">
      <w:trPr>
        <w:trHeight w:val="409"/>
        <w:jc w:val="center"/>
      </w:trPr>
      <w:tc>
        <w:tcPr>
          <w:tcW w:w="8500" w:type="dxa"/>
          <w:gridSpan w:val="2"/>
        </w:tcPr>
        <w:p w14:paraId="3E2353E1" w14:textId="77777777" w:rsidR="00BD47E4" w:rsidRDefault="00757F19" w:rsidP="002C30DA">
          <w:pPr>
            <w:jc w:val="right"/>
          </w:pPr>
          <w:r>
            <w:t>Original:</w:t>
          </w:r>
        </w:p>
      </w:tc>
      <w:tc>
        <w:tcPr>
          <w:tcW w:w="2382" w:type="dxa"/>
          <w:gridSpan w:val="2"/>
        </w:tcPr>
        <w:p w14:paraId="6C55A5B1" w14:textId="77777777" w:rsidR="00BD47E4" w:rsidRDefault="00757F19" w:rsidP="002C30DA">
          <w:pPr>
            <w:jc w:val="right"/>
          </w:pPr>
          <w:bookmarkStart w:id="6" w:name="language"/>
          <w:r>
            <w:t>English</w:t>
          </w:r>
          <w:bookmarkEnd w:id="6"/>
        </w:p>
      </w:tc>
      <w:tc>
        <w:tcPr>
          <w:tcW w:w="390" w:type="dxa"/>
        </w:tcPr>
        <w:p w14:paraId="2CC27807" w14:textId="77777777" w:rsidR="00BD47E4" w:rsidRDefault="00757F19" w:rsidP="00387A65">
          <w:pPr>
            <w:jc w:val="right"/>
          </w:pPr>
        </w:p>
      </w:tc>
    </w:tr>
    <w:tr w:rsidR="004C2D0E" w14:paraId="1FE2D684" w14:textId="77777777" w:rsidTr="002E12EC">
      <w:trPr>
        <w:trHeight w:val="409"/>
        <w:jc w:val="center"/>
      </w:trPr>
      <w:tc>
        <w:tcPr>
          <w:tcW w:w="8500" w:type="dxa"/>
          <w:gridSpan w:val="2"/>
        </w:tcPr>
        <w:p w14:paraId="3EF04323" w14:textId="77777777" w:rsidR="0097629D" w:rsidRDefault="00757F19" w:rsidP="002C30DA">
          <w:pPr>
            <w:jc w:val="right"/>
          </w:pPr>
          <w:r>
            <w:t>Submitted:</w:t>
          </w:r>
        </w:p>
      </w:tc>
      <w:tc>
        <w:tcPr>
          <w:tcW w:w="2382" w:type="dxa"/>
          <w:gridSpan w:val="2"/>
        </w:tcPr>
        <w:p w14:paraId="224C5E53" w14:textId="77777777" w:rsidR="0097629D" w:rsidRDefault="00757F19" w:rsidP="0097629D">
          <w:pPr>
            <w:jc w:val="right"/>
          </w:pPr>
          <w:bookmarkStart w:id="7" w:name="date_submission"/>
          <w:r>
            <w:t>26 Mar 2023</w:t>
          </w:r>
          <w:bookmarkEnd w:id="7"/>
        </w:p>
      </w:tc>
      <w:tc>
        <w:tcPr>
          <w:tcW w:w="390" w:type="dxa"/>
        </w:tcPr>
        <w:p w14:paraId="66CB4A00" w14:textId="77777777" w:rsidR="0097629D" w:rsidRDefault="00757F19" w:rsidP="00387A65">
          <w:pPr>
            <w:jc w:val="right"/>
          </w:pPr>
        </w:p>
      </w:tc>
    </w:tr>
  </w:tbl>
  <w:p w14:paraId="5C4C4ABC" w14:textId="77777777" w:rsidR="00AE5DD0" w:rsidRDefault="00757F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C2D0E" w14:paraId="508E6853" w14:textId="77777777">
      <w:trPr>
        <w:trHeight w:val="354"/>
        <w:jc w:val="center"/>
      </w:trPr>
      <w:tc>
        <w:tcPr>
          <w:tcW w:w="9694" w:type="dxa"/>
        </w:tcPr>
        <w:p w14:paraId="47619D0A" w14:textId="7D2C6E9E" w:rsidR="00AE5DD0" w:rsidRPr="00BD47E4" w:rsidRDefault="00757F19" w:rsidP="00C26F2D">
          <w:pPr>
            <w:jc w:val="right"/>
            <w:rPr>
              <w:b/>
              <w:sz w:val="32"/>
              <w:szCs w:val="32"/>
            </w:rPr>
          </w:pPr>
          <w:r>
            <w:rPr>
              <w:b/>
              <w:sz w:val="32"/>
              <w:szCs w:val="32"/>
            </w:rPr>
            <w:t>IP</w:t>
          </w:r>
        </w:p>
      </w:tc>
      <w:tc>
        <w:tcPr>
          <w:tcW w:w="1332" w:type="dxa"/>
        </w:tcPr>
        <w:p w14:paraId="06D2658C" w14:textId="11652F73" w:rsidR="00AE5DD0" w:rsidRPr="00BD47E4" w:rsidRDefault="00757F19" w:rsidP="00080F4C">
          <w:pPr>
            <w:rPr>
              <w:b/>
              <w:sz w:val="32"/>
              <w:szCs w:val="32"/>
            </w:rPr>
          </w:pPr>
          <w:r>
            <w:rPr>
              <w:b/>
              <w:sz w:val="32"/>
              <w:szCs w:val="32"/>
            </w:rPr>
            <w:t>1</w:t>
          </w:r>
        </w:p>
      </w:tc>
    </w:tr>
  </w:tbl>
  <w:p w14:paraId="02452866" w14:textId="77777777" w:rsidR="00AE5DD0" w:rsidRDefault="00757F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80402"/>
    <w:multiLevelType w:val="hybridMultilevel"/>
    <w:tmpl w:val="AAFE7588"/>
    <w:lvl w:ilvl="0" w:tplc="B1D824BC">
      <w:numFmt w:val="bullet"/>
      <w:lvlText w:val=""/>
      <w:lvlJc w:val="left"/>
      <w:pPr>
        <w:ind w:left="720" w:hanging="360"/>
      </w:pPr>
      <w:rPr>
        <w:rFonts w:ascii="Symbol" w:eastAsia="TimesNewRomanPSMT"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49AC9AA0">
      <w:start w:val="1"/>
      <w:numFmt w:val="bullet"/>
      <w:pStyle w:val="ATSBullet1"/>
      <w:lvlText w:val=""/>
      <w:lvlJc w:val="left"/>
      <w:pPr>
        <w:tabs>
          <w:tab w:val="num" w:pos="360"/>
        </w:tabs>
        <w:ind w:left="360" w:hanging="360"/>
      </w:pPr>
      <w:rPr>
        <w:rFonts w:ascii="Symbol" w:hAnsi="Symbol" w:hint="default"/>
        <w:color w:val="auto"/>
      </w:rPr>
    </w:lvl>
    <w:lvl w:ilvl="1" w:tplc="9B2A063C" w:tentative="1">
      <w:start w:val="1"/>
      <w:numFmt w:val="bullet"/>
      <w:lvlText w:val="o"/>
      <w:lvlJc w:val="left"/>
      <w:pPr>
        <w:tabs>
          <w:tab w:val="num" w:pos="1440"/>
        </w:tabs>
        <w:ind w:left="1440" w:hanging="360"/>
      </w:pPr>
      <w:rPr>
        <w:rFonts w:ascii="Courier New" w:hAnsi="Courier New" w:cs="Courier New" w:hint="default"/>
      </w:rPr>
    </w:lvl>
    <w:lvl w:ilvl="2" w:tplc="9AECE510" w:tentative="1">
      <w:start w:val="1"/>
      <w:numFmt w:val="bullet"/>
      <w:lvlText w:val=""/>
      <w:lvlJc w:val="left"/>
      <w:pPr>
        <w:tabs>
          <w:tab w:val="num" w:pos="2160"/>
        </w:tabs>
        <w:ind w:left="2160" w:hanging="360"/>
      </w:pPr>
      <w:rPr>
        <w:rFonts w:ascii="Wingdings" w:hAnsi="Wingdings" w:hint="default"/>
      </w:rPr>
    </w:lvl>
    <w:lvl w:ilvl="3" w:tplc="1452158C" w:tentative="1">
      <w:start w:val="1"/>
      <w:numFmt w:val="bullet"/>
      <w:lvlText w:val=""/>
      <w:lvlJc w:val="left"/>
      <w:pPr>
        <w:tabs>
          <w:tab w:val="num" w:pos="2880"/>
        </w:tabs>
        <w:ind w:left="2880" w:hanging="360"/>
      </w:pPr>
      <w:rPr>
        <w:rFonts w:ascii="Symbol" w:hAnsi="Symbol" w:hint="default"/>
      </w:rPr>
    </w:lvl>
    <w:lvl w:ilvl="4" w:tplc="22CC573E" w:tentative="1">
      <w:start w:val="1"/>
      <w:numFmt w:val="bullet"/>
      <w:lvlText w:val="o"/>
      <w:lvlJc w:val="left"/>
      <w:pPr>
        <w:tabs>
          <w:tab w:val="num" w:pos="3600"/>
        </w:tabs>
        <w:ind w:left="3600" w:hanging="360"/>
      </w:pPr>
      <w:rPr>
        <w:rFonts w:ascii="Courier New" w:hAnsi="Courier New" w:cs="Courier New" w:hint="default"/>
      </w:rPr>
    </w:lvl>
    <w:lvl w:ilvl="5" w:tplc="757A6206" w:tentative="1">
      <w:start w:val="1"/>
      <w:numFmt w:val="bullet"/>
      <w:lvlText w:val=""/>
      <w:lvlJc w:val="left"/>
      <w:pPr>
        <w:tabs>
          <w:tab w:val="num" w:pos="4320"/>
        </w:tabs>
        <w:ind w:left="4320" w:hanging="360"/>
      </w:pPr>
      <w:rPr>
        <w:rFonts w:ascii="Wingdings" w:hAnsi="Wingdings" w:hint="default"/>
      </w:rPr>
    </w:lvl>
    <w:lvl w:ilvl="6" w:tplc="0A7C8E44" w:tentative="1">
      <w:start w:val="1"/>
      <w:numFmt w:val="bullet"/>
      <w:lvlText w:val=""/>
      <w:lvlJc w:val="left"/>
      <w:pPr>
        <w:tabs>
          <w:tab w:val="num" w:pos="5040"/>
        </w:tabs>
        <w:ind w:left="5040" w:hanging="360"/>
      </w:pPr>
      <w:rPr>
        <w:rFonts w:ascii="Symbol" w:hAnsi="Symbol" w:hint="default"/>
      </w:rPr>
    </w:lvl>
    <w:lvl w:ilvl="7" w:tplc="5A087C8C" w:tentative="1">
      <w:start w:val="1"/>
      <w:numFmt w:val="bullet"/>
      <w:lvlText w:val="o"/>
      <w:lvlJc w:val="left"/>
      <w:pPr>
        <w:tabs>
          <w:tab w:val="num" w:pos="5760"/>
        </w:tabs>
        <w:ind w:left="5760" w:hanging="360"/>
      </w:pPr>
      <w:rPr>
        <w:rFonts w:ascii="Courier New" w:hAnsi="Courier New" w:cs="Courier New" w:hint="default"/>
      </w:rPr>
    </w:lvl>
    <w:lvl w:ilvl="8" w:tplc="8906228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A0EE580A">
      <w:start w:val="1"/>
      <w:numFmt w:val="decimal"/>
      <w:lvlText w:val="%1)"/>
      <w:lvlJc w:val="left"/>
      <w:pPr>
        <w:tabs>
          <w:tab w:val="num" w:pos="340"/>
        </w:tabs>
        <w:ind w:left="340" w:hanging="340"/>
      </w:pPr>
      <w:rPr>
        <w:rFonts w:hint="default"/>
      </w:rPr>
    </w:lvl>
    <w:lvl w:ilvl="1" w:tplc="12883E56" w:tentative="1">
      <w:start w:val="1"/>
      <w:numFmt w:val="lowerLetter"/>
      <w:lvlText w:val="%2."/>
      <w:lvlJc w:val="left"/>
      <w:pPr>
        <w:tabs>
          <w:tab w:val="num" w:pos="1440"/>
        </w:tabs>
        <w:ind w:left="1440" w:hanging="360"/>
      </w:pPr>
    </w:lvl>
    <w:lvl w:ilvl="2" w:tplc="DC8A21D2" w:tentative="1">
      <w:start w:val="1"/>
      <w:numFmt w:val="lowerRoman"/>
      <w:lvlText w:val="%3."/>
      <w:lvlJc w:val="right"/>
      <w:pPr>
        <w:tabs>
          <w:tab w:val="num" w:pos="2160"/>
        </w:tabs>
        <w:ind w:left="2160" w:hanging="180"/>
      </w:pPr>
    </w:lvl>
    <w:lvl w:ilvl="3" w:tplc="CC788B0E" w:tentative="1">
      <w:start w:val="1"/>
      <w:numFmt w:val="decimal"/>
      <w:lvlText w:val="%4."/>
      <w:lvlJc w:val="left"/>
      <w:pPr>
        <w:tabs>
          <w:tab w:val="num" w:pos="2880"/>
        </w:tabs>
        <w:ind w:left="2880" w:hanging="360"/>
      </w:pPr>
    </w:lvl>
    <w:lvl w:ilvl="4" w:tplc="37287562" w:tentative="1">
      <w:start w:val="1"/>
      <w:numFmt w:val="lowerLetter"/>
      <w:lvlText w:val="%5."/>
      <w:lvlJc w:val="left"/>
      <w:pPr>
        <w:tabs>
          <w:tab w:val="num" w:pos="3600"/>
        </w:tabs>
        <w:ind w:left="3600" w:hanging="360"/>
      </w:pPr>
    </w:lvl>
    <w:lvl w:ilvl="5" w:tplc="CC043A00" w:tentative="1">
      <w:start w:val="1"/>
      <w:numFmt w:val="lowerRoman"/>
      <w:lvlText w:val="%6."/>
      <w:lvlJc w:val="right"/>
      <w:pPr>
        <w:tabs>
          <w:tab w:val="num" w:pos="4320"/>
        </w:tabs>
        <w:ind w:left="4320" w:hanging="180"/>
      </w:pPr>
    </w:lvl>
    <w:lvl w:ilvl="6" w:tplc="7944A1D4" w:tentative="1">
      <w:start w:val="1"/>
      <w:numFmt w:val="decimal"/>
      <w:lvlText w:val="%7."/>
      <w:lvlJc w:val="left"/>
      <w:pPr>
        <w:tabs>
          <w:tab w:val="num" w:pos="5040"/>
        </w:tabs>
        <w:ind w:left="5040" w:hanging="360"/>
      </w:pPr>
    </w:lvl>
    <w:lvl w:ilvl="7" w:tplc="F2C895FC" w:tentative="1">
      <w:start w:val="1"/>
      <w:numFmt w:val="lowerLetter"/>
      <w:lvlText w:val="%8."/>
      <w:lvlJc w:val="left"/>
      <w:pPr>
        <w:tabs>
          <w:tab w:val="num" w:pos="5760"/>
        </w:tabs>
        <w:ind w:left="5760" w:hanging="360"/>
      </w:pPr>
    </w:lvl>
    <w:lvl w:ilvl="8" w:tplc="6304F700" w:tentative="1">
      <w:start w:val="1"/>
      <w:numFmt w:val="lowerRoman"/>
      <w:lvlText w:val="%9."/>
      <w:lvlJc w:val="right"/>
      <w:pPr>
        <w:tabs>
          <w:tab w:val="num" w:pos="6480"/>
        </w:tabs>
        <w:ind w:left="6480" w:hanging="180"/>
      </w:pPr>
    </w:lvl>
  </w:abstractNum>
  <w:abstractNum w:abstractNumId="14" w15:restartNumberingAfterBreak="0">
    <w:nsid w:val="50EA6712"/>
    <w:multiLevelType w:val="hybridMultilevel"/>
    <w:tmpl w:val="D5EA27A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A9D045A2">
      <w:start w:val="1"/>
      <w:numFmt w:val="decimal"/>
      <w:lvlText w:val="%1."/>
      <w:lvlJc w:val="left"/>
      <w:pPr>
        <w:tabs>
          <w:tab w:val="num" w:pos="1057"/>
        </w:tabs>
        <w:ind w:left="1057" w:hanging="360"/>
      </w:pPr>
      <w:rPr>
        <w:rFonts w:hint="default"/>
      </w:rPr>
    </w:lvl>
    <w:lvl w:ilvl="1" w:tplc="B0B47BF2" w:tentative="1">
      <w:start w:val="1"/>
      <w:numFmt w:val="lowerLetter"/>
      <w:lvlText w:val="%2."/>
      <w:lvlJc w:val="left"/>
      <w:pPr>
        <w:tabs>
          <w:tab w:val="num" w:pos="2137"/>
        </w:tabs>
        <w:ind w:left="2137" w:hanging="360"/>
      </w:pPr>
    </w:lvl>
    <w:lvl w:ilvl="2" w:tplc="839A3900" w:tentative="1">
      <w:start w:val="1"/>
      <w:numFmt w:val="lowerRoman"/>
      <w:lvlText w:val="%3."/>
      <w:lvlJc w:val="right"/>
      <w:pPr>
        <w:tabs>
          <w:tab w:val="num" w:pos="2857"/>
        </w:tabs>
        <w:ind w:left="2857" w:hanging="180"/>
      </w:pPr>
    </w:lvl>
    <w:lvl w:ilvl="3" w:tplc="0576DD70" w:tentative="1">
      <w:start w:val="1"/>
      <w:numFmt w:val="decimal"/>
      <w:lvlText w:val="%4."/>
      <w:lvlJc w:val="left"/>
      <w:pPr>
        <w:tabs>
          <w:tab w:val="num" w:pos="3577"/>
        </w:tabs>
        <w:ind w:left="3577" w:hanging="360"/>
      </w:pPr>
    </w:lvl>
    <w:lvl w:ilvl="4" w:tplc="C1E4FB90" w:tentative="1">
      <w:start w:val="1"/>
      <w:numFmt w:val="lowerLetter"/>
      <w:lvlText w:val="%5."/>
      <w:lvlJc w:val="left"/>
      <w:pPr>
        <w:tabs>
          <w:tab w:val="num" w:pos="4297"/>
        </w:tabs>
        <w:ind w:left="4297" w:hanging="360"/>
      </w:pPr>
    </w:lvl>
    <w:lvl w:ilvl="5" w:tplc="666CCDDA" w:tentative="1">
      <w:start w:val="1"/>
      <w:numFmt w:val="lowerRoman"/>
      <w:lvlText w:val="%6."/>
      <w:lvlJc w:val="right"/>
      <w:pPr>
        <w:tabs>
          <w:tab w:val="num" w:pos="5017"/>
        </w:tabs>
        <w:ind w:left="5017" w:hanging="180"/>
      </w:pPr>
    </w:lvl>
    <w:lvl w:ilvl="6" w:tplc="B1AC8450" w:tentative="1">
      <w:start w:val="1"/>
      <w:numFmt w:val="decimal"/>
      <w:lvlText w:val="%7."/>
      <w:lvlJc w:val="left"/>
      <w:pPr>
        <w:tabs>
          <w:tab w:val="num" w:pos="5737"/>
        </w:tabs>
        <w:ind w:left="5737" w:hanging="360"/>
      </w:pPr>
    </w:lvl>
    <w:lvl w:ilvl="7" w:tplc="6B10C9D2" w:tentative="1">
      <w:start w:val="1"/>
      <w:numFmt w:val="lowerLetter"/>
      <w:lvlText w:val="%8."/>
      <w:lvlJc w:val="left"/>
      <w:pPr>
        <w:tabs>
          <w:tab w:val="num" w:pos="6457"/>
        </w:tabs>
        <w:ind w:left="6457" w:hanging="360"/>
      </w:pPr>
    </w:lvl>
    <w:lvl w:ilvl="8" w:tplc="06D2EA7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90DA7FBE">
      <w:start w:val="1"/>
      <w:numFmt w:val="decimal"/>
      <w:pStyle w:val="ATSNumber1"/>
      <w:lvlText w:val="%1)"/>
      <w:lvlJc w:val="left"/>
      <w:pPr>
        <w:tabs>
          <w:tab w:val="num" w:pos="720"/>
        </w:tabs>
        <w:ind w:left="720" w:hanging="360"/>
      </w:pPr>
    </w:lvl>
    <w:lvl w:ilvl="1" w:tplc="0A12D824" w:tentative="1">
      <w:start w:val="1"/>
      <w:numFmt w:val="lowerLetter"/>
      <w:lvlText w:val="%2."/>
      <w:lvlJc w:val="left"/>
      <w:pPr>
        <w:tabs>
          <w:tab w:val="num" w:pos="1440"/>
        </w:tabs>
        <w:ind w:left="1440" w:hanging="360"/>
      </w:pPr>
    </w:lvl>
    <w:lvl w:ilvl="2" w:tplc="878C9B96" w:tentative="1">
      <w:start w:val="1"/>
      <w:numFmt w:val="lowerRoman"/>
      <w:lvlText w:val="%3."/>
      <w:lvlJc w:val="right"/>
      <w:pPr>
        <w:tabs>
          <w:tab w:val="num" w:pos="2160"/>
        </w:tabs>
        <w:ind w:left="2160" w:hanging="180"/>
      </w:pPr>
    </w:lvl>
    <w:lvl w:ilvl="3" w:tplc="4D366806" w:tentative="1">
      <w:start w:val="1"/>
      <w:numFmt w:val="decimal"/>
      <w:lvlText w:val="%4."/>
      <w:lvlJc w:val="left"/>
      <w:pPr>
        <w:tabs>
          <w:tab w:val="num" w:pos="2880"/>
        </w:tabs>
        <w:ind w:left="2880" w:hanging="360"/>
      </w:pPr>
    </w:lvl>
    <w:lvl w:ilvl="4" w:tplc="08BC6726" w:tentative="1">
      <w:start w:val="1"/>
      <w:numFmt w:val="lowerLetter"/>
      <w:lvlText w:val="%5."/>
      <w:lvlJc w:val="left"/>
      <w:pPr>
        <w:tabs>
          <w:tab w:val="num" w:pos="3600"/>
        </w:tabs>
        <w:ind w:left="3600" w:hanging="360"/>
      </w:pPr>
    </w:lvl>
    <w:lvl w:ilvl="5" w:tplc="80B2BC84" w:tentative="1">
      <w:start w:val="1"/>
      <w:numFmt w:val="lowerRoman"/>
      <w:lvlText w:val="%6."/>
      <w:lvlJc w:val="right"/>
      <w:pPr>
        <w:tabs>
          <w:tab w:val="num" w:pos="4320"/>
        </w:tabs>
        <w:ind w:left="4320" w:hanging="180"/>
      </w:pPr>
    </w:lvl>
    <w:lvl w:ilvl="6" w:tplc="B63EE71C" w:tentative="1">
      <w:start w:val="1"/>
      <w:numFmt w:val="decimal"/>
      <w:lvlText w:val="%7."/>
      <w:lvlJc w:val="left"/>
      <w:pPr>
        <w:tabs>
          <w:tab w:val="num" w:pos="5040"/>
        </w:tabs>
        <w:ind w:left="5040" w:hanging="360"/>
      </w:pPr>
    </w:lvl>
    <w:lvl w:ilvl="7" w:tplc="A1D6030E" w:tentative="1">
      <w:start w:val="1"/>
      <w:numFmt w:val="lowerLetter"/>
      <w:lvlText w:val="%8."/>
      <w:lvlJc w:val="left"/>
      <w:pPr>
        <w:tabs>
          <w:tab w:val="num" w:pos="5760"/>
        </w:tabs>
        <w:ind w:left="5760" w:hanging="360"/>
      </w:pPr>
    </w:lvl>
    <w:lvl w:ilvl="8" w:tplc="B152324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297CD3E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158DAD0" w:tentative="1">
      <w:start w:val="1"/>
      <w:numFmt w:val="bullet"/>
      <w:lvlText w:val="o"/>
      <w:lvlJc w:val="left"/>
      <w:pPr>
        <w:tabs>
          <w:tab w:val="num" w:pos="2517"/>
        </w:tabs>
        <w:ind w:left="2517" w:hanging="360"/>
      </w:pPr>
      <w:rPr>
        <w:rFonts w:ascii="Courier New" w:hAnsi="Courier New" w:cs="Courier New" w:hint="default"/>
      </w:rPr>
    </w:lvl>
    <w:lvl w:ilvl="2" w:tplc="F446E8F8" w:tentative="1">
      <w:start w:val="1"/>
      <w:numFmt w:val="bullet"/>
      <w:lvlText w:val=""/>
      <w:lvlJc w:val="left"/>
      <w:pPr>
        <w:tabs>
          <w:tab w:val="num" w:pos="3237"/>
        </w:tabs>
        <w:ind w:left="3237" w:hanging="360"/>
      </w:pPr>
      <w:rPr>
        <w:rFonts w:ascii="Wingdings" w:hAnsi="Wingdings" w:hint="default"/>
      </w:rPr>
    </w:lvl>
    <w:lvl w:ilvl="3" w:tplc="162846A2" w:tentative="1">
      <w:start w:val="1"/>
      <w:numFmt w:val="bullet"/>
      <w:lvlText w:val=""/>
      <w:lvlJc w:val="left"/>
      <w:pPr>
        <w:tabs>
          <w:tab w:val="num" w:pos="3957"/>
        </w:tabs>
        <w:ind w:left="3957" w:hanging="360"/>
      </w:pPr>
      <w:rPr>
        <w:rFonts w:ascii="Symbol" w:hAnsi="Symbol" w:hint="default"/>
      </w:rPr>
    </w:lvl>
    <w:lvl w:ilvl="4" w:tplc="138C36C6" w:tentative="1">
      <w:start w:val="1"/>
      <w:numFmt w:val="bullet"/>
      <w:lvlText w:val="o"/>
      <w:lvlJc w:val="left"/>
      <w:pPr>
        <w:tabs>
          <w:tab w:val="num" w:pos="4677"/>
        </w:tabs>
        <w:ind w:left="4677" w:hanging="360"/>
      </w:pPr>
      <w:rPr>
        <w:rFonts w:ascii="Courier New" w:hAnsi="Courier New" w:cs="Courier New" w:hint="default"/>
      </w:rPr>
    </w:lvl>
    <w:lvl w:ilvl="5" w:tplc="A8265A24" w:tentative="1">
      <w:start w:val="1"/>
      <w:numFmt w:val="bullet"/>
      <w:lvlText w:val=""/>
      <w:lvlJc w:val="left"/>
      <w:pPr>
        <w:tabs>
          <w:tab w:val="num" w:pos="5397"/>
        </w:tabs>
        <w:ind w:left="5397" w:hanging="360"/>
      </w:pPr>
      <w:rPr>
        <w:rFonts w:ascii="Wingdings" w:hAnsi="Wingdings" w:hint="default"/>
      </w:rPr>
    </w:lvl>
    <w:lvl w:ilvl="6" w:tplc="8F5062D4" w:tentative="1">
      <w:start w:val="1"/>
      <w:numFmt w:val="bullet"/>
      <w:lvlText w:val=""/>
      <w:lvlJc w:val="left"/>
      <w:pPr>
        <w:tabs>
          <w:tab w:val="num" w:pos="6117"/>
        </w:tabs>
        <w:ind w:left="6117" w:hanging="360"/>
      </w:pPr>
      <w:rPr>
        <w:rFonts w:ascii="Symbol" w:hAnsi="Symbol" w:hint="default"/>
      </w:rPr>
    </w:lvl>
    <w:lvl w:ilvl="7" w:tplc="E76A4942" w:tentative="1">
      <w:start w:val="1"/>
      <w:numFmt w:val="bullet"/>
      <w:lvlText w:val="o"/>
      <w:lvlJc w:val="left"/>
      <w:pPr>
        <w:tabs>
          <w:tab w:val="num" w:pos="6837"/>
        </w:tabs>
        <w:ind w:left="6837" w:hanging="360"/>
      </w:pPr>
      <w:rPr>
        <w:rFonts w:ascii="Courier New" w:hAnsi="Courier New" w:cs="Courier New" w:hint="default"/>
      </w:rPr>
    </w:lvl>
    <w:lvl w:ilvl="8" w:tplc="C838C40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A134F980">
      <w:start w:val="1"/>
      <w:numFmt w:val="decimal"/>
      <w:pStyle w:val="ATSNumber2"/>
      <w:lvlText w:val="%1."/>
      <w:lvlJc w:val="left"/>
      <w:pPr>
        <w:tabs>
          <w:tab w:val="num" w:pos="720"/>
        </w:tabs>
        <w:ind w:left="720" w:hanging="360"/>
      </w:pPr>
      <w:rPr>
        <w:rFonts w:hint="default"/>
      </w:rPr>
    </w:lvl>
    <w:lvl w:ilvl="1" w:tplc="3FE22B24" w:tentative="1">
      <w:start w:val="1"/>
      <w:numFmt w:val="lowerLetter"/>
      <w:lvlText w:val="%2."/>
      <w:lvlJc w:val="left"/>
      <w:pPr>
        <w:tabs>
          <w:tab w:val="num" w:pos="1440"/>
        </w:tabs>
        <w:ind w:left="1440" w:hanging="360"/>
      </w:pPr>
    </w:lvl>
    <w:lvl w:ilvl="2" w:tplc="5DC8293E" w:tentative="1">
      <w:start w:val="1"/>
      <w:numFmt w:val="lowerRoman"/>
      <w:lvlText w:val="%3."/>
      <w:lvlJc w:val="right"/>
      <w:pPr>
        <w:tabs>
          <w:tab w:val="num" w:pos="2160"/>
        </w:tabs>
        <w:ind w:left="2160" w:hanging="180"/>
      </w:pPr>
    </w:lvl>
    <w:lvl w:ilvl="3" w:tplc="B3683EF4" w:tentative="1">
      <w:start w:val="1"/>
      <w:numFmt w:val="decimal"/>
      <w:lvlText w:val="%4."/>
      <w:lvlJc w:val="left"/>
      <w:pPr>
        <w:tabs>
          <w:tab w:val="num" w:pos="2880"/>
        </w:tabs>
        <w:ind w:left="2880" w:hanging="360"/>
      </w:pPr>
    </w:lvl>
    <w:lvl w:ilvl="4" w:tplc="89E822A0" w:tentative="1">
      <w:start w:val="1"/>
      <w:numFmt w:val="lowerLetter"/>
      <w:lvlText w:val="%5."/>
      <w:lvlJc w:val="left"/>
      <w:pPr>
        <w:tabs>
          <w:tab w:val="num" w:pos="3600"/>
        </w:tabs>
        <w:ind w:left="3600" w:hanging="360"/>
      </w:pPr>
    </w:lvl>
    <w:lvl w:ilvl="5" w:tplc="D22EBF00" w:tentative="1">
      <w:start w:val="1"/>
      <w:numFmt w:val="lowerRoman"/>
      <w:lvlText w:val="%6."/>
      <w:lvlJc w:val="right"/>
      <w:pPr>
        <w:tabs>
          <w:tab w:val="num" w:pos="4320"/>
        </w:tabs>
        <w:ind w:left="4320" w:hanging="180"/>
      </w:pPr>
    </w:lvl>
    <w:lvl w:ilvl="6" w:tplc="FC38AC2C" w:tentative="1">
      <w:start w:val="1"/>
      <w:numFmt w:val="decimal"/>
      <w:lvlText w:val="%7."/>
      <w:lvlJc w:val="left"/>
      <w:pPr>
        <w:tabs>
          <w:tab w:val="num" w:pos="5040"/>
        </w:tabs>
        <w:ind w:left="5040" w:hanging="360"/>
      </w:pPr>
    </w:lvl>
    <w:lvl w:ilvl="7" w:tplc="85B0533E" w:tentative="1">
      <w:start w:val="1"/>
      <w:numFmt w:val="lowerLetter"/>
      <w:lvlText w:val="%8."/>
      <w:lvlJc w:val="left"/>
      <w:pPr>
        <w:tabs>
          <w:tab w:val="num" w:pos="5760"/>
        </w:tabs>
        <w:ind w:left="5760" w:hanging="360"/>
      </w:pPr>
    </w:lvl>
    <w:lvl w:ilvl="8" w:tplc="F8F807DE" w:tentative="1">
      <w:start w:val="1"/>
      <w:numFmt w:val="lowerRoman"/>
      <w:lvlText w:val="%9."/>
      <w:lvlJc w:val="right"/>
      <w:pPr>
        <w:tabs>
          <w:tab w:val="num" w:pos="6480"/>
        </w:tabs>
        <w:ind w:left="6480" w:hanging="180"/>
      </w:pPr>
    </w:lvl>
  </w:abstractNum>
  <w:num w:numId="1" w16cid:durableId="1930773981">
    <w:abstractNumId w:val="9"/>
  </w:num>
  <w:num w:numId="2" w16cid:durableId="2036807702">
    <w:abstractNumId w:val="7"/>
  </w:num>
  <w:num w:numId="3" w16cid:durableId="526871144">
    <w:abstractNumId w:val="6"/>
  </w:num>
  <w:num w:numId="4" w16cid:durableId="750659125">
    <w:abstractNumId w:val="5"/>
  </w:num>
  <w:num w:numId="5" w16cid:durableId="1241332026">
    <w:abstractNumId w:val="4"/>
  </w:num>
  <w:num w:numId="6" w16cid:durableId="1578319422">
    <w:abstractNumId w:val="8"/>
  </w:num>
  <w:num w:numId="7" w16cid:durableId="508132927">
    <w:abstractNumId w:val="3"/>
  </w:num>
  <w:num w:numId="8" w16cid:durableId="1051073071">
    <w:abstractNumId w:val="2"/>
  </w:num>
  <w:num w:numId="9" w16cid:durableId="17316561">
    <w:abstractNumId w:val="1"/>
  </w:num>
  <w:num w:numId="10" w16cid:durableId="423961953">
    <w:abstractNumId w:val="0"/>
  </w:num>
  <w:num w:numId="11" w16cid:durableId="155612680">
    <w:abstractNumId w:val="12"/>
  </w:num>
  <w:num w:numId="12" w16cid:durableId="831067434">
    <w:abstractNumId w:val="17"/>
  </w:num>
  <w:num w:numId="13" w16cid:durableId="357045957">
    <w:abstractNumId w:val="16"/>
  </w:num>
  <w:num w:numId="14" w16cid:durableId="1572691124">
    <w:abstractNumId w:val="13"/>
  </w:num>
  <w:num w:numId="15" w16cid:durableId="946423217">
    <w:abstractNumId w:val="15"/>
  </w:num>
  <w:num w:numId="16" w16cid:durableId="2041583109">
    <w:abstractNumId w:val="11"/>
  </w:num>
  <w:num w:numId="17" w16cid:durableId="178811036">
    <w:abstractNumId w:val="12"/>
  </w:num>
  <w:num w:numId="18" w16cid:durableId="1986738164">
    <w:abstractNumId w:val="17"/>
  </w:num>
  <w:num w:numId="19" w16cid:durableId="1301619534">
    <w:abstractNumId w:val="16"/>
  </w:num>
  <w:num w:numId="20" w16cid:durableId="554003187">
    <w:abstractNumId w:val="18"/>
  </w:num>
  <w:num w:numId="21" w16cid:durableId="1940218759">
    <w:abstractNumId w:val="10"/>
  </w:num>
  <w:num w:numId="22" w16cid:durableId="1389651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0E"/>
    <w:rsid w:val="004C2D0E"/>
    <w:rsid w:val="00757F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EE682"/>
  <w15:chartTrackingRefBased/>
  <w15:docId w15:val="{0C7C8136-DCBD-4E09-AF63-6AE6650E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57F19"/>
    <w:rPr>
      <w:rFonts w:ascii="Arial" w:hAnsi="Arial"/>
      <w:b/>
      <w:i/>
      <w:sz w:val="24"/>
      <w:szCs w:val="22"/>
      <w:lang w:val="en-GB" w:eastAsia="en-GB"/>
    </w:rPr>
  </w:style>
  <w:style w:type="character" w:customStyle="1" w:styleId="ATSNormalChar">
    <w:name w:val="ATS Normal Char"/>
    <w:link w:val="ATSNormal"/>
    <w:locked/>
    <w:rsid w:val="00757F1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ar.org/science/lsg/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ar.org/science/gsg/hom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general-scar-news/xxxvii-delegates-report/" TargetMode="External"/><Relationship Id="rId5" Type="http://schemas.openxmlformats.org/officeDocument/2006/relationships/webSettings" Target="webSettings.xml"/><Relationship Id="rId15" Type="http://schemas.openxmlformats.org/officeDocument/2006/relationships/hyperlink" Target="https://www.youtube.com/channel/UCBsAOdMA0ClC9jcFCTCa1zQ/video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ar.org/science/psg/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1780</Words>
  <Characters>10468</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2023-03-27T11:49:00Z</dcterms:modified>
</cp:coreProperties>
</file>