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0BF3" w14:textId="77777777" w:rsidR="00C26F2D" w:rsidRPr="00BF077B" w:rsidRDefault="00AD647A" w:rsidP="00BF077B">
      <w:pPr>
        <w:pStyle w:val="ATSNormal"/>
        <w:rPr>
          <w:rStyle w:val="Ttulodellibro"/>
        </w:rPr>
      </w:pPr>
    </w:p>
    <w:p w14:paraId="789E3CBF" w14:textId="77777777" w:rsidR="002F0A13" w:rsidRDefault="00AD647A" w:rsidP="004B4A60">
      <w:pPr>
        <w:rPr>
          <w:b/>
          <w:u w:val="single"/>
          <w:lang w:val="es-ES_tradnl"/>
        </w:rPr>
      </w:pPr>
    </w:p>
    <w:p w14:paraId="698D5290" w14:textId="77777777" w:rsidR="002F0A13" w:rsidRDefault="00AD647A" w:rsidP="004B4A60">
      <w:pPr>
        <w:rPr>
          <w:b/>
          <w:u w:val="single"/>
          <w:lang w:val="es-ES_tradnl"/>
        </w:rPr>
      </w:pPr>
    </w:p>
    <w:p w14:paraId="6DA53CCB" w14:textId="77777777" w:rsidR="002F0A13" w:rsidRDefault="00AD647A" w:rsidP="004B4A60">
      <w:pPr>
        <w:rPr>
          <w:b/>
          <w:u w:val="single"/>
          <w:lang w:val="es-ES_tradnl"/>
        </w:rPr>
      </w:pPr>
    </w:p>
    <w:p w14:paraId="771A39D2" w14:textId="77777777" w:rsidR="002F0A13" w:rsidRDefault="00AD647A" w:rsidP="004B4A60">
      <w:pPr>
        <w:rPr>
          <w:b/>
          <w:u w:val="single"/>
          <w:lang w:val="es-ES_tradnl"/>
        </w:rPr>
      </w:pPr>
    </w:p>
    <w:p w14:paraId="442913B7" w14:textId="77777777" w:rsidR="00C26F2D" w:rsidRDefault="00AD647A" w:rsidP="004B4A60">
      <w:pPr>
        <w:rPr>
          <w:b/>
          <w:u w:val="single"/>
          <w:lang w:val="es-ES_tradnl"/>
        </w:rPr>
      </w:pPr>
    </w:p>
    <w:p w14:paraId="76E63901" w14:textId="77777777" w:rsidR="004B4A60" w:rsidRPr="0057246E" w:rsidRDefault="00E14E9A" w:rsidP="001B789F">
      <w:pPr>
        <w:pStyle w:val="ATSTitle"/>
      </w:pPr>
      <w:bookmarkStart w:id="0" w:name="name"/>
      <w:r>
        <w:t>Report by the CCAMLR Observer to the Forty Fifth Antarctic Treaty Consultative Meeting</w:t>
      </w:r>
      <w:bookmarkEnd w:id="0"/>
    </w:p>
    <w:p w14:paraId="7925E048" w14:textId="77777777" w:rsidR="004B4A60" w:rsidRPr="0057246E" w:rsidRDefault="00AD647A" w:rsidP="00F75424">
      <w:pPr>
        <w:jc w:val="center"/>
      </w:pPr>
    </w:p>
    <w:p w14:paraId="3D1A335A" w14:textId="77777777" w:rsidR="004B4A60" w:rsidRPr="002F0A13" w:rsidRDefault="00AD647A" w:rsidP="002F0A13"/>
    <w:p w14:paraId="3130CDA7" w14:textId="77777777" w:rsidR="004B4A60" w:rsidRDefault="00AD647A" w:rsidP="00F75424">
      <w:pPr>
        <w:jc w:val="center"/>
      </w:pPr>
      <w:bookmarkStart w:id="1" w:name="memo"/>
      <w:bookmarkEnd w:id="1"/>
    </w:p>
    <w:p w14:paraId="384E3DDC" w14:textId="77777777" w:rsidR="0097629D" w:rsidRDefault="00AD647A" w:rsidP="00F75424">
      <w:pPr>
        <w:jc w:val="center"/>
      </w:pPr>
    </w:p>
    <w:p w14:paraId="2CA7F19F" w14:textId="77777777" w:rsidR="0097629D" w:rsidRDefault="00AD647A" w:rsidP="00F75424">
      <w:pPr>
        <w:jc w:val="center"/>
      </w:pPr>
    </w:p>
    <w:p w14:paraId="41ED2C4A" w14:textId="77777777" w:rsidR="0097629D" w:rsidRDefault="00AD647A" w:rsidP="00F75424">
      <w:pPr>
        <w:jc w:val="center"/>
      </w:pPr>
    </w:p>
    <w:p w14:paraId="42C8F052" w14:textId="77777777" w:rsidR="0097629D" w:rsidRPr="00C26F2D" w:rsidRDefault="00AD647A" w:rsidP="00F75424">
      <w:pPr>
        <w:jc w:val="center"/>
      </w:pPr>
    </w:p>
    <w:p w14:paraId="31B840AC" w14:textId="77777777" w:rsidR="004B4A60" w:rsidRPr="0057246E" w:rsidRDefault="00AD647A" w:rsidP="004B4A60"/>
    <w:p w14:paraId="0495D9E2" w14:textId="77777777" w:rsidR="00C26F2D" w:rsidRDefault="00AD647A"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AD5B2B4" w14:textId="77777777" w:rsidR="00E14E9A" w:rsidRPr="00DF5E1B" w:rsidRDefault="00E14E9A" w:rsidP="00E14E9A">
      <w:pPr>
        <w:pStyle w:val="ATSNormal"/>
        <w:jc w:val="center"/>
      </w:pPr>
      <w:r w:rsidRPr="00DF5E1B">
        <w:rPr>
          <w:rFonts w:ascii="Arial" w:hAnsi="Arial"/>
          <w:b/>
          <w:sz w:val="32"/>
        </w:rPr>
        <w:lastRenderedPageBreak/>
        <w:t>CCAMLR-41 (October 2022)</w:t>
      </w:r>
    </w:p>
    <w:p w14:paraId="4335537F" w14:textId="77777777" w:rsidR="00E14E9A" w:rsidRPr="00DE77E5" w:rsidRDefault="00E14E9A" w:rsidP="00E14E9A">
      <w:pPr>
        <w:pStyle w:val="ATSHeading2"/>
      </w:pPr>
      <w:r w:rsidRPr="00DE77E5">
        <w:t>Sum</w:t>
      </w:r>
      <w:r>
        <w:t>mary</w:t>
      </w:r>
    </w:p>
    <w:p w14:paraId="6FD0FA23" w14:textId="77777777" w:rsidR="00E14E9A" w:rsidRPr="0053419D" w:rsidRDefault="00E14E9A" w:rsidP="00E14E9A">
      <w:pPr>
        <w:pStyle w:val="ATSNormal"/>
        <w:rPr>
          <w:szCs w:val="22"/>
        </w:rPr>
      </w:pPr>
      <w:r w:rsidRPr="0053419D">
        <w:rPr>
          <w:szCs w:val="22"/>
        </w:rPr>
        <w:t>1.</w:t>
      </w:r>
      <w:r w:rsidRPr="0053419D">
        <w:rPr>
          <w:szCs w:val="22"/>
        </w:rPr>
        <w:tab/>
      </w:r>
      <w:r w:rsidRPr="00630C26">
        <w:rPr>
          <w:szCs w:val="22"/>
        </w:rPr>
        <w:t xml:space="preserve">The </w:t>
      </w:r>
      <w:r>
        <w:rPr>
          <w:szCs w:val="22"/>
        </w:rPr>
        <w:t>41st</w:t>
      </w:r>
      <w:r w:rsidRPr="00630C26">
        <w:rPr>
          <w:szCs w:val="22"/>
        </w:rPr>
        <w:t xml:space="preserve"> Annual Meeting of the Commission for the Conservation of Antarctic Marine Living Resources (CCAMLR-4</w:t>
      </w:r>
      <w:r>
        <w:rPr>
          <w:szCs w:val="22"/>
        </w:rPr>
        <w:t>1</w:t>
      </w:r>
      <w:r w:rsidRPr="00630C26">
        <w:rPr>
          <w:szCs w:val="22"/>
        </w:rPr>
        <w:t xml:space="preserve">) met </w:t>
      </w:r>
      <w:r>
        <w:rPr>
          <w:szCs w:val="22"/>
        </w:rPr>
        <w:t>in Hobart, Australia,</w:t>
      </w:r>
      <w:r w:rsidRPr="00630C26">
        <w:rPr>
          <w:szCs w:val="22"/>
        </w:rPr>
        <w:t xml:space="preserve"> from </w:t>
      </w:r>
      <w:r>
        <w:rPr>
          <w:szCs w:val="22"/>
        </w:rPr>
        <w:t xml:space="preserve">24 </w:t>
      </w:r>
      <w:r w:rsidRPr="00630C26">
        <w:rPr>
          <w:szCs w:val="22"/>
        </w:rPr>
        <w:t>October</w:t>
      </w:r>
      <w:r>
        <w:rPr>
          <w:szCs w:val="22"/>
        </w:rPr>
        <w:t xml:space="preserve"> to 4 November</w:t>
      </w:r>
      <w:r w:rsidRPr="00630C26">
        <w:rPr>
          <w:szCs w:val="22"/>
        </w:rPr>
        <w:t xml:space="preserve"> 202</w:t>
      </w:r>
      <w:r>
        <w:rPr>
          <w:szCs w:val="22"/>
        </w:rPr>
        <w:t>2</w:t>
      </w:r>
      <w:r w:rsidRPr="00630C26">
        <w:rPr>
          <w:szCs w:val="22"/>
        </w:rPr>
        <w:t>. It was chaired by Dr J. Granit (Sweden).</w:t>
      </w:r>
    </w:p>
    <w:p w14:paraId="3F190A19" w14:textId="77777777" w:rsidR="00E14E9A" w:rsidRPr="0053419D" w:rsidRDefault="00E14E9A" w:rsidP="00E14E9A">
      <w:pPr>
        <w:pStyle w:val="ATSNormal"/>
        <w:rPr>
          <w:szCs w:val="22"/>
        </w:rPr>
      </w:pPr>
      <w:r w:rsidRPr="0053419D">
        <w:rPr>
          <w:szCs w:val="22"/>
        </w:rPr>
        <w:t xml:space="preserve">2. </w:t>
      </w:r>
      <w:r w:rsidRPr="0053419D">
        <w:rPr>
          <w:szCs w:val="22"/>
        </w:rPr>
        <w:tab/>
        <w:t xml:space="preserve">The </w:t>
      </w:r>
      <w:hyperlink r:id="rId14" w:history="1">
        <w:r w:rsidRPr="008D6FF6">
          <w:rPr>
            <w:rStyle w:val="Hipervnculo"/>
          </w:rPr>
          <w:t>Report</w:t>
        </w:r>
      </w:hyperlink>
      <w:r>
        <w:t xml:space="preserve"> </w:t>
      </w:r>
      <w:r w:rsidRPr="0053419D">
        <w:rPr>
          <w:szCs w:val="22"/>
        </w:rPr>
        <w:t>of the Meeting is in the public domain</w:t>
      </w:r>
      <w:r>
        <w:rPr>
          <w:szCs w:val="22"/>
        </w:rPr>
        <w:t>.</w:t>
      </w:r>
    </w:p>
    <w:p w14:paraId="3EA544D0" w14:textId="77777777" w:rsidR="00E14E9A" w:rsidRDefault="00E14E9A" w:rsidP="00E14E9A">
      <w:pPr>
        <w:pStyle w:val="ATSNormal"/>
        <w:rPr>
          <w:szCs w:val="22"/>
        </w:rPr>
      </w:pPr>
      <w:r w:rsidRPr="0053419D">
        <w:rPr>
          <w:szCs w:val="22"/>
        </w:rPr>
        <w:t xml:space="preserve">3. </w:t>
      </w:r>
      <w:r w:rsidRPr="0053419D">
        <w:rPr>
          <w:szCs w:val="22"/>
        </w:rPr>
        <w:tab/>
        <w:t>The Standing Committee on Implementation and Compliance (SCIC)</w:t>
      </w:r>
      <w:r>
        <w:rPr>
          <w:szCs w:val="22"/>
        </w:rPr>
        <w:t xml:space="preserve">, </w:t>
      </w:r>
      <w:r w:rsidRPr="0053419D">
        <w:rPr>
          <w:szCs w:val="22"/>
        </w:rPr>
        <w:t>the Standing Committee on Administration and Finance (SCAF)</w:t>
      </w:r>
      <w:r>
        <w:rPr>
          <w:szCs w:val="22"/>
        </w:rPr>
        <w:t xml:space="preserve"> and the Scientific Committee also met in Hobart in the week of 24–28 October</w:t>
      </w:r>
      <w:r w:rsidRPr="0053419D">
        <w:rPr>
          <w:szCs w:val="22"/>
        </w:rPr>
        <w:t>.</w:t>
      </w:r>
      <w:r>
        <w:rPr>
          <w:szCs w:val="22"/>
        </w:rPr>
        <w:t xml:space="preserve"> </w:t>
      </w:r>
    </w:p>
    <w:p w14:paraId="654DB055" w14:textId="77777777" w:rsidR="00E14E9A" w:rsidRPr="006567F1" w:rsidRDefault="00E14E9A" w:rsidP="00E14E9A">
      <w:pPr>
        <w:pStyle w:val="ATSHeading2"/>
      </w:pPr>
      <w:r w:rsidRPr="006567F1">
        <w:t>Organisation of the Meeting</w:t>
      </w:r>
    </w:p>
    <w:p w14:paraId="7072A5BC" w14:textId="77777777" w:rsidR="00E14E9A" w:rsidRDefault="00E14E9A" w:rsidP="00E14E9A">
      <w:pPr>
        <w:pStyle w:val="ATSNormal"/>
        <w:rPr>
          <w:szCs w:val="22"/>
        </w:rPr>
      </w:pPr>
      <w:r>
        <w:rPr>
          <w:szCs w:val="22"/>
        </w:rPr>
        <w:t xml:space="preserve">4. </w:t>
      </w:r>
      <w:r>
        <w:rPr>
          <w:szCs w:val="22"/>
        </w:rPr>
        <w:tab/>
        <w:t>The Republic of Ecuador acceded to the Convention on 24 July 2022 and became a Member of the Commission on 19 October 2022.</w:t>
      </w:r>
    </w:p>
    <w:p w14:paraId="794D1CF9" w14:textId="77777777" w:rsidR="00E14E9A" w:rsidRDefault="00E14E9A" w:rsidP="00E14E9A">
      <w:pPr>
        <w:pStyle w:val="ATSNormal"/>
        <w:rPr>
          <w:szCs w:val="22"/>
        </w:rPr>
      </w:pPr>
      <w:r>
        <w:rPr>
          <w:szCs w:val="22"/>
        </w:rPr>
        <w:t xml:space="preserve">5. </w:t>
      </w:r>
      <w:r>
        <w:rPr>
          <w:szCs w:val="22"/>
        </w:rPr>
        <w:tab/>
        <w:t xml:space="preserve">Under its opening agenda item, the Commission received a presentation from SCAR on its Antarctic Climate Change and the Environment Report. </w:t>
      </w:r>
    </w:p>
    <w:p w14:paraId="1E5D6A14" w14:textId="77777777" w:rsidR="00E14E9A" w:rsidRPr="006567F1" w:rsidRDefault="00E14E9A" w:rsidP="00E14E9A">
      <w:pPr>
        <w:pStyle w:val="ATSHeading2"/>
      </w:pPr>
      <w:r w:rsidRPr="006567F1">
        <w:t>Implementation of Convention objectives</w:t>
      </w:r>
    </w:p>
    <w:p w14:paraId="00BB5138" w14:textId="77777777" w:rsidR="00E14E9A" w:rsidRDefault="00E14E9A" w:rsidP="00E14E9A">
      <w:pPr>
        <w:pStyle w:val="ATSNormal"/>
        <w:rPr>
          <w:szCs w:val="22"/>
        </w:rPr>
      </w:pPr>
      <w:r>
        <w:rPr>
          <w:szCs w:val="22"/>
        </w:rPr>
        <w:t xml:space="preserve">6. </w:t>
      </w:r>
      <w:r>
        <w:rPr>
          <w:szCs w:val="22"/>
        </w:rPr>
        <w:tab/>
        <w:t>The Commission discussed a number of issues under this item noting the work of all Members to build consensus in the Commission.</w:t>
      </w:r>
    </w:p>
    <w:p w14:paraId="2D277D8E" w14:textId="77777777" w:rsidR="00E14E9A" w:rsidRDefault="00E14E9A" w:rsidP="00E14E9A">
      <w:pPr>
        <w:pStyle w:val="ATSNormal"/>
        <w:rPr>
          <w:szCs w:val="22"/>
        </w:rPr>
      </w:pPr>
      <w:r>
        <w:rPr>
          <w:szCs w:val="22"/>
        </w:rPr>
        <w:t xml:space="preserve">7. </w:t>
      </w:r>
      <w:r>
        <w:rPr>
          <w:szCs w:val="22"/>
        </w:rPr>
        <w:tab/>
        <w:t xml:space="preserve">The Commission noted the progress that has been made across the recommendations of the </w:t>
      </w:r>
      <w:hyperlink r:id="rId15" w:history="1">
        <w:r>
          <w:rPr>
            <w:rStyle w:val="Hipervnculo"/>
            <w:szCs w:val="22"/>
          </w:rPr>
          <w:t>Second Performance Review</w:t>
        </w:r>
      </w:hyperlink>
      <w:r>
        <w:rPr>
          <w:szCs w:val="22"/>
        </w:rPr>
        <w:t xml:space="preserve"> (2017). </w:t>
      </w:r>
    </w:p>
    <w:p w14:paraId="5F086A81" w14:textId="77777777" w:rsidR="00E14E9A" w:rsidRDefault="00E14E9A" w:rsidP="00E14E9A">
      <w:pPr>
        <w:pStyle w:val="ATSHeading2"/>
      </w:pPr>
      <w:r>
        <w:t>Management of marine resources</w:t>
      </w:r>
    </w:p>
    <w:p w14:paraId="60EACBDD" w14:textId="77777777" w:rsidR="00E14E9A" w:rsidRDefault="00E14E9A" w:rsidP="00E14E9A">
      <w:pPr>
        <w:pStyle w:val="ATSNormal"/>
        <w:rPr>
          <w:szCs w:val="22"/>
        </w:rPr>
      </w:pPr>
      <w:r>
        <w:rPr>
          <w:szCs w:val="22"/>
        </w:rPr>
        <w:t>8</w:t>
      </w:r>
      <w:r w:rsidRPr="00854F60">
        <w:rPr>
          <w:szCs w:val="22"/>
        </w:rPr>
        <w:t>.</w:t>
      </w:r>
      <w:r w:rsidRPr="00854F60">
        <w:rPr>
          <w:szCs w:val="22"/>
        </w:rPr>
        <w:tab/>
        <w:t>The Commission noted</w:t>
      </w:r>
      <w:r>
        <w:rPr>
          <w:szCs w:val="22"/>
        </w:rPr>
        <w:t xml:space="preserve"> that the Scientific Committee developed a 5-year strategic workplan </w:t>
      </w:r>
      <w:r w:rsidRPr="00854F60">
        <w:rPr>
          <w:szCs w:val="22"/>
        </w:rPr>
        <w:t>at</w:t>
      </w:r>
      <w:r>
        <w:rPr>
          <w:szCs w:val="22"/>
        </w:rPr>
        <w:t xml:space="preserve"> its 2022 Symposium and has updated the terms of reference for all working groups, </w:t>
      </w:r>
      <w:r w:rsidRPr="00D015CE">
        <w:rPr>
          <w:i/>
          <w:iCs/>
          <w:szCs w:val="22"/>
        </w:rPr>
        <w:t>inter alia</w:t>
      </w:r>
      <w:r>
        <w:rPr>
          <w:szCs w:val="22"/>
        </w:rPr>
        <w:t xml:space="preserve"> to include consideration of climate change. </w:t>
      </w:r>
    </w:p>
    <w:p w14:paraId="2A9BBC25" w14:textId="77777777" w:rsidR="00E14E9A" w:rsidRDefault="00E14E9A" w:rsidP="00E14E9A">
      <w:pPr>
        <w:pStyle w:val="ATSNormal"/>
        <w:rPr>
          <w:szCs w:val="22"/>
        </w:rPr>
      </w:pPr>
      <w:r>
        <w:rPr>
          <w:szCs w:val="22"/>
        </w:rPr>
        <w:t xml:space="preserve">9. </w:t>
      </w:r>
      <w:r>
        <w:rPr>
          <w:szCs w:val="22"/>
        </w:rPr>
        <w:tab/>
      </w:r>
      <w:r w:rsidRPr="000B1FB3">
        <w:rPr>
          <w:szCs w:val="22"/>
        </w:rPr>
        <w:t>The Commission welcomed the significant progress made by the Scientific Committee</w:t>
      </w:r>
      <w:r>
        <w:rPr>
          <w:szCs w:val="22"/>
        </w:rPr>
        <w:t xml:space="preserve"> </w:t>
      </w:r>
      <w:r w:rsidRPr="000B1FB3">
        <w:rPr>
          <w:szCs w:val="22"/>
        </w:rPr>
        <w:t>to apply the new krill management approach to calculate new catch</w:t>
      </w:r>
      <w:r>
        <w:rPr>
          <w:szCs w:val="22"/>
        </w:rPr>
        <w:t xml:space="preserve"> </w:t>
      </w:r>
      <w:r w:rsidRPr="000B1FB3">
        <w:rPr>
          <w:szCs w:val="22"/>
        </w:rPr>
        <w:t>limits in management units within Subarea 48.1</w:t>
      </w:r>
      <w:r>
        <w:rPr>
          <w:szCs w:val="22"/>
        </w:rPr>
        <w:t xml:space="preserve"> (Antarctic Peninsula). The Commission developed a workplan to progress a harmonised approach to management in Subarea 48.1, including consideration of the means of monitoring catch limits at small spatial scales, the harmonisation of different spatial management initiatives, including the proposal for a Domain 1 Marine Protected Area (MPA), and future monitoring of krill biomass and other components of the ecosystem. Current krill management measures will remain in place until this work is completed.</w:t>
      </w:r>
    </w:p>
    <w:p w14:paraId="338DAFA2" w14:textId="77777777" w:rsidR="00E14E9A" w:rsidRDefault="00E14E9A" w:rsidP="00E14E9A">
      <w:pPr>
        <w:pStyle w:val="ATSNormal"/>
      </w:pPr>
      <w:r>
        <w:rPr>
          <w:szCs w:val="22"/>
        </w:rPr>
        <w:t xml:space="preserve">10. </w:t>
      </w:r>
      <w:r>
        <w:tab/>
        <w:t>The Commission agreed to revise conservation measures relating to toothfish and icefish fisheries in the Convention Area. However, the Commission was unable to agree a catch limit for the fishery for Patagonian toothfish (</w:t>
      </w:r>
      <w:r w:rsidRPr="005079C7">
        <w:rPr>
          <w:i/>
          <w:iCs/>
        </w:rPr>
        <w:t>D</w:t>
      </w:r>
      <w:r>
        <w:rPr>
          <w:i/>
          <w:iCs/>
        </w:rPr>
        <w:t>issostichus</w:t>
      </w:r>
      <w:r w:rsidRPr="005079C7">
        <w:rPr>
          <w:i/>
          <w:iCs/>
        </w:rPr>
        <w:t xml:space="preserve"> eleginoides</w:t>
      </w:r>
      <w:r>
        <w:t>) in Subarea 48.3. The Commission endorsed the advice of the Scientific Committee for an independent review of data, stock assessments and decision rules for all relevant CCAMLR toothfish fisheries in 2023.</w:t>
      </w:r>
    </w:p>
    <w:p w14:paraId="5D97ABAC" w14:textId="77777777" w:rsidR="00E14E9A" w:rsidRDefault="00E14E9A" w:rsidP="00E14E9A">
      <w:pPr>
        <w:pStyle w:val="ATSNormal"/>
      </w:pPr>
      <w:r>
        <w:t xml:space="preserve">11. </w:t>
      </w:r>
      <w:r>
        <w:tab/>
        <w:t xml:space="preserve">Noting the lack of consensus advice on research on </w:t>
      </w:r>
      <w:r w:rsidRPr="00FA43A3">
        <w:rPr>
          <w:i/>
          <w:iCs/>
        </w:rPr>
        <w:t>D. mawsoni</w:t>
      </w:r>
      <w:r>
        <w:t xml:space="preserve"> in Division 58.4.1, the Commission agreed that this fishery would not take place in 2022/23.</w:t>
      </w:r>
    </w:p>
    <w:p w14:paraId="1EA1CCD0" w14:textId="77777777" w:rsidR="00E14E9A" w:rsidRDefault="00E14E9A" w:rsidP="00E14E9A">
      <w:pPr>
        <w:pStyle w:val="ATSNormal"/>
      </w:pPr>
      <w:r>
        <w:t xml:space="preserve">12. </w:t>
      </w:r>
      <w:r>
        <w:tab/>
        <w:t xml:space="preserve">The extrapolated number of seabird mortalities from CCAMLR longline fishing in 2022 was the lowest on record. The Commission noted that the success of seabird mortality reductions in CCAMLR through the implementation of mitigation measures was due to the past efforts of the Scientific Committee’s Working Group on Incidental Mortality Associated with </w:t>
      </w:r>
      <w:r>
        <w:lastRenderedPageBreak/>
        <w:t>Fishing and it welcomed the renewal of meetings of this Group. The Commission noted the continued work to improve mitigation methods for seabirds and whales in the krill fishery, and collaboration with the Agreement on the Conservation of Albatrosses and Petrels and the International Whaling Commission in this regard.</w:t>
      </w:r>
    </w:p>
    <w:p w14:paraId="403B0D8C" w14:textId="77777777" w:rsidR="00E14E9A" w:rsidRDefault="00E14E9A" w:rsidP="00E14E9A">
      <w:pPr>
        <w:pStyle w:val="ATSNormal"/>
      </w:pPr>
      <w:r>
        <w:t xml:space="preserve">13. </w:t>
      </w:r>
      <w:r>
        <w:tab/>
        <w:t xml:space="preserve">The Commission was unable to reach consensus on a proposal from the EU and its Member States for a new conservation measure to protect fish nests in the Convention Area.  </w:t>
      </w:r>
    </w:p>
    <w:p w14:paraId="3483805D" w14:textId="77777777" w:rsidR="00E14E9A" w:rsidRDefault="00E14E9A" w:rsidP="00E14E9A">
      <w:pPr>
        <w:pStyle w:val="ATSHeading2"/>
      </w:pPr>
      <w:r>
        <w:t>Spatial management</w:t>
      </w:r>
    </w:p>
    <w:p w14:paraId="33E034B8" w14:textId="77777777" w:rsidR="00E14E9A" w:rsidRDefault="00E14E9A" w:rsidP="00E14E9A">
      <w:pPr>
        <w:pStyle w:val="ATSNormal"/>
        <w:rPr>
          <w:szCs w:val="22"/>
        </w:rPr>
      </w:pPr>
      <w:r>
        <w:rPr>
          <w:szCs w:val="22"/>
        </w:rPr>
        <w:t>14.</w:t>
      </w:r>
      <w:r>
        <w:rPr>
          <w:szCs w:val="22"/>
        </w:rPr>
        <w:tab/>
      </w:r>
      <w:r w:rsidRPr="003C17C0">
        <w:rPr>
          <w:szCs w:val="22"/>
        </w:rPr>
        <w:t>The Commission did not reach consensus to approve the revised management plan for</w:t>
      </w:r>
      <w:r>
        <w:rPr>
          <w:szCs w:val="22"/>
        </w:rPr>
        <w:t xml:space="preserve"> </w:t>
      </w:r>
      <w:r w:rsidRPr="006567F1">
        <w:rPr>
          <w:szCs w:val="22"/>
        </w:rPr>
        <w:t>Antarctic Specially Protected Area</w:t>
      </w:r>
      <w:r>
        <w:rPr>
          <w:szCs w:val="22"/>
        </w:rPr>
        <w:t>s</w:t>
      </w:r>
      <w:r w:rsidRPr="006567F1">
        <w:rPr>
          <w:szCs w:val="22"/>
        </w:rPr>
        <w:t xml:space="preserve"> </w:t>
      </w:r>
      <w:r>
        <w:rPr>
          <w:szCs w:val="22"/>
        </w:rPr>
        <w:t>(</w:t>
      </w:r>
      <w:r w:rsidRPr="003C17C0">
        <w:rPr>
          <w:szCs w:val="22"/>
        </w:rPr>
        <w:t>ASPAs</w:t>
      </w:r>
      <w:r>
        <w:rPr>
          <w:szCs w:val="22"/>
        </w:rPr>
        <w:t>)</w:t>
      </w:r>
      <w:r w:rsidRPr="003C17C0">
        <w:rPr>
          <w:szCs w:val="22"/>
        </w:rPr>
        <w:t xml:space="preserve"> Nos</w:t>
      </w:r>
      <w:r>
        <w:rPr>
          <w:szCs w:val="22"/>
        </w:rPr>
        <w:t> </w:t>
      </w:r>
      <w:r w:rsidRPr="003C17C0">
        <w:rPr>
          <w:szCs w:val="22"/>
        </w:rPr>
        <w:t>152 and 153</w:t>
      </w:r>
      <w:r>
        <w:rPr>
          <w:szCs w:val="22"/>
        </w:rPr>
        <w:t xml:space="preserve"> which had been forwarded to it in accordance with </w:t>
      </w:r>
      <w:r>
        <w:t>ATCM Decision 9 (2005).</w:t>
      </w:r>
      <w:r w:rsidRPr="003C17C0">
        <w:t xml:space="preserve"> The Commission endorsed the revised management plan proposal for ASPA No.</w:t>
      </w:r>
      <w:r>
        <w:t> </w:t>
      </w:r>
      <w:r w:rsidRPr="003C17C0">
        <w:t>145.</w:t>
      </w:r>
    </w:p>
    <w:p w14:paraId="3B5354E1" w14:textId="77777777" w:rsidR="00E14E9A" w:rsidRDefault="00E14E9A" w:rsidP="00E14E9A">
      <w:pPr>
        <w:pStyle w:val="ATSNormal"/>
        <w:rPr>
          <w:sz w:val="23"/>
          <w:szCs w:val="23"/>
        </w:rPr>
      </w:pPr>
      <w:r>
        <w:rPr>
          <w:sz w:val="23"/>
          <w:szCs w:val="23"/>
        </w:rPr>
        <w:t xml:space="preserve">15. </w:t>
      </w:r>
      <w:r>
        <w:rPr>
          <w:sz w:val="23"/>
          <w:szCs w:val="23"/>
        </w:rPr>
        <w:tab/>
        <w:t xml:space="preserve">The Commission had an extensive discussion on three proposals for MPAs (Domain 1 MPA, Weddell Sea MPA and East Antarctic Representative System of MPAs) and some of the outstanding issues relating to existing MPAs but did not reach consensus on these issues. </w:t>
      </w:r>
    </w:p>
    <w:p w14:paraId="06EC1402" w14:textId="77777777" w:rsidR="00E14E9A" w:rsidRDefault="00E14E9A" w:rsidP="00E14E9A">
      <w:pPr>
        <w:pStyle w:val="ATSNormal"/>
        <w:rPr>
          <w:sz w:val="23"/>
          <w:szCs w:val="23"/>
        </w:rPr>
      </w:pPr>
      <w:r>
        <w:rPr>
          <w:sz w:val="23"/>
          <w:szCs w:val="23"/>
        </w:rPr>
        <w:t xml:space="preserve">16. </w:t>
      </w:r>
      <w:r>
        <w:rPr>
          <w:sz w:val="23"/>
          <w:szCs w:val="23"/>
        </w:rPr>
        <w:tab/>
        <w:t xml:space="preserve">The Commission agreed to hold an extraordinary meeting on spatial planning and MPAs in 2023. This meeting (the Third Special Meeting of the Commission) will take place from 19 to 23 June in Santiago, Chile. </w:t>
      </w:r>
    </w:p>
    <w:p w14:paraId="29C84328" w14:textId="77777777" w:rsidR="00E14E9A" w:rsidRPr="00F54D68" w:rsidRDefault="00E14E9A" w:rsidP="00E14E9A">
      <w:pPr>
        <w:pStyle w:val="ATSHeading2"/>
      </w:pPr>
      <w:r>
        <w:t>Climate change</w:t>
      </w:r>
    </w:p>
    <w:p w14:paraId="02C51261" w14:textId="77777777" w:rsidR="00E14E9A" w:rsidRDefault="00E14E9A" w:rsidP="00E14E9A">
      <w:pPr>
        <w:pStyle w:val="ATSNormal"/>
        <w:rPr>
          <w:sz w:val="23"/>
          <w:szCs w:val="23"/>
        </w:rPr>
      </w:pPr>
      <w:r>
        <w:rPr>
          <w:sz w:val="23"/>
          <w:szCs w:val="23"/>
        </w:rPr>
        <w:t xml:space="preserve">17. </w:t>
      </w:r>
      <w:r>
        <w:rPr>
          <w:sz w:val="23"/>
          <w:szCs w:val="23"/>
        </w:rPr>
        <w:tab/>
        <w:t xml:space="preserve">The Commission agreed a new Climate Change resolution, </w:t>
      </w:r>
      <w:hyperlink r:id="rId16" w:history="1">
        <w:r w:rsidRPr="00DA3AF1">
          <w:rPr>
            <w:rStyle w:val="Hipervnculo"/>
            <w:sz w:val="23"/>
            <w:szCs w:val="23"/>
          </w:rPr>
          <w:t>Resolution 36/41</w:t>
        </w:r>
      </w:hyperlink>
      <w:r>
        <w:rPr>
          <w:sz w:val="23"/>
          <w:szCs w:val="23"/>
        </w:rPr>
        <w:t xml:space="preserve">. </w:t>
      </w:r>
    </w:p>
    <w:p w14:paraId="5D5EB33B" w14:textId="77777777" w:rsidR="00E14E9A" w:rsidRDefault="00E14E9A" w:rsidP="00E14E9A">
      <w:pPr>
        <w:pStyle w:val="ATSNormal"/>
      </w:pPr>
      <w:r>
        <w:t>18.</w:t>
      </w:r>
      <w:r>
        <w:tab/>
      </w:r>
      <w:r w:rsidRPr="0030002B">
        <w:t xml:space="preserve">The Commission </w:t>
      </w:r>
      <w:r>
        <w:t>was unable to agree that Conservation Measure 24-04, which allows for the temporary protection of newly exposed marine areas following ice-shelf retreat</w:t>
      </w:r>
      <w:r w:rsidRPr="00DA3AF1">
        <w:t xml:space="preserve"> </w:t>
      </w:r>
      <w:r>
        <w:t xml:space="preserve">in Subareas 48.1, 48.5 and 88.3 for the purposes of scientific research, should be extended to apply to the whole Antarctic continental coast. </w:t>
      </w:r>
    </w:p>
    <w:p w14:paraId="150ECDC8" w14:textId="77777777" w:rsidR="00E14E9A" w:rsidRPr="006567F1" w:rsidRDefault="00E14E9A" w:rsidP="00E14E9A">
      <w:pPr>
        <w:pStyle w:val="ATSHeading2"/>
      </w:pPr>
      <w:r w:rsidRPr="006567F1">
        <w:t>Implementation and compliance</w:t>
      </w:r>
    </w:p>
    <w:p w14:paraId="73F938FC" w14:textId="77777777" w:rsidR="00E14E9A" w:rsidRDefault="00E14E9A" w:rsidP="00E14E9A">
      <w:pPr>
        <w:pStyle w:val="ATSNormal"/>
      </w:pPr>
      <w:r>
        <w:t xml:space="preserve">19. </w:t>
      </w:r>
      <w:r>
        <w:tab/>
        <w:t xml:space="preserve">The Commission adopted a compliance report, noting that consensus was reached on all but a few issues. There were no updates to CCAMLR’s IUU lists. </w:t>
      </w:r>
    </w:p>
    <w:p w14:paraId="3B0C18C1" w14:textId="77777777" w:rsidR="00E14E9A" w:rsidRDefault="00E14E9A" w:rsidP="00E14E9A">
      <w:pPr>
        <w:pStyle w:val="ATSNormal"/>
      </w:pPr>
      <w:r>
        <w:t xml:space="preserve">20. </w:t>
      </w:r>
      <w:r>
        <w:tab/>
        <w:t>The Commission modified Conservation Measure 10-02 to require fishing vessels to be fitted with a fully functional automatic identification system (AIS) and have it switched on at all times in the Convention Area.</w:t>
      </w:r>
    </w:p>
    <w:p w14:paraId="5A1E6BAB" w14:textId="77777777" w:rsidR="00E14E9A" w:rsidRDefault="00E14E9A" w:rsidP="00E14E9A">
      <w:pPr>
        <w:pStyle w:val="ATSHeading2"/>
      </w:pPr>
    </w:p>
    <w:p w14:paraId="5C156ADE" w14:textId="77777777" w:rsidR="00E14E9A" w:rsidRPr="00F176D0" w:rsidRDefault="00E14E9A" w:rsidP="00E14E9A">
      <w:pPr>
        <w:pStyle w:val="ATSHeading2"/>
      </w:pPr>
      <w:r>
        <w:t>Adm</w:t>
      </w:r>
      <w:r w:rsidRPr="00F176D0">
        <w:t>inistration and Finance</w:t>
      </w:r>
    </w:p>
    <w:p w14:paraId="3CB1A821" w14:textId="77777777" w:rsidR="00E14E9A" w:rsidRDefault="00E14E9A" w:rsidP="00E14E9A">
      <w:pPr>
        <w:pStyle w:val="ATSNormal"/>
      </w:pPr>
      <w:r>
        <w:rPr>
          <w:szCs w:val="22"/>
        </w:rPr>
        <w:t>21</w:t>
      </w:r>
      <w:r w:rsidRPr="00ED1A6F">
        <w:rPr>
          <w:szCs w:val="22"/>
        </w:rPr>
        <w:t xml:space="preserve">. </w:t>
      </w:r>
      <w:r w:rsidRPr="00ED1A6F">
        <w:rPr>
          <w:szCs w:val="22"/>
        </w:rPr>
        <w:tab/>
      </w:r>
      <w:r>
        <w:rPr>
          <w:szCs w:val="22"/>
        </w:rPr>
        <w:t>The</w:t>
      </w:r>
      <w:r>
        <w:t xml:space="preserve"> Commission adopted its budget for 2023 and approved expenditure for several Special Funds, including the General Science Capacity Fund and the General Capacity Building Fund.  </w:t>
      </w:r>
    </w:p>
    <w:p w14:paraId="068BDFE5" w14:textId="77777777" w:rsidR="00E14E9A" w:rsidRDefault="00E14E9A" w:rsidP="00E14E9A">
      <w:pPr>
        <w:pStyle w:val="ATSNormal"/>
      </w:pPr>
      <w:r>
        <w:t xml:space="preserve">22. </w:t>
      </w:r>
      <w:r>
        <w:tab/>
        <w:t>The Commission has agreed to develop a code of conduct for CCAMLR meetings, and to improve access to CCAMLR meeting documents.</w:t>
      </w:r>
    </w:p>
    <w:p w14:paraId="3F1908DE" w14:textId="77777777" w:rsidR="00E14E9A" w:rsidRPr="00F54D68" w:rsidRDefault="00E14E9A" w:rsidP="00E14E9A">
      <w:pPr>
        <w:pStyle w:val="ATSHeading2"/>
      </w:pPr>
      <w:r w:rsidRPr="00F54D68">
        <w:t>Next meeting</w:t>
      </w:r>
    </w:p>
    <w:p w14:paraId="3E75FAB9" w14:textId="77777777" w:rsidR="00E14E9A" w:rsidRPr="00F54D68" w:rsidRDefault="00E14E9A" w:rsidP="00E14E9A">
      <w:pPr>
        <w:pStyle w:val="ATSNormal"/>
      </w:pPr>
      <w:r>
        <w:lastRenderedPageBreak/>
        <w:t>23</w:t>
      </w:r>
      <w:r w:rsidRPr="00F54D68">
        <w:t xml:space="preserve">. </w:t>
      </w:r>
      <w:r w:rsidRPr="00F54D68">
        <w:tab/>
      </w:r>
      <w:r>
        <w:t>Ukraine</w:t>
      </w:r>
      <w:r w:rsidRPr="00F54D68">
        <w:t xml:space="preserve"> (</w:t>
      </w:r>
      <w:r>
        <w:t xml:space="preserve">Mr V. </w:t>
      </w:r>
      <w:r w:rsidRPr="001043A9">
        <w:rPr>
          <w:szCs w:val="22"/>
        </w:rPr>
        <w:t>Tsymbaliuk</w:t>
      </w:r>
      <w:r w:rsidRPr="00F54D68">
        <w:t xml:space="preserve">) will Chair the Commission </w:t>
      </w:r>
      <w:r>
        <w:t>for 2023 and 2024</w:t>
      </w:r>
      <w:r w:rsidRPr="00F54D68">
        <w:t xml:space="preserve">. Argentina will continue to serve as Vice-Chair. </w:t>
      </w:r>
    </w:p>
    <w:p w14:paraId="1645B24B" w14:textId="4F206F63" w:rsidR="00E14E9A" w:rsidRDefault="00E14E9A" w:rsidP="00E14E9A">
      <w:r>
        <w:t>24</w:t>
      </w:r>
      <w:r w:rsidRPr="00F54D68">
        <w:t xml:space="preserve">. </w:t>
      </w:r>
      <w:r w:rsidRPr="00F54D68">
        <w:tab/>
        <w:t>The 4</w:t>
      </w:r>
      <w:r>
        <w:t>2nd</w:t>
      </w:r>
      <w:r w:rsidRPr="00F54D68">
        <w:t xml:space="preserve"> Meeting of the Commission will be held in Hobart, Australia, from </w:t>
      </w:r>
      <w:r>
        <w:t>16 to 27 October 2023.</w:t>
      </w:r>
    </w:p>
    <w:sectPr w:rsidR="00E14E9A"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D312" w14:textId="77777777" w:rsidR="00FE23AA" w:rsidRDefault="00E14E9A">
      <w:r>
        <w:separator/>
      </w:r>
    </w:p>
  </w:endnote>
  <w:endnote w:type="continuationSeparator" w:id="0">
    <w:p w14:paraId="2038AE03" w14:textId="77777777" w:rsidR="00FE23AA" w:rsidRDefault="00E1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EFD2" w14:textId="77777777" w:rsidR="00FA0B9F" w:rsidRDefault="00E14E9A" w:rsidP="00CF5C82">
    <w:pPr>
      <w:framePr w:wrap="around" w:vAnchor="text" w:hAnchor="margin" w:xAlign="right" w:y="1"/>
    </w:pPr>
    <w:r>
      <w:fldChar w:fldCharType="begin"/>
    </w:r>
    <w:r>
      <w:instrText xml:space="preserve">PAGE  </w:instrText>
    </w:r>
    <w:r w:rsidR="00AD647A">
      <w:fldChar w:fldCharType="separate"/>
    </w:r>
    <w:r>
      <w:fldChar w:fldCharType="end"/>
    </w:r>
  </w:p>
  <w:p w14:paraId="0FD83850" w14:textId="77777777" w:rsidR="00FA0B9F" w:rsidRDefault="00AD647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D4A9" w14:textId="77777777" w:rsidR="00FA0B9F" w:rsidRDefault="00E14E9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3315B31" w14:textId="2606494C" w:rsidR="00FA0B9F" w:rsidRDefault="00AD647A" w:rsidP="00E14E9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229F" w14:textId="77777777" w:rsidR="00AD647A" w:rsidRDefault="00AD647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AB4C" w14:textId="77777777" w:rsidR="00E311C9" w:rsidRDefault="00E14E9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521467F" w14:textId="77777777" w:rsidR="00E311C9" w:rsidRDefault="00AD647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46273" w14:textId="77777777" w:rsidR="00FE23AA" w:rsidRDefault="00E14E9A">
      <w:r>
        <w:separator/>
      </w:r>
    </w:p>
  </w:footnote>
  <w:footnote w:type="continuationSeparator" w:id="0">
    <w:p w14:paraId="6DC97DB9" w14:textId="77777777" w:rsidR="00FE23AA" w:rsidRDefault="00E14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0894" w14:textId="77777777" w:rsidR="00AD647A" w:rsidRDefault="00AD64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94A0C" w14:paraId="1FD0D35F" w14:textId="77777777" w:rsidTr="002E12EC">
      <w:trPr>
        <w:trHeight w:val="344"/>
        <w:jc w:val="center"/>
      </w:trPr>
      <w:tc>
        <w:tcPr>
          <w:tcW w:w="5495" w:type="dxa"/>
        </w:tcPr>
        <w:p w14:paraId="2ADAA2B6" w14:textId="77777777" w:rsidR="00DB7C09" w:rsidRDefault="00AD647A" w:rsidP="00F968D4"/>
      </w:tc>
      <w:tc>
        <w:tcPr>
          <w:tcW w:w="4253" w:type="dxa"/>
          <w:gridSpan w:val="2"/>
        </w:tcPr>
        <w:p w14:paraId="20A0E80D" w14:textId="77777777" w:rsidR="00DB7C09" w:rsidRPr="00BD47E4" w:rsidRDefault="00E14E9A" w:rsidP="002A07BC">
          <w:pPr>
            <w:jc w:val="right"/>
            <w:rPr>
              <w:b/>
              <w:sz w:val="32"/>
              <w:szCs w:val="32"/>
            </w:rPr>
          </w:pPr>
          <w:bookmarkStart w:id="2" w:name="type"/>
          <w:r w:rsidRPr="00BD47E4">
            <w:rPr>
              <w:b/>
              <w:sz w:val="32"/>
              <w:szCs w:val="32"/>
            </w:rPr>
            <w:t>IP</w:t>
          </w:r>
          <w:bookmarkEnd w:id="2"/>
        </w:p>
      </w:tc>
      <w:tc>
        <w:tcPr>
          <w:tcW w:w="1524" w:type="dxa"/>
          <w:gridSpan w:val="2"/>
        </w:tcPr>
        <w:p w14:paraId="57F2FC95" w14:textId="77777777" w:rsidR="00DB7C09" w:rsidRPr="00BD47E4" w:rsidRDefault="00E14E9A" w:rsidP="00DB7C09">
          <w:pPr>
            <w:rPr>
              <w:b/>
              <w:sz w:val="32"/>
              <w:szCs w:val="32"/>
            </w:rPr>
          </w:pPr>
          <w:bookmarkStart w:id="3" w:name="number"/>
          <w:r w:rsidRPr="00BD47E4">
            <w:rPr>
              <w:b/>
              <w:sz w:val="32"/>
              <w:szCs w:val="32"/>
            </w:rPr>
            <w:t>2</w:t>
          </w:r>
          <w:bookmarkEnd w:id="3"/>
        </w:p>
      </w:tc>
    </w:tr>
    <w:tr w:rsidR="00D94A0C" w14:paraId="4C00D22E" w14:textId="77777777" w:rsidTr="002E12EC">
      <w:trPr>
        <w:trHeight w:val="2165"/>
        <w:jc w:val="center"/>
      </w:trPr>
      <w:tc>
        <w:tcPr>
          <w:tcW w:w="5495" w:type="dxa"/>
        </w:tcPr>
        <w:p w14:paraId="2949A4ED" w14:textId="77777777" w:rsidR="00490760" w:rsidRPr="00EE4D48" w:rsidRDefault="00E14E9A" w:rsidP="002A07BC">
          <w:pPr>
            <w:rPr>
              <w:b/>
              <w:sz w:val="28"/>
              <w:szCs w:val="28"/>
            </w:rPr>
          </w:pPr>
          <w:r>
            <w:rPr>
              <w:noProof/>
            </w:rPr>
            <w:drawing>
              <wp:inline distT="0" distB="0" distL="0" distR="0" wp14:anchorId="407F1670" wp14:editId="668C8E7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4719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948E188" w14:textId="77777777" w:rsidR="00490760" w:rsidRPr="00FE5146" w:rsidRDefault="00E14E9A" w:rsidP="00490760">
          <w:pPr>
            <w:jc w:val="right"/>
            <w:rPr>
              <w:sz w:val="144"/>
              <w:szCs w:val="144"/>
            </w:rPr>
          </w:pPr>
          <w:r w:rsidRPr="00FE5146">
            <w:rPr>
              <w:sz w:val="144"/>
              <w:szCs w:val="144"/>
            </w:rPr>
            <w:t>ENG</w:t>
          </w:r>
        </w:p>
      </w:tc>
    </w:tr>
    <w:tr w:rsidR="00D94A0C" w14:paraId="7934F3AE" w14:textId="77777777" w:rsidTr="002E12EC">
      <w:trPr>
        <w:trHeight w:val="409"/>
        <w:jc w:val="center"/>
      </w:trPr>
      <w:tc>
        <w:tcPr>
          <w:tcW w:w="8500" w:type="dxa"/>
          <w:gridSpan w:val="2"/>
        </w:tcPr>
        <w:p w14:paraId="568C1C41" w14:textId="77777777" w:rsidR="00BD47E4" w:rsidRDefault="00E14E9A" w:rsidP="002C30DA">
          <w:pPr>
            <w:jc w:val="right"/>
          </w:pPr>
          <w:r>
            <w:t>Agenda Item:</w:t>
          </w:r>
        </w:p>
      </w:tc>
      <w:tc>
        <w:tcPr>
          <w:tcW w:w="2382" w:type="dxa"/>
          <w:gridSpan w:val="2"/>
        </w:tcPr>
        <w:p w14:paraId="5824D8E1" w14:textId="77777777" w:rsidR="00BD47E4" w:rsidRDefault="00E14E9A" w:rsidP="002C30DA">
          <w:pPr>
            <w:jc w:val="right"/>
          </w:pPr>
          <w:bookmarkStart w:id="4" w:name="agenda"/>
          <w:r>
            <w:t>ATCM 4</w:t>
          </w:r>
          <w:bookmarkEnd w:id="4"/>
        </w:p>
      </w:tc>
      <w:tc>
        <w:tcPr>
          <w:tcW w:w="390" w:type="dxa"/>
        </w:tcPr>
        <w:p w14:paraId="18A125D4" w14:textId="77777777" w:rsidR="00BD47E4" w:rsidRDefault="00AD647A" w:rsidP="00387A65">
          <w:pPr>
            <w:jc w:val="right"/>
          </w:pPr>
        </w:p>
      </w:tc>
    </w:tr>
    <w:tr w:rsidR="00D94A0C" w14:paraId="7F3ABE66" w14:textId="77777777" w:rsidTr="002E12EC">
      <w:trPr>
        <w:trHeight w:val="397"/>
        <w:jc w:val="center"/>
      </w:trPr>
      <w:tc>
        <w:tcPr>
          <w:tcW w:w="8500" w:type="dxa"/>
          <w:gridSpan w:val="2"/>
        </w:tcPr>
        <w:p w14:paraId="7F7546DA" w14:textId="77777777" w:rsidR="00BD47E4" w:rsidRDefault="00E14E9A" w:rsidP="002C30DA">
          <w:pPr>
            <w:jc w:val="right"/>
          </w:pPr>
          <w:r>
            <w:t>Presented by:</w:t>
          </w:r>
        </w:p>
      </w:tc>
      <w:tc>
        <w:tcPr>
          <w:tcW w:w="2382" w:type="dxa"/>
          <w:gridSpan w:val="2"/>
        </w:tcPr>
        <w:p w14:paraId="512C2815" w14:textId="77777777" w:rsidR="00BD47E4" w:rsidRDefault="00E14E9A" w:rsidP="002C30DA">
          <w:pPr>
            <w:jc w:val="right"/>
          </w:pPr>
          <w:bookmarkStart w:id="5" w:name="party"/>
          <w:r>
            <w:t>CCAMLR</w:t>
          </w:r>
          <w:bookmarkEnd w:id="5"/>
        </w:p>
      </w:tc>
      <w:tc>
        <w:tcPr>
          <w:tcW w:w="390" w:type="dxa"/>
        </w:tcPr>
        <w:p w14:paraId="260A9675" w14:textId="77777777" w:rsidR="00BD47E4" w:rsidRDefault="00AD647A" w:rsidP="00387A65">
          <w:pPr>
            <w:jc w:val="right"/>
          </w:pPr>
        </w:p>
      </w:tc>
    </w:tr>
    <w:tr w:rsidR="00D94A0C" w14:paraId="5A522E47" w14:textId="77777777" w:rsidTr="002E12EC">
      <w:trPr>
        <w:trHeight w:val="409"/>
        <w:jc w:val="center"/>
      </w:trPr>
      <w:tc>
        <w:tcPr>
          <w:tcW w:w="8500" w:type="dxa"/>
          <w:gridSpan w:val="2"/>
        </w:tcPr>
        <w:p w14:paraId="0BA73C3B" w14:textId="77777777" w:rsidR="00BD47E4" w:rsidRDefault="00E14E9A" w:rsidP="002C30DA">
          <w:pPr>
            <w:jc w:val="right"/>
          </w:pPr>
          <w:r>
            <w:t>Original:</w:t>
          </w:r>
        </w:p>
      </w:tc>
      <w:tc>
        <w:tcPr>
          <w:tcW w:w="2382" w:type="dxa"/>
          <w:gridSpan w:val="2"/>
        </w:tcPr>
        <w:p w14:paraId="29BE4993" w14:textId="03BFF754" w:rsidR="00BD47E4" w:rsidRDefault="00AD647A" w:rsidP="002C30DA">
          <w:pPr>
            <w:jc w:val="right"/>
          </w:pPr>
          <w:bookmarkStart w:id="6" w:name="language"/>
          <w:r>
            <w:t>English, Français, Pусский, Español</w:t>
          </w:r>
          <w:bookmarkEnd w:id="6"/>
        </w:p>
      </w:tc>
      <w:tc>
        <w:tcPr>
          <w:tcW w:w="390" w:type="dxa"/>
        </w:tcPr>
        <w:p w14:paraId="04195157" w14:textId="77777777" w:rsidR="00BD47E4" w:rsidRDefault="00AD647A" w:rsidP="00387A65">
          <w:pPr>
            <w:jc w:val="right"/>
          </w:pPr>
        </w:p>
      </w:tc>
    </w:tr>
    <w:tr w:rsidR="00D94A0C" w14:paraId="24A63982" w14:textId="77777777" w:rsidTr="002E12EC">
      <w:trPr>
        <w:trHeight w:val="409"/>
        <w:jc w:val="center"/>
      </w:trPr>
      <w:tc>
        <w:tcPr>
          <w:tcW w:w="8500" w:type="dxa"/>
          <w:gridSpan w:val="2"/>
        </w:tcPr>
        <w:p w14:paraId="1DC63210" w14:textId="77777777" w:rsidR="0097629D" w:rsidRDefault="00E14E9A" w:rsidP="002C30DA">
          <w:pPr>
            <w:jc w:val="right"/>
          </w:pPr>
          <w:r>
            <w:t>Submitted:</w:t>
          </w:r>
        </w:p>
      </w:tc>
      <w:tc>
        <w:tcPr>
          <w:tcW w:w="2382" w:type="dxa"/>
          <w:gridSpan w:val="2"/>
        </w:tcPr>
        <w:p w14:paraId="577B423D" w14:textId="77777777" w:rsidR="0097629D" w:rsidRDefault="00E14E9A" w:rsidP="0097629D">
          <w:pPr>
            <w:jc w:val="right"/>
          </w:pPr>
          <w:bookmarkStart w:id="7" w:name="date_submission"/>
          <w:r>
            <w:t>30 Mar 2023</w:t>
          </w:r>
          <w:bookmarkEnd w:id="7"/>
        </w:p>
      </w:tc>
      <w:tc>
        <w:tcPr>
          <w:tcW w:w="390" w:type="dxa"/>
        </w:tcPr>
        <w:p w14:paraId="2EA9015E" w14:textId="77777777" w:rsidR="0097629D" w:rsidRDefault="00AD647A" w:rsidP="00387A65">
          <w:pPr>
            <w:jc w:val="right"/>
          </w:pPr>
        </w:p>
      </w:tc>
    </w:tr>
  </w:tbl>
  <w:p w14:paraId="17F8F936" w14:textId="77777777" w:rsidR="00AE5DD0" w:rsidRDefault="00AD64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49C6" w14:textId="77777777" w:rsidR="00AD647A" w:rsidRDefault="00AD647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94A0C" w14:paraId="5A743CAD" w14:textId="77777777">
      <w:trPr>
        <w:trHeight w:val="354"/>
        <w:jc w:val="center"/>
      </w:trPr>
      <w:tc>
        <w:tcPr>
          <w:tcW w:w="9694" w:type="dxa"/>
        </w:tcPr>
        <w:p w14:paraId="4430D0EA" w14:textId="637472CD" w:rsidR="00AE5DD0" w:rsidRPr="00BD47E4" w:rsidRDefault="00E14E9A" w:rsidP="00C26F2D">
          <w:pPr>
            <w:jc w:val="right"/>
            <w:rPr>
              <w:b/>
              <w:sz w:val="32"/>
              <w:szCs w:val="32"/>
            </w:rPr>
          </w:pPr>
          <w:r>
            <w:rPr>
              <w:b/>
              <w:sz w:val="32"/>
              <w:szCs w:val="32"/>
            </w:rPr>
            <w:t>IP</w:t>
          </w:r>
        </w:p>
      </w:tc>
      <w:tc>
        <w:tcPr>
          <w:tcW w:w="1332" w:type="dxa"/>
        </w:tcPr>
        <w:p w14:paraId="1FCB6F29" w14:textId="1382E8E7" w:rsidR="00AE5DD0" w:rsidRPr="00BD47E4" w:rsidRDefault="00E14E9A" w:rsidP="00080F4C">
          <w:pPr>
            <w:rPr>
              <w:b/>
              <w:sz w:val="32"/>
              <w:szCs w:val="32"/>
            </w:rPr>
          </w:pPr>
          <w:r>
            <w:rPr>
              <w:b/>
              <w:sz w:val="32"/>
              <w:szCs w:val="32"/>
            </w:rPr>
            <w:t>2</w:t>
          </w:r>
        </w:p>
      </w:tc>
    </w:tr>
  </w:tbl>
  <w:p w14:paraId="3848AF4F" w14:textId="77777777" w:rsidR="00AE5DD0" w:rsidRDefault="00AD64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1683552">
      <w:start w:val="1"/>
      <w:numFmt w:val="bullet"/>
      <w:pStyle w:val="ATSBullet1"/>
      <w:lvlText w:val=""/>
      <w:lvlJc w:val="left"/>
      <w:pPr>
        <w:tabs>
          <w:tab w:val="num" w:pos="360"/>
        </w:tabs>
        <w:ind w:left="360" w:hanging="360"/>
      </w:pPr>
      <w:rPr>
        <w:rFonts w:ascii="Symbol" w:hAnsi="Symbol" w:hint="default"/>
        <w:color w:val="auto"/>
      </w:rPr>
    </w:lvl>
    <w:lvl w:ilvl="1" w:tplc="1CCC41C0" w:tentative="1">
      <w:start w:val="1"/>
      <w:numFmt w:val="bullet"/>
      <w:lvlText w:val="o"/>
      <w:lvlJc w:val="left"/>
      <w:pPr>
        <w:tabs>
          <w:tab w:val="num" w:pos="1440"/>
        </w:tabs>
        <w:ind w:left="1440" w:hanging="360"/>
      </w:pPr>
      <w:rPr>
        <w:rFonts w:ascii="Courier New" w:hAnsi="Courier New" w:cs="Courier New" w:hint="default"/>
      </w:rPr>
    </w:lvl>
    <w:lvl w:ilvl="2" w:tplc="F356CAB0" w:tentative="1">
      <w:start w:val="1"/>
      <w:numFmt w:val="bullet"/>
      <w:lvlText w:val=""/>
      <w:lvlJc w:val="left"/>
      <w:pPr>
        <w:tabs>
          <w:tab w:val="num" w:pos="2160"/>
        </w:tabs>
        <w:ind w:left="2160" w:hanging="360"/>
      </w:pPr>
      <w:rPr>
        <w:rFonts w:ascii="Wingdings" w:hAnsi="Wingdings" w:hint="default"/>
      </w:rPr>
    </w:lvl>
    <w:lvl w:ilvl="3" w:tplc="65C46988" w:tentative="1">
      <w:start w:val="1"/>
      <w:numFmt w:val="bullet"/>
      <w:lvlText w:val=""/>
      <w:lvlJc w:val="left"/>
      <w:pPr>
        <w:tabs>
          <w:tab w:val="num" w:pos="2880"/>
        </w:tabs>
        <w:ind w:left="2880" w:hanging="360"/>
      </w:pPr>
      <w:rPr>
        <w:rFonts w:ascii="Symbol" w:hAnsi="Symbol" w:hint="default"/>
      </w:rPr>
    </w:lvl>
    <w:lvl w:ilvl="4" w:tplc="E044209A" w:tentative="1">
      <w:start w:val="1"/>
      <w:numFmt w:val="bullet"/>
      <w:lvlText w:val="o"/>
      <w:lvlJc w:val="left"/>
      <w:pPr>
        <w:tabs>
          <w:tab w:val="num" w:pos="3600"/>
        </w:tabs>
        <w:ind w:left="3600" w:hanging="360"/>
      </w:pPr>
      <w:rPr>
        <w:rFonts w:ascii="Courier New" w:hAnsi="Courier New" w:cs="Courier New" w:hint="default"/>
      </w:rPr>
    </w:lvl>
    <w:lvl w:ilvl="5" w:tplc="20B05630" w:tentative="1">
      <w:start w:val="1"/>
      <w:numFmt w:val="bullet"/>
      <w:lvlText w:val=""/>
      <w:lvlJc w:val="left"/>
      <w:pPr>
        <w:tabs>
          <w:tab w:val="num" w:pos="4320"/>
        </w:tabs>
        <w:ind w:left="4320" w:hanging="360"/>
      </w:pPr>
      <w:rPr>
        <w:rFonts w:ascii="Wingdings" w:hAnsi="Wingdings" w:hint="default"/>
      </w:rPr>
    </w:lvl>
    <w:lvl w:ilvl="6" w:tplc="E140D138" w:tentative="1">
      <w:start w:val="1"/>
      <w:numFmt w:val="bullet"/>
      <w:lvlText w:val=""/>
      <w:lvlJc w:val="left"/>
      <w:pPr>
        <w:tabs>
          <w:tab w:val="num" w:pos="5040"/>
        </w:tabs>
        <w:ind w:left="5040" w:hanging="360"/>
      </w:pPr>
      <w:rPr>
        <w:rFonts w:ascii="Symbol" w:hAnsi="Symbol" w:hint="default"/>
      </w:rPr>
    </w:lvl>
    <w:lvl w:ilvl="7" w:tplc="F9781394" w:tentative="1">
      <w:start w:val="1"/>
      <w:numFmt w:val="bullet"/>
      <w:lvlText w:val="o"/>
      <w:lvlJc w:val="left"/>
      <w:pPr>
        <w:tabs>
          <w:tab w:val="num" w:pos="5760"/>
        </w:tabs>
        <w:ind w:left="5760" w:hanging="360"/>
      </w:pPr>
      <w:rPr>
        <w:rFonts w:ascii="Courier New" w:hAnsi="Courier New" w:cs="Courier New" w:hint="default"/>
      </w:rPr>
    </w:lvl>
    <w:lvl w:ilvl="8" w:tplc="5EF419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2FC1048">
      <w:start w:val="1"/>
      <w:numFmt w:val="decimal"/>
      <w:lvlText w:val="%1)"/>
      <w:lvlJc w:val="left"/>
      <w:pPr>
        <w:tabs>
          <w:tab w:val="num" w:pos="340"/>
        </w:tabs>
        <w:ind w:left="340" w:hanging="340"/>
      </w:pPr>
      <w:rPr>
        <w:rFonts w:hint="default"/>
      </w:rPr>
    </w:lvl>
    <w:lvl w:ilvl="1" w:tplc="E996CA36" w:tentative="1">
      <w:start w:val="1"/>
      <w:numFmt w:val="lowerLetter"/>
      <w:lvlText w:val="%2."/>
      <w:lvlJc w:val="left"/>
      <w:pPr>
        <w:tabs>
          <w:tab w:val="num" w:pos="1440"/>
        </w:tabs>
        <w:ind w:left="1440" w:hanging="360"/>
      </w:pPr>
    </w:lvl>
    <w:lvl w:ilvl="2" w:tplc="0AD4CD8E" w:tentative="1">
      <w:start w:val="1"/>
      <w:numFmt w:val="lowerRoman"/>
      <w:lvlText w:val="%3."/>
      <w:lvlJc w:val="right"/>
      <w:pPr>
        <w:tabs>
          <w:tab w:val="num" w:pos="2160"/>
        </w:tabs>
        <w:ind w:left="2160" w:hanging="180"/>
      </w:pPr>
    </w:lvl>
    <w:lvl w:ilvl="3" w:tplc="67220908" w:tentative="1">
      <w:start w:val="1"/>
      <w:numFmt w:val="decimal"/>
      <w:lvlText w:val="%4."/>
      <w:lvlJc w:val="left"/>
      <w:pPr>
        <w:tabs>
          <w:tab w:val="num" w:pos="2880"/>
        </w:tabs>
        <w:ind w:left="2880" w:hanging="360"/>
      </w:pPr>
    </w:lvl>
    <w:lvl w:ilvl="4" w:tplc="ED125490" w:tentative="1">
      <w:start w:val="1"/>
      <w:numFmt w:val="lowerLetter"/>
      <w:lvlText w:val="%5."/>
      <w:lvlJc w:val="left"/>
      <w:pPr>
        <w:tabs>
          <w:tab w:val="num" w:pos="3600"/>
        </w:tabs>
        <w:ind w:left="3600" w:hanging="360"/>
      </w:pPr>
    </w:lvl>
    <w:lvl w:ilvl="5" w:tplc="75CA2D74" w:tentative="1">
      <w:start w:val="1"/>
      <w:numFmt w:val="lowerRoman"/>
      <w:lvlText w:val="%6."/>
      <w:lvlJc w:val="right"/>
      <w:pPr>
        <w:tabs>
          <w:tab w:val="num" w:pos="4320"/>
        </w:tabs>
        <w:ind w:left="4320" w:hanging="180"/>
      </w:pPr>
    </w:lvl>
    <w:lvl w:ilvl="6" w:tplc="3D90186A" w:tentative="1">
      <w:start w:val="1"/>
      <w:numFmt w:val="decimal"/>
      <w:lvlText w:val="%7."/>
      <w:lvlJc w:val="left"/>
      <w:pPr>
        <w:tabs>
          <w:tab w:val="num" w:pos="5040"/>
        </w:tabs>
        <w:ind w:left="5040" w:hanging="360"/>
      </w:pPr>
    </w:lvl>
    <w:lvl w:ilvl="7" w:tplc="0C9E7EB8" w:tentative="1">
      <w:start w:val="1"/>
      <w:numFmt w:val="lowerLetter"/>
      <w:lvlText w:val="%8."/>
      <w:lvlJc w:val="left"/>
      <w:pPr>
        <w:tabs>
          <w:tab w:val="num" w:pos="5760"/>
        </w:tabs>
        <w:ind w:left="5760" w:hanging="360"/>
      </w:pPr>
    </w:lvl>
    <w:lvl w:ilvl="8" w:tplc="CDE6788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3D67572">
      <w:start w:val="1"/>
      <w:numFmt w:val="decimal"/>
      <w:lvlText w:val="%1."/>
      <w:lvlJc w:val="left"/>
      <w:pPr>
        <w:tabs>
          <w:tab w:val="num" w:pos="1057"/>
        </w:tabs>
        <w:ind w:left="1057" w:hanging="360"/>
      </w:pPr>
      <w:rPr>
        <w:rFonts w:hint="default"/>
      </w:rPr>
    </w:lvl>
    <w:lvl w:ilvl="1" w:tplc="FC70D676" w:tentative="1">
      <w:start w:val="1"/>
      <w:numFmt w:val="lowerLetter"/>
      <w:lvlText w:val="%2."/>
      <w:lvlJc w:val="left"/>
      <w:pPr>
        <w:tabs>
          <w:tab w:val="num" w:pos="2137"/>
        </w:tabs>
        <w:ind w:left="2137" w:hanging="360"/>
      </w:pPr>
    </w:lvl>
    <w:lvl w:ilvl="2" w:tplc="0EC623EA" w:tentative="1">
      <w:start w:val="1"/>
      <w:numFmt w:val="lowerRoman"/>
      <w:lvlText w:val="%3."/>
      <w:lvlJc w:val="right"/>
      <w:pPr>
        <w:tabs>
          <w:tab w:val="num" w:pos="2857"/>
        </w:tabs>
        <w:ind w:left="2857" w:hanging="180"/>
      </w:pPr>
    </w:lvl>
    <w:lvl w:ilvl="3" w:tplc="53C4F764" w:tentative="1">
      <w:start w:val="1"/>
      <w:numFmt w:val="decimal"/>
      <w:lvlText w:val="%4."/>
      <w:lvlJc w:val="left"/>
      <w:pPr>
        <w:tabs>
          <w:tab w:val="num" w:pos="3577"/>
        </w:tabs>
        <w:ind w:left="3577" w:hanging="360"/>
      </w:pPr>
    </w:lvl>
    <w:lvl w:ilvl="4" w:tplc="4182894E" w:tentative="1">
      <w:start w:val="1"/>
      <w:numFmt w:val="lowerLetter"/>
      <w:lvlText w:val="%5."/>
      <w:lvlJc w:val="left"/>
      <w:pPr>
        <w:tabs>
          <w:tab w:val="num" w:pos="4297"/>
        </w:tabs>
        <w:ind w:left="4297" w:hanging="360"/>
      </w:pPr>
    </w:lvl>
    <w:lvl w:ilvl="5" w:tplc="1E786360" w:tentative="1">
      <w:start w:val="1"/>
      <w:numFmt w:val="lowerRoman"/>
      <w:lvlText w:val="%6."/>
      <w:lvlJc w:val="right"/>
      <w:pPr>
        <w:tabs>
          <w:tab w:val="num" w:pos="5017"/>
        </w:tabs>
        <w:ind w:left="5017" w:hanging="180"/>
      </w:pPr>
    </w:lvl>
    <w:lvl w:ilvl="6" w:tplc="B4D27772" w:tentative="1">
      <w:start w:val="1"/>
      <w:numFmt w:val="decimal"/>
      <w:lvlText w:val="%7."/>
      <w:lvlJc w:val="left"/>
      <w:pPr>
        <w:tabs>
          <w:tab w:val="num" w:pos="5737"/>
        </w:tabs>
        <w:ind w:left="5737" w:hanging="360"/>
      </w:pPr>
    </w:lvl>
    <w:lvl w:ilvl="7" w:tplc="F37ECB30" w:tentative="1">
      <w:start w:val="1"/>
      <w:numFmt w:val="lowerLetter"/>
      <w:lvlText w:val="%8."/>
      <w:lvlJc w:val="left"/>
      <w:pPr>
        <w:tabs>
          <w:tab w:val="num" w:pos="6457"/>
        </w:tabs>
        <w:ind w:left="6457" w:hanging="360"/>
      </w:pPr>
    </w:lvl>
    <w:lvl w:ilvl="8" w:tplc="6B04DE6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2F08264">
      <w:start w:val="1"/>
      <w:numFmt w:val="decimal"/>
      <w:pStyle w:val="ATSNumber1"/>
      <w:lvlText w:val="%1)"/>
      <w:lvlJc w:val="left"/>
      <w:pPr>
        <w:tabs>
          <w:tab w:val="num" w:pos="720"/>
        </w:tabs>
        <w:ind w:left="720" w:hanging="360"/>
      </w:pPr>
    </w:lvl>
    <w:lvl w:ilvl="1" w:tplc="A9EC3EE8" w:tentative="1">
      <w:start w:val="1"/>
      <w:numFmt w:val="lowerLetter"/>
      <w:lvlText w:val="%2."/>
      <w:lvlJc w:val="left"/>
      <w:pPr>
        <w:tabs>
          <w:tab w:val="num" w:pos="1440"/>
        </w:tabs>
        <w:ind w:left="1440" w:hanging="360"/>
      </w:pPr>
    </w:lvl>
    <w:lvl w:ilvl="2" w:tplc="9B6ACB8C" w:tentative="1">
      <w:start w:val="1"/>
      <w:numFmt w:val="lowerRoman"/>
      <w:lvlText w:val="%3."/>
      <w:lvlJc w:val="right"/>
      <w:pPr>
        <w:tabs>
          <w:tab w:val="num" w:pos="2160"/>
        </w:tabs>
        <w:ind w:left="2160" w:hanging="180"/>
      </w:pPr>
    </w:lvl>
    <w:lvl w:ilvl="3" w:tplc="2D04667C" w:tentative="1">
      <w:start w:val="1"/>
      <w:numFmt w:val="decimal"/>
      <w:lvlText w:val="%4."/>
      <w:lvlJc w:val="left"/>
      <w:pPr>
        <w:tabs>
          <w:tab w:val="num" w:pos="2880"/>
        </w:tabs>
        <w:ind w:left="2880" w:hanging="360"/>
      </w:pPr>
    </w:lvl>
    <w:lvl w:ilvl="4" w:tplc="0E2E66E4" w:tentative="1">
      <w:start w:val="1"/>
      <w:numFmt w:val="lowerLetter"/>
      <w:lvlText w:val="%5."/>
      <w:lvlJc w:val="left"/>
      <w:pPr>
        <w:tabs>
          <w:tab w:val="num" w:pos="3600"/>
        </w:tabs>
        <w:ind w:left="3600" w:hanging="360"/>
      </w:pPr>
    </w:lvl>
    <w:lvl w:ilvl="5" w:tplc="CC24116E" w:tentative="1">
      <w:start w:val="1"/>
      <w:numFmt w:val="lowerRoman"/>
      <w:lvlText w:val="%6."/>
      <w:lvlJc w:val="right"/>
      <w:pPr>
        <w:tabs>
          <w:tab w:val="num" w:pos="4320"/>
        </w:tabs>
        <w:ind w:left="4320" w:hanging="180"/>
      </w:pPr>
    </w:lvl>
    <w:lvl w:ilvl="6" w:tplc="FA7CED8C" w:tentative="1">
      <w:start w:val="1"/>
      <w:numFmt w:val="decimal"/>
      <w:lvlText w:val="%7."/>
      <w:lvlJc w:val="left"/>
      <w:pPr>
        <w:tabs>
          <w:tab w:val="num" w:pos="5040"/>
        </w:tabs>
        <w:ind w:left="5040" w:hanging="360"/>
      </w:pPr>
    </w:lvl>
    <w:lvl w:ilvl="7" w:tplc="91BC71A6" w:tentative="1">
      <w:start w:val="1"/>
      <w:numFmt w:val="lowerLetter"/>
      <w:lvlText w:val="%8."/>
      <w:lvlJc w:val="left"/>
      <w:pPr>
        <w:tabs>
          <w:tab w:val="num" w:pos="5760"/>
        </w:tabs>
        <w:ind w:left="5760" w:hanging="360"/>
      </w:pPr>
    </w:lvl>
    <w:lvl w:ilvl="8" w:tplc="57E0A10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C0C9B8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A627A62" w:tentative="1">
      <w:start w:val="1"/>
      <w:numFmt w:val="bullet"/>
      <w:lvlText w:val="o"/>
      <w:lvlJc w:val="left"/>
      <w:pPr>
        <w:tabs>
          <w:tab w:val="num" w:pos="2517"/>
        </w:tabs>
        <w:ind w:left="2517" w:hanging="360"/>
      </w:pPr>
      <w:rPr>
        <w:rFonts w:ascii="Courier New" w:hAnsi="Courier New" w:cs="Courier New" w:hint="default"/>
      </w:rPr>
    </w:lvl>
    <w:lvl w:ilvl="2" w:tplc="78888B42" w:tentative="1">
      <w:start w:val="1"/>
      <w:numFmt w:val="bullet"/>
      <w:lvlText w:val=""/>
      <w:lvlJc w:val="left"/>
      <w:pPr>
        <w:tabs>
          <w:tab w:val="num" w:pos="3237"/>
        </w:tabs>
        <w:ind w:left="3237" w:hanging="360"/>
      </w:pPr>
      <w:rPr>
        <w:rFonts w:ascii="Wingdings" w:hAnsi="Wingdings" w:hint="default"/>
      </w:rPr>
    </w:lvl>
    <w:lvl w:ilvl="3" w:tplc="EE96A15A" w:tentative="1">
      <w:start w:val="1"/>
      <w:numFmt w:val="bullet"/>
      <w:lvlText w:val=""/>
      <w:lvlJc w:val="left"/>
      <w:pPr>
        <w:tabs>
          <w:tab w:val="num" w:pos="3957"/>
        </w:tabs>
        <w:ind w:left="3957" w:hanging="360"/>
      </w:pPr>
      <w:rPr>
        <w:rFonts w:ascii="Symbol" w:hAnsi="Symbol" w:hint="default"/>
      </w:rPr>
    </w:lvl>
    <w:lvl w:ilvl="4" w:tplc="9F9CBC3A" w:tentative="1">
      <w:start w:val="1"/>
      <w:numFmt w:val="bullet"/>
      <w:lvlText w:val="o"/>
      <w:lvlJc w:val="left"/>
      <w:pPr>
        <w:tabs>
          <w:tab w:val="num" w:pos="4677"/>
        </w:tabs>
        <w:ind w:left="4677" w:hanging="360"/>
      </w:pPr>
      <w:rPr>
        <w:rFonts w:ascii="Courier New" w:hAnsi="Courier New" w:cs="Courier New" w:hint="default"/>
      </w:rPr>
    </w:lvl>
    <w:lvl w:ilvl="5" w:tplc="8F7644CE" w:tentative="1">
      <w:start w:val="1"/>
      <w:numFmt w:val="bullet"/>
      <w:lvlText w:val=""/>
      <w:lvlJc w:val="left"/>
      <w:pPr>
        <w:tabs>
          <w:tab w:val="num" w:pos="5397"/>
        </w:tabs>
        <w:ind w:left="5397" w:hanging="360"/>
      </w:pPr>
      <w:rPr>
        <w:rFonts w:ascii="Wingdings" w:hAnsi="Wingdings" w:hint="default"/>
      </w:rPr>
    </w:lvl>
    <w:lvl w:ilvl="6" w:tplc="144293FC" w:tentative="1">
      <w:start w:val="1"/>
      <w:numFmt w:val="bullet"/>
      <w:lvlText w:val=""/>
      <w:lvlJc w:val="left"/>
      <w:pPr>
        <w:tabs>
          <w:tab w:val="num" w:pos="6117"/>
        </w:tabs>
        <w:ind w:left="6117" w:hanging="360"/>
      </w:pPr>
      <w:rPr>
        <w:rFonts w:ascii="Symbol" w:hAnsi="Symbol" w:hint="default"/>
      </w:rPr>
    </w:lvl>
    <w:lvl w:ilvl="7" w:tplc="A044E204" w:tentative="1">
      <w:start w:val="1"/>
      <w:numFmt w:val="bullet"/>
      <w:lvlText w:val="o"/>
      <w:lvlJc w:val="left"/>
      <w:pPr>
        <w:tabs>
          <w:tab w:val="num" w:pos="6837"/>
        </w:tabs>
        <w:ind w:left="6837" w:hanging="360"/>
      </w:pPr>
      <w:rPr>
        <w:rFonts w:ascii="Courier New" w:hAnsi="Courier New" w:cs="Courier New" w:hint="default"/>
      </w:rPr>
    </w:lvl>
    <w:lvl w:ilvl="8" w:tplc="4BD6AFA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E269568">
      <w:start w:val="1"/>
      <w:numFmt w:val="decimal"/>
      <w:pStyle w:val="ATSNumber2"/>
      <w:lvlText w:val="%1."/>
      <w:lvlJc w:val="left"/>
      <w:pPr>
        <w:tabs>
          <w:tab w:val="num" w:pos="720"/>
        </w:tabs>
        <w:ind w:left="720" w:hanging="360"/>
      </w:pPr>
      <w:rPr>
        <w:rFonts w:hint="default"/>
      </w:rPr>
    </w:lvl>
    <w:lvl w:ilvl="1" w:tplc="49AA6AA8" w:tentative="1">
      <w:start w:val="1"/>
      <w:numFmt w:val="lowerLetter"/>
      <w:lvlText w:val="%2."/>
      <w:lvlJc w:val="left"/>
      <w:pPr>
        <w:tabs>
          <w:tab w:val="num" w:pos="1440"/>
        </w:tabs>
        <w:ind w:left="1440" w:hanging="360"/>
      </w:pPr>
    </w:lvl>
    <w:lvl w:ilvl="2" w:tplc="3A145A68" w:tentative="1">
      <w:start w:val="1"/>
      <w:numFmt w:val="lowerRoman"/>
      <w:lvlText w:val="%3."/>
      <w:lvlJc w:val="right"/>
      <w:pPr>
        <w:tabs>
          <w:tab w:val="num" w:pos="2160"/>
        </w:tabs>
        <w:ind w:left="2160" w:hanging="180"/>
      </w:pPr>
    </w:lvl>
    <w:lvl w:ilvl="3" w:tplc="BC34BD04" w:tentative="1">
      <w:start w:val="1"/>
      <w:numFmt w:val="decimal"/>
      <w:lvlText w:val="%4."/>
      <w:lvlJc w:val="left"/>
      <w:pPr>
        <w:tabs>
          <w:tab w:val="num" w:pos="2880"/>
        </w:tabs>
        <w:ind w:left="2880" w:hanging="360"/>
      </w:pPr>
    </w:lvl>
    <w:lvl w:ilvl="4" w:tplc="C1AC736E" w:tentative="1">
      <w:start w:val="1"/>
      <w:numFmt w:val="lowerLetter"/>
      <w:lvlText w:val="%5."/>
      <w:lvlJc w:val="left"/>
      <w:pPr>
        <w:tabs>
          <w:tab w:val="num" w:pos="3600"/>
        </w:tabs>
        <w:ind w:left="3600" w:hanging="360"/>
      </w:pPr>
    </w:lvl>
    <w:lvl w:ilvl="5" w:tplc="BC4E8AF8" w:tentative="1">
      <w:start w:val="1"/>
      <w:numFmt w:val="lowerRoman"/>
      <w:lvlText w:val="%6."/>
      <w:lvlJc w:val="right"/>
      <w:pPr>
        <w:tabs>
          <w:tab w:val="num" w:pos="4320"/>
        </w:tabs>
        <w:ind w:left="4320" w:hanging="180"/>
      </w:pPr>
    </w:lvl>
    <w:lvl w:ilvl="6" w:tplc="B0926DFC" w:tentative="1">
      <w:start w:val="1"/>
      <w:numFmt w:val="decimal"/>
      <w:lvlText w:val="%7."/>
      <w:lvlJc w:val="left"/>
      <w:pPr>
        <w:tabs>
          <w:tab w:val="num" w:pos="5040"/>
        </w:tabs>
        <w:ind w:left="5040" w:hanging="360"/>
      </w:pPr>
    </w:lvl>
    <w:lvl w:ilvl="7" w:tplc="EC1A2BCC" w:tentative="1">
      <w:start w:val="1"/>
      <w:numFmt w:val="lowerLetter"/>
      <w:lvlText w:val="%8."/>
      <w:lvlJc w:val="left"/>
      <w:pPr>
        <w:tabs>
          <w:tab w:val="num" w:pos="5760"/>
        </w:tabs>
        <w:ind w:left="5760" w:hanging="360"/>
      </w:pPr>
    </w:lvl>
    <w:lvl w:ilvl="8" w:tplc="764262CC" w:tentative="1">
      <w:start w:val="1"/>
      <w:numFmt w:val="lowerRoman"/>
      <w:lvlText w:val="%9."/>
      <w:lvlJc w:val="right"/>
      <w:pPr>
        <w:tabs>
          <w:tab w:val="num" w:pos="6480"/>
        </w:tabs>
        <w:ind w:left="6480" w:hanging="180"/>
      </w:pPr>
    </w:lvl>
  </w:abstractNum>
  <w:num w:numId="1" w16cid:durableId="1764766136">
    <w:abstractNumId w:val="9"/>
  </w:num>
  <w:num w:numId="2" w16cid:durableId="781806274">
    <w:abstractNumId w:val="7"/>
  </w:num>
  <w:num w:numId="3" w16cid:durableId="1780644195">
    <w:abstractNumId w:val="6"/>
  </w:num>
  <w:num w:numId="4" w16cid:durableId="1416053339">
    <w:abstractNumId w:val="5"/>
  </w:num>
  <w:num w:numId="5" w16cid:durableId="921371693">
    <w:abstractNumId w:val="4"/>
  </w:num>
  <w:num w:numId="6" w16cid:durableId="10230026">
    <w:abstractNumId w:val="8"/>
  </w:num>
  <w:num w:numId="7" w16cid:durableId="452940719">
    <w:abstractNumId w:val="3"/>
  </w:num>
  <w:num w:numId="8" w16cid:durableId="891967644">
    <w:abstractNumId w:val="2"/>
  </w:num>
  <w:num w:numId="9" w16cid:durableId="1650398127">
    <w:abstractNumId w:val="1"/>
  </w:num>
  <w:num w:numId="10" w16cid:durableId="1653366678">
    <w:abstractNumId w:val="0"/>
  </w:num>
  <w:num w:numId="11" w16cid:durableId="1408193060">
    <w:abstractNumId w:val="11"/>
  </w:num>
  <w:num w:numId="12" w16cid:durableId="230503024">
    <w:abstractNumId w:val="15"/>
  </w:num>
  <w:num w:numId="13" w16cid:durableId="1333950401">
    <w:abstractNumId w:val="14"/>
  </w:num>
  <w:num w:numId="14" w16cid:durableId="322049798">
    <w:abstractNumId w:val="12"/>
  </w:num>
  <w:num w:numId="15" w16cid:durableId="1212838396">
    <w:abstractNumId w:val="13"/>
  </w:num>
  <w:num w:numId="16" w16cid:durableId="516578782">
    <w:abstractNumId w:val="10"/>
  </w:num>
  <w:num w:numId="17" w16cid:durableId="1020592759">
    <w:abstractNumId w:val="11"/>
  </w:num>
  <w:num w:numId="18" w16cid:durableId="1248534637">
    <w:abstractNumId w:val="15"/>
  </w:num>
  <w:num w:numId="19" w16cid:durableId="35394581">
    <w:abstractNumId w:val="14"/>
  </w:num>
  <w:num w:numId="20" w16cid:durableId="67966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0C"/>
    <w:rsid w:val="00AD647A"/>
    <w:rsid w:val="00D94A0C"/>
    <w:rsid w:val="00E14E9A"/>
    <w:rsid w:val="00FE23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19238"/>
  <w15:chartTrackingRefBased/>
  <w15:docId w15:val="{3597273E-4FD2-4F70-9D85-0193B19B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E14E9A"/>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cm.ccamlr.org/resolution-36/41-20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camlr.org/node/9939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etings.ccamlr.org/system/files/meeting-reports/e-cc-41-rep.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908</Words>
  <Characters>5140</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2023-03-31T12:00:00Z</dcterms:modified>
</cp:coreProperties>
</file>