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A084D2" w14:textId="77777777" w:rsidR="00C26F2D" w:rsidRDefault="00F90B94" w:rsidP="009E619D">
      <w:pPr>
        <w:rPr>
          <w:lang w:val="es-ES_tradnl"/>
        </w:rPr>
      </w:pPr>
    </w:p>
    <w:p w14:paraId="2F14372E" w14:textId="77777777" w:rsidR="002F0A13" w:rsidRDefault="00F90B94" w:rsidP="004B4A60">
      <w:pPr>
        <w:rPr>
          <w:b/>
          <w:u w:val="single"/>
          <w:lang w:val="es-ES_tradnl"/>
        </w:rPr>
      </w:pPr>
    </w:p>
    <w:p w14:paraId="3595BB6D" w14:textId="77777777" w:rsidR="002F0A13" w:rsidRDefault="00F90B94" w:rsidP="004B4A60">
      <w:pPr>
        <w:rPr>
          <w:b/>
          <w:u w:val="single"/>
          <w:lang w:val="es-ES_tradnl"/>
        </w:rPr>
      </w:pPr>
    </w:p>
    <w:p w14:paraId="4C4404A9" w14:textId="77777777" w:rsidR="002F0A13" w:rsidRDefault="00F90B94" w:rsidP="004B4A60">
      <w:pPr>
        <w:rPr>
          <w:b/>
          <w:u w:val="single"/>
          <w:lang w:val="es-ES_tradnl"/>
        </w:rPr>
      </w:pPr>
    </w:p>
    <w:p w14:paraId="6873ACD8" w14:textId="77777777" w:rsidR="002F0A13" w:rsidRDefault="00F90B94" w:rsidP="004B4A60">
      <w:pPr>
        <w:rPr>
          <w:b/>
          <w:u w:val="single"/>
          <w:lang w:val="es-ES_tradnl"/>
        </w:rPr>
      </w:pPr>
    </w:p>
    <w:p w14:paraId="38BAD86D" w14:textId="77777777" w:rsidR="00C26F2D" w:rsidRDefault="00F90B94" w:rsidP="004B4A60">
      <w:pPr>
        <w:rPr>
          <w:b/>
          <w:u w:val="single"/>
          <w:lang w:val="es-ES_tradnl"/>
        </w:rPr>
      </w:pPr>
    </w:p>
    <w:p w14:paraId="730D8E08" w14:textId="77777777" w:rsidR="004B4A60" w:rsidRPr="001D125E" w:rsidRDefault="001D125E" w:rsidP="001B789F">
      <w:pPr>
        <w:pStyle w:val="ATSTitle"/>
      </w:pPr>
      <w:bookmarkStart w:id="0" w:name="name"/>
      <w:r>
        <w:t>Contributions to the promotion and awareness of the care of palaeontological heritage in the Antarctic region</w:t>
      </w:r>
      <w:bookmarkEnd w:id="0"/>
    </w:p>
    <w:p w14:paraId="6A0ED133" w14:textId="77777777" w:rsidR="004B4A60" w:rsidRPr="00F90B94" w:rsidRDefault="00F90B94" w:rsidP="00F75424">
      <w:pPr>
        <w:jc w:val="center"/>
      </w:pPr>
    </w:p>
    <w:p w14:paraId="557C7AF3" w14:textId="77777777" w:rsidR="004B4A60" w:rsidRPr="00F90B94" w:rsidRDefault="00F90B94" w:rsidP="002F0A13"/>
    <w:p w14:paraId="2385ABEC" w14:textId="77777777" w:rsidR="004B4A60" w:rsidRPr="001D125E" w:rsidRDefault="00F90B94" w:rsidP="00F75424">
      <w:pPr>
        <w:jc w:val="center"/>
      </w:pPr>
      <w:bookmarkStart w:id="1" w:name="memo"/>
      <w:bookmarkEnd w:id="1"/>
    </w:p>
    <w:p w14:paraId="5A2148EF" w14:textId="77777777" w:rsidR="004B4A60" w:rsidRPr="00F90B94" w:rsidRDefault="00F90B94" w:rsidP="004B4A60"/>
    <w:p w14:paraId="49F7EE9C" w14:textId="77777777" w:rsidR="00C26F2D" w:rsidRPr="00F90B94" w:rsidRDefault="00F90B94" w:rsidP="00952E9F">
      <w:pPr>
        <w:sectPr w:rsidR="00C26F2D" w:rsidRPr="00F90B94" w:rsidSect="000E1D5C">
          <w:headerReference w:type="default" r:id="rId7"/>
          <w:footerReference w:type="even" r:id="rId8"/>
          <w:footerReference w:type="default" r:id="rId9"/>
          <w:pgSz w:w="11907" w:h="16840" w:code="9"/>
          <w:pgMar w:top="1134" w:right="1134" w:bottom="1134" w:left="1134" w:header="709" w:footer="709" w:gutter="0"/>
          <w:cols w:space="708"/>
          <w:docGrid w:linePitch="360"/>
        </w:sectPr>
      </w:pPr>
    </w:p>
    <w:p w14:paraId="09EC4343" w14:textId="77777777" w:rsidR="001D125E" w:rsidRDefault="001D125E" w:rsidP="001D125E">
      <w:pPr>
        <w:spacing w:before="240" w:after="60"/>
        <w:jc w:val="center"/>
        <w:rPr>
          <w:rFonts w:ascii="Arial" w:hAnsi="Arial" w:cs="Arial"/>
          <w:b/>
          <w:bCs/>
          <w:color w:val="000000"/>
          <w:sz w:val="32"/>
          <w:szCs w:val="32"/>
        </w:rPr>
      </w:pPr>
      <w:r>
        <w:rPr>
          <w:rFonts w:ascii="Arial" w:hAnsi="Arial"/>
          <w:b/>
          <w:color w:val="000000"/>
          <w:sz w:val="32"/>
        </w:rPr>
        <w:lastRenderedPageBreak/>
        <w:t>Contributions to the promotion and awareness of the care of palaeontological heritage in the Antarctic region</w:t>
      </w:r>
    </w:p>
    <w:p w14:paraId="47DD11F8" w14:textId="0EA65830" w:rsidR="001D125E" w:rsidRPr="005100E4" w:rsidRDefault="001D125E" w:rsidP="001D125E">
      <w:pPr>
        <w:spacing w:before="240" w:after="60"/>
        <w:jc w:val="center"/>
        <w:rPr>
          <w:sz w:val="24"/>
        </w:rPr>
      </w:pPr>
      <w:r>
        <w:rPr>
          <w:rFonts w:ascii="Calibri" w:hAnsi="Calibri"/>
          <w:b/>
          <w:color w:val="000000"/>
        </w:rPr>
        <w:t>Information paper submitted by Argentina</w:t>
      </w:r>
    </w:p>
    <w:p w14:paraId="07072C84" w14:textId="77777777" w:rsidR="001D125E" w:rsidRPr="00760B88" w:rsidRDefault="001D125E" w:rsidP="001D125E">
      <w:pPr>
        <w:pStyle w:val="ATSHeading2"/>
      </w:pPr>
      <w:r>
        <w:t xml:space="preserve">Summary </w:t>
      </w:r>
    </w:p>
    <w:p w14:paraId="39437A21" w14:textId="77777777" w:rsidR="001D125E" w:rsidRDefault="001D125E" w:rsidP="001D125E">
      <w:pPr>
        <w:spacing w:before="240" w:after="240"/>
        <w:jc w:val="both"/>
        <w:rPr>
          <w:color w:val="000000"/>
          <w:szCs w:val="22"/>
        </w:rPr>
      </w:pPr>
      <w:r>
        <w:rPr>
          <w:color w:val="000000"/>
        </w:rPr>
        <w:t xml:space="preserve">This document reports on an Argentine initiative to promote visitor awareness regarding Antarctic palaeontological heritage. Given the growing increase in Antarctic tourism, the diversification of activities and the landing in areas rich in fossil content, Argentina considered the need to establish an appropriate awareness mechanism to avoid the impact and preserve this scientific heritage and natural resource, as well as contribute with the educational contents of the visitors. </w:t>
      </w:r>
    </w:p>
    <w:p w14:paraId="6CB103FA" w14:textId="77777777" w:rsidR="001D125E" w:rsidRPr="005100E4" w:rsidRDefault="001D125E" w:rsidP="001D125E">
      <w:pPr>
        <w:spacing w:before="240" w:after="240"/>
        <w:rPr>
          <w:sz w:val="24"/>
        </w:rPr>
      </w:pPr>
      <w:r>
        <w:rPr>
          <w:rFonts w:ascii="Arial" w:hAnsi="Arial"/>
          <w:b/>
          <w:i/>
          <w:color w:val="000000"/>
        </w:rPr>
        <w:t>Introduction</w:t>
      </w:r>
    </w:p>
    <w:p w14:paraId="5DF26C4E" w14:textId="77777777" w:rsidR="001D125E" w:rsidRDefault="001D125E" w:rsidP="001D125E">
      <w:pPr>
        <w:spacing w:before="240" w:after="240"/>
        <w:jc w:val="both"/>
        <w:rPr>
          <w:color w:val="000000"/>
          <w:sz w:val="24"/>
        </w:rPr>
      </w:pPr>
      <w:r>
        <w:rPr>
          <w:color w:val="000000"/>
          <w:highlight w:val="white"/>
        </w:rPr>
        <w:t xml:space="preserve">Palaeontological studies constitute an important axis in the research carried out in the Antarctic continent and the fossils obtained from there allow carrying out significant studies to determine significant data on issues related to climate change, </w:t>
      </w:r>
      <w:proofErr w:type="spellStart"/>
      <w:r>
        <w:rPr>
          <w:color w:val="000000"/>
          <w:highlight w:val="white"/>
        </w:rPr>
        <w:t>palaeobiogeography</w:t>
      </w:r>
      <w:proofErr w:type="spellEnd"/>
      <w:r>
        <w:rPr>
          <w:color w:val="000000"/>
          <w:highlight w:val="white"/>
        </w:rPr>
        <w:t xml:space="preserve">, palaeographic reconstruction and evolutionary analysis, among others. In this discipline, field work is essential and must be carried out with great rigour </w:t>
      </w:r>
      <w:proofErr w:type="gramStart"/>
      <w:r>
        <w:rPr>
          <w:color w:val="000000"/>
          <w:highlight w:val="white"/>
        </w:rPr>
        <w:t>in order to</w:t>
      </w:r>
      <w:proofErr w:type="gramEnd"/>
      <w:r>
        <w:rPr>
          <w:color w:val="000000"/>
          <w:highlight w:val="white"/>
        </w:rPr>
        <w:t xml:space="preserve"> obtain data that allows validating scientific conclusions. Palaeontological heritage is unrepeatable and, as such, each specimen is unique. However, not only is the fossil piece itself important, but it is essential to maintain the environment and the position in which this piece is found in the stratum without alterations, so that improper manipulation can cause loss of information or modify completely the information to which the researcher accesses.</w:t>
      </w:r>
    </w:p>
    <w:p w14:paraId="3831C820" w14:textId="77777777" w:rsidR="001D125E" w:rsidRPr="00FF2516" w:rsidRDefault="001D125E" w:rsidP="001D125E">
      <w:pPr>
        <w:spacing w:before="240" w:after="240"/>
        <w:jc w:val="both"/>
        <w:rPr>
          <w:color w:val="000000"/>
        </w:rPr>
      </w:pPr>
      <w:r>
        <w:rPr>
          <w:color w:val="000000"/>
          <w:highlight w:val="white"/>
        </w:rPr>
        <w:t>Given the growing increase and diversification of Antarctic tourism activities with landings in areas rich in fossil content, where curiosity about the unknown can lead to wanting to manipulate these pieces, it is proposed to increase visitor awareness on issues related to palaeontological heritage to avoid their disturbance at the discovery sites and to minimise the impact on data collection by scientists working in different areas. The importance of valuing and protecting the fossil content even beyond the specially protected areas (ASPA) or scientific sites of special interest, has a double purpose: on the one hand, it promotes the conservation of palaeontological resources and, on the other, it contributes to the educational content of the shore excursions that visitors take.</w:t>
      </w:r>
    </w:p>
    <w:p w14:paraId="68D73AA8" w14:textId="77777777" w:rsidR="001D125E" w:rsidRPr="00FF2516" w:rsidRDefault="001D125E" w:rsidP="001D125E">
      <w:pPr>
        <w:spacing w:before="240" w:after="240"/>
        <w:jc w:val="both"/>
        <w:rPr>
          <w:color w:val="000000"/>
          <w:szCs w:val="22"/>
          <w:highlight w:val="white"/>
        </w:rPr>
      </w:pPr>
      <w:r>
        <w:rPr>
          <w:color w:val="000000"/>
          <w:highlight w:val="white"/>
        </w:rPr>
        <w:t xml:space="preserve">By promoting a responsible visit to the Antarctic continent, through raising awareness about the care and respect for palaeontological heritage, it will be possible to minimise the cumulative impact, unnecessary human </w:t>
      </w:r>
      <w:proofErr w:type="gramStart"/>
      <w:r>
        <w:rPr>
          <w:color w:val="000000"/>
          <w:highlight w:val="white"/>
        </w:rPr>
        <w:t>disturbance</w:t>
      </w:r>
      <w:proofErr w:type="gramEnd"/>
      <w:r>
        <w:rPr>
          <w:color w:val="000000"/>
          <w:highlight w:val="white"/>
        </w:rPr>
        <w:t xml:space="preserve"> and inappropriate collection of fossil material, which is ultimately part of history of the continent and of our planet. </w:t>
      </w:r>
    </w:p>
    <w:p w14:paraId="23F2205D" w14:textId="77777777" w:rsidR="001D125E" w:rsidRPr="005100E4" w:rsidRDefault="001D125E" w:rsidP="001D125E">
      <w:pPr>
        <w:spacing w:before="480" w:after="120"/>
        <w:jc w:val="both"/>
        <w:rPr>
          <w:sz w:val="24"/>
        </w:rPr>
      </w:pPr>
      <w:r>
        <w:rPr>
          <w:rFonts w:ascii="Arial" w:hAnsi="Arial"/>
          <w:b/>
          <w:i/>
          <w:color w:val="000000"/>
        </w:rPr>
        <w:t>Background</w:t>
      </w:r>
    </w:p>
    <w:p w14:paraId="1AD067C1" w14:textId="77777777" w:rsidR="001D125E" w:rsidRDefault="001D125E" w:rsidP="001D125E">
      <w:pPr>
        <w:spacing w:before="240" w:after="240"/>
        <w:jc w:val="both"/>
        <w:rPr>
          <w:color w:val="000000"/>
          <w:szCs w:val="22"/>
          <w:highlight w:val="white"/>
        </w:rPr>
      </w:pPr>
      <w:r>
        <w:rPr>
          <w:color w:val="000000"/>
          <w:highlight w:val="white"/>
        </w:rPr>
        <w:t xml:space="preserve">As related background, it is important to note </w:t>
      </w:r>
      <w:r>
        <w:rPr>
          <w:highlight w:val="white"/>
        </w:rPr>
        <w:t>the</w:t>
      </w:r>
      <w:r>
        <w:rPr>
          <w:color w:val="000000"/>
          <w:highlight w:val="white"/>
        </w:rPr>
        <w:t xml:space="preserve"> Working Papers (WP 57 and WP 50) presented by Argentina in </w:t>
      </w:r>
      <w:r>
        <w:rPr>
          <w:highlight w:val="white"/>
        </w:rPr>
        <w:t>CEP XVII (</w:t>
      </w:r>
      <w:r>
        <w:rPr>
          <w:color w:val="000000"/>
          <w:highlight w:val="white"/>
        </w:rPr>
        <w:t>ATCM XXXVII</w:t>
      </w:r>
      <w:r>
        <w:rPr>
          <w:highlight w:val="white"/>
        </w:rPr>
        <w:t xml:space="preserve">, </w:t>
      </w:r>
      <w:r>
        <w:rPr>
          <w:color w:val="000000"/>
          <w:highlight w:val="white"/>
        </w:rPr>
        <w:t>2014) and CEP XVIII (RC</w:t>
      </w:r>
      <w:r>
        <w:rPr>
          <w:highlight w:val="white"/>
        </w:rPr>
        <w:t xml:space="preserve">TA </w:t>
      </w:r>
      <w:r>
        <w:rPr>
          <w:color w:val="000000"/>
          <w:highlight w:val="white"/>
        </w:rPr>
        <w:t>XXXVIII</w:t>
      </w:r>
      <w:r>
        <w:rPr>
          <w:highlight w:val="white"/>
        </w:rPr>
        <w:t xml:space="preserve">, </w:t>
      </w:r>
      <w:r>
        <w:rPr>
          <w:color w:val="000000"/>
          <w:highlight w:val="white"/>
        </w:rPr>
        <w:t xml:space="preserve">2015), respectively, expressing its concern about the protection of fossils in Antarctica </w:t>
      </w:r>
      <w:r>
        <w:rPr>
          <w:highlight w:val="white"/>
        </w:rPr>
        <w:t>as well as</w:t>
      </w:r>
      <w:r>
        <w:rPr>
          <w:color w:val="000000"/>
          <w:highlight w:val="white"/>
        </w:rPr>
        <w:t xml:space="preserve"> WP 9 presented by New Zealand, at the CEP IV (</w:t>
      </w:r>
      <w:sdt>
        <w:sdtPr>
          <w:tag w:val="goog_rdk_0"/>
          <w:id w:val="-1362817167"/>
        </w:sdtPr>
        <w:sdtEndPr/>
        <w:sdtContent/>
      </w:sdt>
      <w:r>
        <w:rPr>
          <w:color w:val="000000"/>
          <w:highlight w:val="white"/>
        </w:rPr>
        <w:t xml:space="preserve">ATCM XXIV, </w:t>
      </w:r>
      <w:r>
        <w:rPr>
          <w:highlight w:val="white"/>
        </w:rPr>
        <w:t>2001</w:t>
      </w:r>
      <w:r>
        <w:rPr>
          <w:color w:val="000000"/>
          <w:highlight w:val="white"/>
        </w:rPr>
        <w:t>). In the latter case, the importance of the protection of Antarctic meteorites is raised, the debate on which gave rise to Recommendation 3/2001.</w:t>
      </w:r>
    </w:p>
    <w:p w14:paraId="48291408" w14:textId="77777777" w:rsidR="001D125E" w:rsidRPr="00FF2516" w:rsidRDefault="001D125E" w:rsidP="001D125E">
      <w:pPr>
        <w:spacing w:before="240" w:after="240"/>
        <w:jc w:val="both"/>
        <w:rPr>
          <w:szCs w:val="22"/>
          <w:highlight w:val="white"/>
        </w:rPr>
      </w:pPr>
      <w:r>
        <w:rPr>
          <w:highlight w:val="white"/>
        </w:rPr>
        <w:t>For its part, the SCAR Environmental Code of Conduct on geoscience research activities in the field in Antarctica (Resolution 1, 2021, Annex) describes fossils as finite scientific resources and highlights the importance of their safeguarding.</w:t>
      </w:r>
    </w:p>
    <w:p w14:paraId="6AF2443B" w14:textId="77777777" w:rsidR="001D125E" w:rsidRDefault="001D125E" w:rsidP="001D125E">
      <w:pPr>
        <w:spacing w:before="240" w:after="240"/>
        <w:jc w:val="both"/>
        <w:rPr>
          <w:szCs w:val="22"/>
        </w:rPr>
      </w:pPr>
      <w:proofErr w:type="gramStart"/>
      <w:r>
        <w:rPr>
          <w:color w:val="000000"/>
        </w:rPr>
        <w:lastRenderedPageBreak/>
        <w:t>Generally speaking, the</w:t>
      </w:r>
      <w:proofErr w:type="gramEnd"/>
      <w:r>
        <w:rPr>
          <w:color w:val="000000"/>
        </w:rPr>
        <w:t xml:space="preserve"> CEP and the ATCM have </w:t>
      </w:r>
      <w:r>
        <w:t>exposed</w:t>
      </w:r>
      <w:r>
        <w:rPr>
          <w:color w:val="000000"/>
        </w:rPr>
        <w:t xml:space="preserve"> their concern about the possible impact that tourism can generate in Antarctica</w:t>
      </w:r>
      <w:r>
        <w:t xml:space="preserve">, mentioning </w:t>
      </w:r>
      <w:r>
        <w:rPr>
          <w:color w:val="000000"/>
        </w:rPr>
        <w:t xml:space="preserve">the importance of education for the dissemination of the values of Antarctica through different provisions, particularly related to tourism. In this regard, it should be noted that in </w:t>
      </w:r>
      <w:r>
        <w:t>the final report of ATCM XXXVIII (2015)</w:t>
      </w:r>
      <w:r>
        <w:rPr>
          <w:color w:val="000000"/>
        </w:rPr>
        <w:t xml:space="preserve"> </w:t>
      </w:r>
      <w:r>
        <w:t xml:space="preserve">“(t)he Committee expressed concern about the commercial collection of Antarctic fossils and other geological materials. The Committee urged all Parties, national programmes and IAATO to take appropriate measures to ensure that the collection of fossils and other geological materials is carried out for scientific purposes only and that such materials are properly archived for research purposes” (# 212, p. 161). </w:t>
      </w:r>
    </w:p>
    <w:p w14:paraId="6B3076A7" w14:textId="77777777" w:rsidR="001D125E" w:rsidRPr="00EE307A" w:rsidRDefault="001D125E" w:rsidP="001D125E">
      <w:pPr>
        <w:spacing w:after="160" w:line="259" w:lineRule="auto"/>
        <w:jc w:val="both"/>
        <w:rPr>
          <w:color w:val="000000"/>
          <w:szCs w:val="22"/>
        </w:rPr>
      </w:pPr>
      <w:r>
        <w:rPr>
          <w:color w:val="000000"/>
        </w:rPr>
        <w:t xml:space="preserve">In general terms, the Antarctic Programmes have a protocol and an established methodology for the collection of fossils based on their regulatory frameworks, but there are other ways of accessing Antarctica, which involve personnel who may not have sufficient information and whose activities may ultimately affect the ongoing scientific studies. </w:t>
      </w:r>
      <w:proofErr w:type="gramStart"/>
      <w:r>
        <w:rPr>
          <w:color w:val="000000"/>
        </w:rPr>
        <w:t>In particular, tourism</w:t>
      </w:r>
      <w:proofErr w:type="gramEnd"/>
      <w:r>
        <w:rPr>
          <w:color w:val="000000"/>
        </w:rPr>
        <w:t xml:space="preserve"> in its various modalities shows a growing trend, halted during the seasons affected by the pandemic, but which has been reactivated during the last southern summer season 2022-2023, where a significant increase was observed in tourist flows in Antarctica.</w:t>
      </w:r>
    </w:p>
    <w:p w14:paraId="3D44E22C" w14:textId="77777777" w:rsidR="001D125E" w:rsidRPr="00FF2516" w:rsidRDefault="001D125E" w:rsidP="001D125E">
      <w:pPr>
        <w:spacing w:before="240" w:after="240"/>
        <w:jc w:val="both"/>
        <w:rPr>
          <w:color w:val="000000"/>
          <w:sz w:val="24"/>
        </w:rPr>
      </w:pPr>
      <w:r>
        <w:rPr>
          <w:color w:val="000000"/>
        </w:rPr>
        <w:t>Resolution 7 (2009), on the general principles of Antarctic tourism, urges operators and Parties to cooperate “to disseminate best practices in environmental management…” as well as to focus on “activities aimed at enriching and educating visitors about the Antarctic environment and its protection.” </w:t>
      </w:r>
    </w:p>
    <w:p w14:paraId="16A5956B" w14:textId="77777777" w:rsidR="001D125E" w:rsidRPr="005100E4" w:rsidRDefault="001D125E" w:rsidP="001D125E">
      <w:pPr>
        <w:spacing w:before="480" w:after="120"/>
        <w:rPr>
          <w:sz w:val="24"/>
        </w:rPr>
      </w:pPr>
      <w:r>
        <w:rPr>
          <w:rFonts w:ascii="Arial" w:hAnsi="Arial"/>
          <w:b/>
          <w:i/>
          <w:color w:val="000000"/>
        </w:rPr>
        <w:t>Proposal for protection through education for visitors</w:t>
      </w:r>
    </w:p>
    <w:p w14:paraId="6961DEC5" w14:textId="77777777" w:rsidR="001D125E" w:rsidRPr="00EE307A" w:rsidRDefault="001D125E" w:rsidP="001D125E">
      <w:pPr>
        <w:spacing w:after="160" w:line="259" w:lineRule="auto"/>
        <w:jc w:val="both"/>
        <w:rPr>
          <w:color w:val="000000"/>
          <w:szCs w:val="22"/>
        </w:rPr>
      </w:pPr>
      <w:r>
        <w:rPr>
          <w:color w:val="000000"/>
        </w:rPr>
        <w:t>As the Antarctic Treaty provisions relating to visitor behaviour on land are generally focused primarily on the protection of wildlife and the guidelines for visitor sites have site-specific content, it is considered appropriate and advisable to use an educational tool that contributes to the generation of a positive behaviour towards fossils as part of the Antarctic heritage. In this way, in accordance with Resolution 7 (2009) on the general principles of Antarctic tourism, it contributes to the generation of an instrument for tourism and non-governmental activities in Antarctica in a proactive way.</w:t>
      </w:r>
    </w:p>
    <w:p w14:paraId="6AAC0E8B" w14:textId="77777777" w:rsidR="001D125E" w:rsidRPr="00EE307A" w:rsidRDefault="001D125E" w:rsidP="001D125E">
      <w:pPr>
        <w:spacing w:after="160" w:line="259" w:lineRule="auto"/>
        <w:jc w:val="both"/>
        <w:rPr>
          <w:color w:val="000000"/>
          <w:szCs w:val="22"/>
        </w:rPr>
      </w:pPr>
      <w:r>
        <w:rPr>
          <w:color w:val="000000"/>
        </w:rPr>
        <w:t>It is for this reason that Argentina has taken the initiative to develop educational material for Antarctic visitors. This material, within the framework of a collaboration between the University of Tierra del Fuego and the National Directorate of the Antarctic-Argentine Antarctic Institute, consists of a poster and a brochure, as tools to raise awareness about a little-known heritage but which represents significant aspects of the history of the Antarctic continent.</w:t>
      </w:r>
    </w:p>
    <w:p w14:paraId="65B6E8AC" w14:textId="77777777" w:rsidR="001D125E" w:rsidRPr="00EE307A" w:rsidRDefault="001D125E" w:rsidP="001D125E">
      <w:pPr>
        <w:spacing w:after="160" w:line="259" w:lineRule="auto"/>
        <w:jc w:val="both"/>
        <w:rPr>
          <w:color w:val="000000"/>
          <w:szCs w:val="22"/>
        </w:rPr>
      </w:pPr>
      <w:r>
        <w:rPr>
          <w:color w:val="000000"/>
        </w:rPr>
        <w:t>This awareness will be carried out at the points where visitors are in Ushuaia as the gateway city to Antarctica, as well as in the most visited Argentine scientific stations in Antarctica. The posters will be available in printed format in the boarding area of the port of Ushuaia, at the Secretariat of Tourism Reports and at the National University of Tierra del Fuego, together with a QR code that will allow access to download a brochure with educational information. It should be noted that the poster will also be available at the Argentine bases, recalling the importance of not disturbing the state of the fossil remains, since their environment is highly significant information in scientific studies.</w:t>
      </w:r>
    </w:p>
    <w:p w14:paraId="35090A31" w14:textId="77777777" w:rsidR="001D125E" w:rsidRPr="00F90B94" w:rsidRDefault="001D125E" w:rsidP="001D125E">
      <w:pPr>
        <w:spacing w:after="160" w:line="259" w:lineRule="auto"/>
        <w:jc w:val="both"/>
        <w:rPr>
          <w:color w:val="000000"/>
          <w:szCs w:val="22"/>
          <w:lang w:eastAsia="es-AR"/>
        </w:rPr>
      </w:pPr>
    </w:p>
    <w:p w14:paraId="36D8CF5F" w14:textId="77777777" w:rsidR="001D125E" w:rsidRPr="005100E4" w:rsidRDefault="001D125E" w:rsidP="001D125E">
      <w:pPr>
        <w:spacing w:after="160" w:line="259" w:lineRule="auto"/>
        <w:jc w:val="both"/>
        <w:rPr>
          <w:rFonts w:eastAsiaTheme="minorHAnsi"/>
          <w:kern w:val="2"/>
          <w:szCs w:val="22"/>
          <w14:ligatures w14:val="standardContextual"/>
        </w:rPr>
      </w:pPr>
      <w:r>
        <w:t xml:space="preserve">Argentina makes the attached brochure available and requests the CEP to recognise its value and usefulness in raising awareness among Antarctic visitors about the importance of protecting the Antarctic palaeontological heritage through the promotion of responsible tourism, and invites the Parties to make comments for the improvement of this material during the intersessional period, </w:t>
      </w:r>
      <w:r>
        <w:lastRenderedPageBreak/>
        <w:t>to share similar experiences at the next meeting and, if they consider it pertinent, to use the brochure as a basis for the preparation of their own dissemination material.</w:t>
      </w:r>
    </w:p>
    <w:p w14:paraId="4789C531" w14:textId="77777777" w:rsidR="004B4A60" w:rsidRPr="00F90B94" w:rsidRDefault="00F90B94" w:rsidP="00952E9F"/>
    <w:sectPr w:rsidR="004B4A60" w:rsidRPr="00F90B94" w:rsidSect="00E02E88">
      <w:headerReference w:type="default" r:id="rId10"/>
      <w:footerReference w:type="default" r:id="rId11"/>
      <w:type w:val="oddPage"/>
      <w:pgSz w:w="11907" w:h="16840" w:code="9"/>
      <w:pgMar w:top="1134" w:right="1701"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BEB488" w14:textId="77777777" w:rsidR="0056342B" w:rsidRDefault="001D125E">
      <w:r>
        <w:separator/>
      </w:r>
    </w:p>
  </w:endnote>
  <w:endnote w:type="continuationSeparator" w:id="0">
    <w:p w14:paraId="4D60EDF8" w14:textId="77777777" w:rsidR="0056342B" w:rsidRDefault="001D12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25B5A3" w14:textId="77777777" w:rsidR="00FA0B9F" w:rsidRDefault="001D125E" w:rsidP="00CF5C82">
    <w:pPr>
      <w:framePr w:wrap="around" w:vAnchor="text" w:hAnchor="margin" w:xAlign="right" w:y="1"/>
    </w:pPr>
    <w:r>
      <w:fldChar w:fldCharType="begin"/>
    </w:r>
    <w:r>
      <w:instrText xml:space="preserve">PAGE  </w:instrText>
    </w:r>
    <w:r w:rsidR="00F90B94">
      <w:fldChar w:fldCharType="separate"/>
    </w:r>
    <w:r>
      <w:fldChar w:fldCharType="end"/>
    </w:r>
  </w:p>
  <w:p w14:paraId="31B5EB48" w14:textId="77777777" w:rsidR="00FA0B9F" w:rsidRDefault="00F90B94" w:rsidP="00FA0B9F">
    <w:pP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865FDB" w14:textId="77777777" w:rsidR="00FA0B9F" w:rsidRDefault="001D125E" w:rsidP="00CF5C82">
    <w:pPr>
      <w:framePr w:wrap="around" w:vAnchor="text" w:hAnchor="margin" w:xAlign="right" w:y="1"/>
    </w:pPr>
    <w:r>
      <w:fldChar w:fldCharType="begin"/>
    </w:r>
    <w:r>
      <w:instrText xml:space="preserve">PAGE  </w:instrText>
    </w:r>
    <w:r>
      <w:fldChar w:fldCharType="separate"/>
    </w:r>
    <w:r>
      <w:t>1</w:t>
    </w:r>
    <w:r>
      <w:fldChar w:fldCharType="end"/>
    </w:r>
  </w:p>
  <w:p w14:paraId="0CA8555B" w14:textId="77777777" w:rsidR="001D125E" w:rsidRDefault="001D125E" w:rsidP="00FA0B9F">
    <w:pPr>
      <w:ind w:right="360"/>
    </w:pPr>
    <w:r>
      <w:t xml:space="preserve">Attachments: </w:t>
    </w:r>
  </w:p>
  <w:p w14:paraId="5E180602" w14:textId="57328D16" w:rsidR="00FA0B9F" w:rsidRPr="00F90B94" w:rsidRDefault="001D125E" w:rsidP="00FA0B9F">
    <w:pPr>
      <w:ind w:right="360"/>
      <w:rPr>
        <w:lang w:val="es-ES"/>
      </w:rPr>
    </w:pPr>
    <w:r w:rsidRPr="00F90B94">
      <w:rPr>
        <w:lang w:val="es-ES"/>
      </w:rPr>
      <w:t xml:space="preserve">Atcm45_att052_s.pdf: </w:t>
    </w:r>
    <w:r w:rsidR="00F90B94" w:rsidRPr="00F90B94">
      <w:rPr>
        <w:lang w:val="es-ES"/>
      </w:rPr>
      <w:t>Folleto concientización patrimonio paleontológico [</w:t>
    </w:r>
    <w:proofErr w:type="spellStart"/>
    <w:r w:rsidRPr="00F90B94">
      <w:rPr>
        <w:lang w:val="es-ES"/>
      </w:rPr>
      <w:t>Palaeontological</w:t>
    </w:r>
    <w:proofErr w:type="spellEnd"/>
    <w:r w:rsidRPr="00F90B94">
      <w:rPr>
        <w:lang w:val="es-ES"/>
      </w:rPr>
      <w:t xml:space="preserve"> </w:t>
    </w:r>
    <w:proofErr w:type="spellStart"/>
    <w:r w:rsidRPr="00F90B94">
      <w:rPr>
        <w:lang w:val="es-ES"/>
      </w:rPr>
      <w:t>heritage</w:t>
    </w:r>
    <w:proofErr w:type="spellEnd"/>
    <w:r w:rsidRPr="00F90B94">
      <w:rPr>
        <w:lang w:val="es-ES"/>
      </w:rPr>
      <w:t xml:space="preserve"> </w:t>
    </w:r>
    <w:proofErr w:type="spellStart"/>
    <w:r w:rsidRPr="00F90B94">
      <w:rPr>
        <w:lang w:val="es-ES"/>
      </w:rPr>
      <w:t>awareness</w:t>
    </w:r>
    <w:proofErr w:type="spellEnd"/>
    <w:r w:rsidRPr="00F90B94">
      <w:rPr>
        <w:lang w:val="es-ES"/>
      </w:rPr>
      <w:t xml:space="preserve"> </w:t>
    </w:r>
    <w:proofErr w:type="spellStart"/>
    <w:r w:rsidRPr="00F90B94">
      <w:rPr>
        <w:lang w:val="es-ES"/>
      </w:rPr>
      <w:t>brochure</w:t>
    </w:r>
    <w:proofErr w:type="spellEnd"/>
    <w:r w:rsidR="00F90B94" w:rsidRPr="00F90B94">
      <w:rPr>
        <w:lang w:val="es-ES"/>
      </w:rPr>
      <w: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FF7103" w14:textId="77777777" w:rsidR="00E311C9" w:rsidRDefault="001D125E" w:rsidP="00CF5C82">
    <w:pPr>
      <w:framePr w:wrap="around" w:vAnchor="text" w:hAnchor="margin" w:xAlign="right" w:y="1"/>
    </w:pPr>
    <w:r>
      <w:fldChar w:fldCharType="begin"/>
    </w:r>
    <w:r>
      <w:instrText xml:space="preserve">PAGE  </w:instrText>
    </w:r>
    <w:r>
      <w:fldChar w:fldCharType="separate"/>
    </w:r>
    <w:r>
      <w:t>3</w:t>
    </w:r>
    <w:r>
      <w:fldChar w:fldCharType="end"/>
    </w:r>
  </w:p>
  <w:p w14:paraId="3E9F3883" w14:textId="77777777" w:rsidR="00E311C9" w:rsidRDefault="00F90B94" w:rsidP="00E311C9">
    <w:pP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5EBF92" w14:textId="77777777" w:rsidR="0056342B" w:rsidRDefault="001D125E">
      <w:r>
        <w:separator/>
      </w:r>
    </w:p>
  </w:footnote>
  <w:footnote w:type="continuationSeparator" w:id="0">
    <w:p w14:paraId="7C037E1E" w14:textId="77777777" w:rsidR="0056342B" w:rsidRDefault="001D125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342" w:type="dxa"/>
      <w:jc w:val="center"/>
      <w:tblLook w:val="01E0" w:firstRow="1" w:lastRow="1" w:firstColumn="1" w:lastColumn="1" w:noHBand="0" w:noVBand="0"/>
    </w:tblPr>
    <w:tblGrid>
      <w:gridCol w:w="5672"/>
      <w:gridCol w:w="2828"/>
      <w:gridCol w:w="1242"/>
      <w:gridCol w:w="991"/>
      <w:gridCol w:w="609"/>
    </w:tblGrid>
    <w:tr w:rsidR="006350B7" w14:paraId="219FB9CC" w14:textId="77777777" w:rsidTr="00AC010C">
      <w:trPr>
        <w:trHeight w:val="354"/>
        <w:jc w:val="center"/>
      </w:trPr>
      <w:tc>
        <w:tcPr>
          <w:tcW w:w="5672" w:type="dxa"/>
        </w:tcPr>
        <w:p w14:paraId="07BFF9BF" w14:textId="77777777" w:rsidR="00C449BA" w:rsidRDefault="00F90B94" w:rsidP="002A07BC"/>
      </w:tc>
      <w:tc>
        <w:tcPr>
          <w:tcW w:w="4070" w:type="dxa"/>
          <w:gridSpan w:val="2"/>
        </w:tcPr>
        <w:p w14:paraId="6ADCCDDB" w14:textId="77777777" w:rsidR="00C449BA" w:rsidRPr="000A4CD7" w:rsidRDefault="001D125E" w:rsidP="002A07BC">
          <w:pPr>
            <w:jc w:val="right"/>
            <w:rPr>
              <w:b/>
              <w:sz w:val="32"/>
              <w:szCs w:val="32"/>
            </w:rPr>
          </w:pPr>
          <w:bookmarkStart w:id="2" w:name="type"/>
          <w:r>
            <w:rPr>
              <w:b/>
              <w:sz w:val="32"/>
            </w:rPr>
            <w:t>IP</w:t>
          </w:r>
          <w:bookmarkEnd w:id="2"/>
        </w:p>
      </w:tc>
      <w:tc>
        <w:tcPr>
          <w:tcW w:w="1600" w:type="dxa"/>
          <w:gridSpan w:val="2"/>
        </w:tcPr>
        <w:p w14:paraId="33D2309D" w14:textId="77777777" w:rsidR="00C449BA" w:rsidRPr="000A4CD7" w:rsidRDefault="001D125E" w:rsidP="002A07BC">
          <w:pPr>
            <w:rPr>
              <w:b/>
              <w:sz w:val="32"/>
              <w:szCs w:val="32"/>
            </w:rPr>
          </w:pPr>
          <w:bookmarkStart w:id="3" w:name="number"/>
          <w:r>
            <w:rPr>
              <w:b/>
              <w:sz w:val="32"/>
            </w:rPr>
            <w:t>22</w:t>
          </w:r>
          <w:bookmarkEnd w:id="3"/>
        </w:p>
      </w:tc>
    </w:tr>
    <w:tr w:rsidR="006350B7" w14:paraId="0A4AD187" w14:textId="77777777" w:rsidTr="00AC010C">
      <w:trPr>
        <w:trHeight w:val="2244"/>
        <w:jc w:val="center"/>
      </w:trPr>
      <w:tc>
        <w:tcPr>
          <w:tcW w:w="5672" w:type="dxa"/>
        </w:tcPr>
        <w:p w14:paraId="07A79AE2" w14:textId="77777777" w:rsidR="002169D4" w:rsidRPr="00550FDE" w:rsidRDefault="001D125E" w:rsidP="002A07BC">
          <w:pPr>
            <w:rPr>
              <w:b/>
              <w:sz w:val="28"/>
              <w:szCs w:val="28"/>
            </w:rPr>
          </w:pPr>
          <w:r>
            <w:rPr>
              <w:noProof/>
            </w:rPr>
            <w:drawing>
              <wp:inline distT="0" distB="0" distL="0" distR="0" wp14:anchorId="15C232E5" wp14:editId="5627254D">
                <wp:extent cx="2806700" cy="1638246"/>
                <wp:effectExtent l="0" t="0" r="0" b="635"/>
                <wp:docPr id="2" name="Imagen 2" descr="Diagrama, 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2725827" name="Imagen 2" descr="Diagrama, Logotipo, nombre de la empresa&#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2940618" cy="1716413"/>
                        </a:xfrm>
                        <a:prstGeom prst="rect">
                          <a:avLst/>
                        </a:prstGeom>
                      </pic:spPr>
                    </pic:pic>
                  </a:graphicData>
                </a:graphic>
              </wp:inline>
            </w:drawing>
          </w:r>
        </w:p>
      </w:tc>
      <w:tc>
        <w:tcPr>
          <w:tcW w:w="5670" w:type="dxa"/>
          <w:gridSpan w:val="4"/>
          <w:vAlign w:val="center"/>
        </w:tcPr>
        <w:p w14:paraId="43ED866D" w14:textId="77777777" w:rsidR="002169D4" w:rsidRPr="002169D4" w:rsidRDefault="001D125E" w:rsidP="002169D4">
          <w:pPr>
            <w:jc w:val="right"/>
            <w:rPr>
              <w:sz w:val="144"/>
              <w:szCs w:val="144"/>
            </w:rPr>
          </w:pPr>
          <w:r>
            <w:rPr>
              <w:sz w:val="144"/>
            </w:rPr>
            <w:t>ENG</w:t>
          </w:r>
        </w:p>
      </w:tc>
    </w:tr>
    <w:tr w:rsidR="006350B7" w14:paraId="6EAB2334" w14:textId="77777777" w:rsidTr="00AC010C">
      <w:trPr>
        <w:trHeight w:val="420"/>
        <w:jc w:val="center"/>
      </w:trPr>
      <w:tc>
        <w:tcPr>
          <w:tcW w:w="8500" w:type="dxa"/>
          <w:gridSpan w:val="2"/>
        </w:tcPr>
        <w:p w14:paraId="7354D7EB" w14:textId="77777777" w:rsidR="000A4CD7" w:rsidRDefault="001D125E" w:rsidP="008D2157">
          <w:pPr>
            <w:jc w:val="right"/>
          </w:pPr>
          <w:r>
            <w:t>Agenda Item:</w:t>
          </w:r>
        </w:p>
      </w:tc>
      <w:tc>
        <w:tcPr>
          <w:tcW w:w="2233" w:type="dxa"/>
          <w:gridSpan w:val="2"/>
        </w:tcPr>
        <w:p w14:paraId="18EC5533" w14:textId="77777777" w:rsidR="000A4CD7" w:rsidRDefault="001D125E" w:rsidP="008D2157">
          <w:pPr>
            <w:jc w:val="right"/>
          </w:pPr>
          <w:bookmarkStart w:id="4" w:name="agenda"/>
          <w:r>
            <w:t>CEP 9e</w:t>
          </w:r>
          <w:bookmarkEnd w:id="4"/>
        </w:p>
      </w:tc>
      <w:tc>
        <w:tcPr>
          <w:tcW w:w="609" w:type="dxa"/>
        </w:tcPr>
        <w:p w14:paraId="3D8D3EB3" w14:textId="77777777" w:rsidR="000A4CD7" w:rsidRDefault="00F90B94" w:rsidP="00387A65">
          <w:pPr>
            <w:jc w:val="right"/>
          </w:pPr>
        </w:p>
      </w:tc>
    </w:tr>
    <w:tr w:rsidR="006350B7" w14:paraId="7B46BDB5" w14:textId="77777777" w:rsidTr="00AC010C">
      <w:trPr>
        <w:trHeight w:val="408"/>
        <w:jc w:val="center"/>
      </w:trPr>
      <w:tc>
        <w:tcPr>
          <w:tcW w:w="8500" w:type="dxa"/>
          <w:gridSpan w:val="2"/>
        </w:tcPr>
        <w:p w14:paraId="36727B5A" w14:textId="77777777" w:rsidR="000A4CD7" w:rsidRDefault="001D125E" w:rsidP="008D2157">
          <w:pPr>
            <w:jc w:val="right"/>
          </w:pPr>
          <w:r>
            <w:t>Submitted by:</w:t>
          </w:r>
        </w:p>
      </w:tc>
      <w:tc>
        <w:tcPr>
          <w:tcW w:w="2233" w:type="dxa"/>
          <w:gridSpan w:val="2"/>
        </w:tcPr>
        <w:p w14:paraId="60F2F01A" w14:textId="77777777" w:rsidR="000A4CD7" w:rsidRDefault="001D125E" w:rsidP="008D2157">
          <w:pPr>
            <w:jc w:val="right"/>
          </w:pPr>
          <w:bookmarkStart w:id="5" w:name="party"/>
          <w:r>
            <w:t>Argentina</w:t>
          </w:r>
          <w:bookmarkEnd w:id="5"/>
        </w:p>
      </w:tc>
      <w:tc>
        <w:tcPr>
          <w:tcW w:w="609" w:type="dxa"/>
        </w:tcPr>
        <w:p w14:paraId="62F20F6D" w14:textId="77777777" w:rsidR="000A4CD7" w:rsidRDefault="00F90B94" w:rsidP="00387A65">
          <w:pPr>
            <w:jc w:val="right"/>
          </w:pPr>
        </w:p>
      </w:tc>
    </w:tr>
    <w:tr w:rsidR="006350B7" w14:paraId="7F990A61" w14:textId="77777777" w:rsidTr="00AC010C">
      <w:trPr>
        <w:trHeight w:val="420"/>
        <w:jc w:val="center"/>
      </w:trPr>
      <w:tc>
        <w:tcPr>
          <w:tcW w:w="8500" w:type="dxa"/>
          <w:gridSpan w:val="2"/>
        </w:tcPr>
        <w:p w14:paraId="63E8C548" w14:textId="77777777" w:rsidR="000A4CD7" w:rsidRDefault="001D125E" w:rsidP="008D2157">
          <w:pPr>
            <w:jc w:val="right"/>
          </w:pPr>
          <w:r>
            <w:t>Original:</w:t>
          </w:r>
        </w:p>
      </w:tc>
      <w:tc>
        <w:tcPr>
          <w:tcW w:w="2233" w:type="dxa"/>
          <w:gridSpan w:val="2"/>
        </w:tcPr>
        <w:p w14:paraId="73E55729" w14:textId="77777777" w:rsidR="000A4CD7" w:rsidRDefault="001D125E" w:rsidP="008D2157">
          <w:pPr>
            <w:jc w:val="right"/>
          </w:pPr>
          <w:bookmarkStart w:id="6" w:name="language"/>
          <w:r>
            <w:t>Spanish</w:t>
          </w:r>
          <w:bookmarkEnd w:id="6"/>
        </w:p>
      </w:tc>
      <w:tc>
        <w:tcPr>
          <w:tcW w:w="609" w:type="dxa"/>
        </w:tcPr>
        <w:p w14:paraId="404DB156" w14:textId="77777777" w:rsidR="000A4CD7" w:rsidRDefault="00F90B94" w:rsidP="00387A65">
          <w:pPr>
            <w:jc w:val="right"/>
          </w:pPr>
        </w:p>
      </w:tc>
    </w:tr>
    <w:tr w:rsidR="006350B7" w14:paraId="1B842E1A" w14:textId="77777777" w:rsidTr="00AC010C">
      <w:trPr>
        <w:trHeight w:val="420"/>
        <w:jc w:val="center"/>
      </w:trPr>
      <w:tc>
        <w:tcPr>
          <w:tcW w:w="8500" w:type="dxa"/>
          <w:gridSpan w:val="2"/>
        </w:tcPr>
        <w:p w14:paraId="2D3018C9" w14:textId="77777777" w:rsidR="00965EDE" w:rsidRDefault="001D125E" w:rsidP="008D2157">
          <w:pPr>
            <w:jc w:val="right"/>
          </w:pPr>
          <w:r>
            <w:t>Submitted:</w:t>
          </w:r>
        </w:p>
      </w:tc>
      <w:tc>
        <w:tcPr>
          <w:tcW w:w="2233" w:type="dxa"/>
          <w:gridSpan w:val="2"/>
        </w:tcPr>
        <w:p w14:paraId="2933A014" w14:textId="77777777" w:rsidR="00965EDE" w:rsidRDefault="001D125E" w:rsidP="008D2157">
          <w:pPr>
            <w:jc w:val="right"/>
          </w:pPr>
          <w:bookmarkStart w:id="7" w:name="date_submission"/>
          <w:r>
            <w:t>14 Apr 2023</w:t>
          </w:r>
          <w:bookmarkEnd w:id="7"/>
        </w:p>
      </w:tc>
      <w:tc>
        <w:tcPr>
          <w:tcW w:w="609" w:type="dxa"/>
        </w:tcPr>
        <w:p w14:paraId="3C90D690" w14:textId="77777777" w:rsidR="00965EDE" w:rsidRDefault="00F90B94" w:rsidP="00387A65">
          <w:pPr>
            <w:jc w:val="right"/>
          </w:pPr>
        </w:p>
      </w:tc>
    </w:tr>
  </w:tbl>
  <w:p w14:paraId="38E9627A" w14:textId="77777777" w:rsidR="00AE5DD0" w:rsidRDefault="00F90B94"/>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026" w:type="dxa"/>
      <w:jc w:val="center"/>
      <w:tblLook w:val="01E0" w:firstRow="1" w:lastRow="1" w:firstColumn="1" w:lastColumn="1" w:noHBand="0" w:noVBand="0"/>
    </w:tblPr>
    <w:tblGrid>
      <w:gridCol w:w="9694"/>
      <w:gridCol w:w="1332"/>
    </w:tblGrid>
    <w:tr w:rsidR="006350B7" w14:paraId="38E504EA" w14:textId="77777777">
      <w:trPr>
        <w:trHeight w:val="354"/>
        <w:jc w:val="center"/>
      </w:trPr>
      <w:tc>
        <w:tcPr>
          <w:tcW w:w="9694" w:type="dxa"/>
        </w:tcPr>
        <w:p w14:paraId="2E7646D9" w14:textId="6567F503" w:rsidR="00AE5DD0" w:rsidRPr="000A4CD7" w:rsidRDefault="001D125E" w:rsidP="00C26F2D">
          <w:pPr>
            <w:jc w:val="right"/>
            <w:rPr>
              <w:b/>
              <w:sz w:val="32"/>
              <w:szCs w:val="32"/>
            </w:rPr>
          </w:pPr>
          <w:r>
            <w:rPr>
              <w:b/>
              <w:sz w:val="32"/>
            </w:rPr>
            <w:t>IP</w:t>
          </w:r>
        </w:p>
      </w:tc>
      <w:tc>
        <w:tcPr>
          <w:tcW w:w="1332" w:type="dxa"/>
        </w:tcPr>
        <w:p w14:paraId="0A88B06D" w14:textId="100D7193" w:rsidR="00AE5DD0" w:rsidRPr="000A4CD7" w:rsidRDefault="001D125E" w:rsidP="00080F4C">
          <w:pPr>
            <w:rPr>
              <w:b/>
              <w:sz w:val="32"/>
              <w:szCs w:val="32"/>
            </w:rPr>
          </w:pPr>
          <w:r>
            <w:rPr>
              <w:b/>
              <w:sz w:val="32"/>
            </w:rPr>
            <w:t>22</w:t>
          </w:r>
        </w:p>
      </w:tc>
    </w:tr>
  </w:tbl>
  <w:p w14:paraId="44FA4B24" w14:textId="77777777" w:rsidR="00AE5DD0" w:rsidRDefault="00F90B9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044987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E0EC73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EB63ED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9D2F98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114CC6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E141F9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0DA274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982BAE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A6C131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DCC038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DF94657"/>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15:restartNumberingAfterBreak="0">
    <w:nsid w:val="286577EA"/>
    <w:multiLevelType w:val="hybridMultilevel"/>
    <w:tmpl w:val="21A63D98"/>
    <w:lvl w:ilvl="0" w:tplc="62BA08CE">
      <w:start w:val="1"/>
      <w:numFmt w:val="bullet"/>
      <w:pStyle w:val="ATSBullet1"/>
      <w:lvlText w:val=""/>
      <w:lvlJc w:val="left"/>
      <w:pPr>
        <w:tabs>
          <w:tab w:val="num" w:pos="360"/>
        </w:tabs>
        <w:ind w:left="360" w:hanging="360"/>
      </w:pPr>
      <w:rPr>
        <w:rFonts w:ascii="Symbol" w:hAnsi="Symbol" w:hint="default"/>
        <w:color w:val="auto"/>
      </w:rPr>
    </w:lvl>
    <w:lvl w:ilvl="1" w:tplc="17A45520" w:tentative="1">
      <w:start w:val="1"/>
      <w:numFmt w:val="bullet"/>
      <w:lvlText w:val="o"/>
      <w:lvlJc w:val="left"/>
      <w:pPr>
        <w:tabs>
          <w:tab w:val="num" w:pos="1440"/>
        </w:tabs>
        <w:ind w:left="1440" w:hanging="360"/>
      </w:pPr>
      <w:rPr>
        <w:rFonts w:ascii="Courier New" w:hAnsi="Courier New" w:cs="Courier New" w:hint="default"/>
      </w:rPr>
    </w:lvl>
    <w:lvl w:ilvl="2" w:tplc="3E7A499C" w:tentative="1">
      <w:start w:val="1"/>
      <w:numFmt w:val="bullet"/>
      <w:lvlText w:val=""/>
      <w:lvlJc w:val="left"/>
      <w:pPr>
        <w:tabs>
          <w:tab w:val="num" w:pos="2160"/>
        </w:tabs>
        <w:ind w:left="2160" w:hanging="360"/>
      </w:pPr>
      <w:rPr>
        <w:rFonts w:ascii="Wingdings" w:hAnsi="Wingdings" w:hint="default"/>
      </w:rPr>
    </w:lvl>
    <w:lvl w:ilvl="3" w:tplc="5C662446" w:tentative="1">
      <w:start w:val="1"/>
      <w:numFmt w:val="bullet"/>
      <w:lvlText w:val=""/>
      <w:lvlJc w:val="left"/>
      <w:pPr>
        <w:tabs>
          <w:tab w:val="num" w:pos="2880"/>
        </w:tabs>
        <w:ind w:left="2880" w:hanging="360"/>
      </w:pPr>
      <w:rPr>
        <w:rFonts w:ascii="Symbol" w:hAnsi="Symbol" w:hint="default"/>
      </w:rPr>
    </w:lvl>
    <w:lvl w:ilvl="4" w:tplc="EF6488F2" w:tentative="1">
      <w:start w:val="1"/>
      <w:numFmt w:val="bullet"/>
      <w:lvlText w:val="o"/>
      <w:lvlJc w:val="left"/>
      <w:pPr>
        <w:tabs>
          <w:tab w:val="num" w:pos="3600"/>
        </w:tabs>
        <w:ind w:left="3600" w:hanging="360"/>
      </w:pPr>
      <w:rPr>
        <w:rFonts w:ascii="Courier New" w:hAnsi="Courier New" w:cs="Courier New" w:hint="default"/>
      </w:rPr>
    </w:lvl>
    <w:lvl w:ilvl="5" w:tplc="2ED2AF94" w:tentative="1">
      <w:start w:val="1"/>
      <w:numFmt w:val="bullet"/>
      <w:lvlText w:val=""/>
      <w:lvlJc w:val="left"/>
      <w:pPr>
        <w:tabs>
          <w:tab w:val="num" w:pos="4320"/>
        </w:tabs>
        <w:ind w:left="4320" w:hanging="360"/>
      </w:pPr>
      <w:rPr>
        <w:rFonts w:ascii="Wingdings" w:hAnsi="Wingdings" w:hint="default"/>
      </w:rPr>
    </w:lvl>
    <w:lvl w:ilvl="6" w:tplc="7652C8A8" w:tentative="1">
      <w:start w:val="1"/>
      <w:numFmt w:val="bullet"/>
      <w:lvlText w:val=""/>
      <w:lvlJc w:val="left"/>
      <w:pPr>
        <w:tabs>
          <w:tab w:val="num" w:pos="5040"/>
        </w:tabs>
        <w:ind w:left="5040" w:hanging="360"/>
      </w:pPr>
      <w:rPr>
        <w:rFonts w:ascii="Symbol" w:hAnsi="Symbol" w:hint="default"/>
      </w:rPr>
    </w:lvl>
    <w:lvl w:ilvl="7" w:tplc="5D7CC890" w:tentative="1">
      <w:start w:val="1"/>
      <w:numFmt w:val="bullet"/>
      <w:lvlText w:val="o"/>
      <w:lvlJc w:val="left"/>
      <w:pPr>
        <w:tabs>
          <w:tab w:val="num" w:pos="5760"/>
        </w:tabs>
        <w:ind w:left="5760" w:hanging="360"/>
      </w:pPr>
      <w:rPr>
        <w:rFonts w:ascii="Courier New" w:hAnsi="Courier New" w:cs="Courier New" w:hint="default"/>
      </w:rPr>
    </w:lvl>
    <w:lvl w:ilvl="8" w:tplc="CFC8A97A"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9D35C15"/>
    <w:multiLevelType w:val="hybridMultilevel"/>
    <w:tmpl w:val="A8A2E45C"/>
    <w:lvl w:ilvl="0" w:tplc="54407848">
      <w:start w:val="1"/>
      <w:numFmt w:val="decimal"/>
      <w:lvlText w:val="%1)"/>
      <w:lvlJc w:val="left"/>
      <w:pPr>
        <w:tabs>
          <w:tab w:val="num" w:pos="340"/>
        </w:tabs>
        <w:ind w:left="340" w:hanging="340"/>
      </w:pPr>
      <w:rPr>
        <w:rFonts w:hint="default"/>
      </w:rPr>
    </w:lvl>
    <w:lvl w:ilvl="1" w:tplc="BF1ADCDA" w:tentative="1">
      <w:start w:val="1"/>
      <w:numFmt w:val="lowerLetter"/>
      <w:lvlText w:val="%2."/>
      <w:lvlJc w:val="left"/>
      <w:pPr>
        <w:tabs>
          <w:tab w:val="num" w:pos="1440"/>
        </w:tabs>
        <w:ind w:left="1440" w:hanging="360"/>
      </w:pPr>
    </w:lvl>
    <w:lvl w:ilvl="2" w:tplc="211E075E" w:tentative="1">
      <w:start w:val="1"/>
      <w:numFmt w:val="lowerRoman"/>
      <w:lvlText w:val="%3."/>
      <w:lvlJc w:val="right"/>
      <w:pPr>
        <w:tabs>
          <w:tab w:val="num" w:pos="2160"/>
        </w:tabs>
        <w:ind w:left="2160" w:hanging="180"/>
      </w:pPr>
    </w:lvl>
    <w:lvl w:ilvl="3" w:tplc="FCC239B4" w:tentative="1">
      <w:start w:val="1"/>
      <w:numFmt w:val="decimal"/>
      <w:lvlText w:val="%4."/>
      <w:lvlJc w:val="left"/>
      <w:pPr>
        <w:tabs>
          <w:tab w:val="num" w:pos="2880"/>
        </w:tabs>
        <w:ind w:left="2880" w:hanging="360"/>
      </w:pPr>
    </w:lvl>
    <w:lvl w:ilvl="4" w:tplc="2E18CBB4" w:tentative="1">
      <w:start w:val="1"/>
      <w:numFmt w:val="lowerLetter"/>
      <w:lvlText w:val="%5."/>
      <w:lvlJc w:val="left"/>
      <w:pPr>
        <w:tabs>
          <w:tab w:val="num" w:pos="3600"/>
        </w:tabs>
        <w:ind w:left="3600" w:hanging="360"/>
      </w:pPr>
    </w:lvl>
    <w:lvl w:ilvl="5" w:tplc="47F87968" w:tentative="1">
      <w:start w:val="1"/>
      <w:numFmt w:val="lowerRoman"/>
      <w:lvlText w:val="%6."/>
      <w:lvlJc w:val="right"/>
      <w:pPr>
        <w:tabs>
          <w:tab w:val="num" w:pos="4320"/>
        </w:tabs>
        <w:ind w:left="4320" w:hanging="180"/>
      </w:pPr>
    </w:lvl>
    <w:lvl w:ilvl="6" w:tplc="E9761AA4" w:tentative="1">
      <w:start w:val="1"/>
      <w:numFmt w:val="decimal"/>
      <w:lvlText w:val="%7."/>
      <w:lvlJc w:val="left"/>
      <w:pPr>
        <w:tabs>
          <w:tab w:val="num" w:pos="5040"/>
        </w:tabs>
        <w:ind w:left="5040" w:hanging="360"/>
      </w:pPr>
    </w:lvl>
    <w:lvl w:ilvl="7" w:tplc="782E0AB2" w:tentative="1">
      <w:start w:val="1"/>
      <w:numFmt w:val="lowerLetter"/>
      <w:lvlText w:val="%8."/>
      <w:lvlJc w:val="left"/>
      <w:pPr>
        <w:tabs>
          <w:tab w:val="num" w:pos="5760"/>
        </w:tabs>
        <w:ind w:left="5760" w:hanging="360"/>
      </w:pPr>
    </w:lvl>
    <w:lvl w:ilvl="8" w:tplc="AD4607AE" w:tentative="1">
      <w:start w:val="1"/>
      <w:numFmt w:val="lowerRoman"/>
      <w:lvlText w:val="%9."/>
      <w:lvlJc w:val="right"/>
      <w:pPr>
        <w:tabs>
          <w:tab w:val="num" w:pos="6480"/>
        </w:tabs>
        <w:ind w:left="6480" w:hanging="180"/>
      </w:pPr>
    </w:lvl>
  </w:abstractNum>
  <w:abstractNum w:abstractNumId="13" w15:restartNumberingAfterBreak="0">
    <w:nsid w:val="642F3AFA"/>
    <w:multiLevelType w:val="hybridMultilevel"/>
    <w:tmpl w:val="9DF09BE6"/>
    <w:lvl w:ilvl="0" w:tplc="E9B4377E">
      <w:start w:val="1"/>
      <w:numFmt w:val="decimal"/>
      <w:lvlText w:val="%1."/>
      <w:lvlJc w:val="left"/>
      <w:pPr>
        <w:tabs>
          <w:tab w:val="num" w:pos="1057"/>
        </w:tabs>
        <w:ind w:left="1057" w:hanging="360"/>
      </w:pPr>
      <w:rPr>
        <w:rFonts w:hint="default"/>
      </w:rPr>
    </w:lvl>
    <w:lvl w:ilvl="1" w:tplc="6A8AC286" w:tentative="1">
      <w:start w:val="1"/>
      <w:numFmt w:val="lowerLetter"/>
      <w:lvlText w:val="%2."/>
      <w:lvlJc w:val="left"/>
      <w:pPr>
        <w:tabs>
          <w:tab w:val="num" w:pos="2137"/>
        </w:tabs>
        <w:ind w:left="2137" w:hanging="360"/>
      </w:pPr>
    </w:lvl>
    <w:lvl w:ilvl="2" w:tplc="42D8C5C0" w:tentative="1">
      <w:start w:val="1"/>
      <w:numFmt w:val="lowerRoman"/>
      <w:lvlText w:val="%3."/>
      <w:lvlJc w:val="right"/>
      <w:pPr>
        <w:tabs>
          <w:tab w:val="num" w:pos="2857"/>
        </w:tabs>
        <w:ind w:left="2857" w:hanging="180"/>
      </w:pPr>
    </w:lvl>
    <w:lvl w:ilvl="3" w:tplc="D694781E" w:tentative="1">
      <w:start w:val="1"/>
      <w:numFmt w:val="decimal"/>
      <w:lvlText w:val="%4."/>
      <w:lvlJc w:val="left"/>
      <w:pPr>
        <w:tabs>
          <w:tab w:val="num" w:pos="3577"/>
        </w:tabs>
        <w:ind w:left="3577" w:hanging="360"/>
      </w:pPr>
    </w:lvl>
    <w:lvl w:ilvl="4" w:tplc="BC9ACEC8" w:tentative="1">
      <w:start w:val="1"/>
      <w:numFmt w:val="lowerLetter"/>
      <w:lvlText w:val="%5."/>
      <w:lvlJc w:val="left"/>
      <w:pPr>
        <w:tabs>
          <w:tab w:val="num" w:pos="4297"/>
        </w:tabs>
        <w:ind w:left="4297" w:hanging="360"/>
      </w:pPr>
    </w:lvl>
    <w:lvl w:ilvl="5" w:tplc="50F8B10C" w:tentative="1">
      <w:start w:val="1"/>
      <w:numFmt w:val="lowerRoman"/>
      <w:lvlText w:val="%6."/>
      <w:lvlJc w:val="right"/>
      <w:pPr>
        <w:tabs>
          <w:tab w:val="num" w:pos="5017"/>
        </w:tabs>
        <w:ind w:left="5017" w:hanging="180"/>
      </w:pPr>
    </w:lvl>
    <w:lvl w:ilvl="6" w:tplc="B4B27E42" w:tentative="1">
      <w:start w:val="1"/>
      <w:numFmt w:val="decimal"/>
      <w:lvlText w:val="%7."/>
      <w:lvlJc w:val="left"/>
      <w:pPr>
        <w:tabs>
          <w:tab w:val="num" w:pos="5737"/>
        </w:tabs>
        <w:ind w:left="5737" w:hanging="360"/>
      </w:pPr>
    </w:lvl>
    <w:lvl w:ilvl="7" w:tplc="267012A0" w:tentative="1">
      <w:start w:val="1"/>
      <w:numFmt w:val="lowerLetter"/>
      <w:lvlText w:val="%8."/>
      <w:lvlJc w:val="left"/>
      <w:pPr>
        <w:tabs>
          <w:tab w:val="num" w:pos="6457"/>
        </w:tabs>
        <w:ind w:left="6457" w:hanging="360"/>
      </w:pPr>
    </w:lvl>
    <w:lvl w:ilvl="8" w:tplc="DEE4794C" w:tentative="1">
      <w:start w:val="1"/>
      <w:numFmt w:val="lowerRoman"/>
      <w:lvlText w:val="%9."/>
      <w:lvlJc w:val="right"/>
      <w:pPr>
        <w:tabs>
          <w:tab w:val="num" w:pos="7177"/>
        </w:tabs>
        <w:ind w:left="7177" w:hanging="180"/>
      </w:pPr>
    </w:lvl>
  </w:abstractNum>
  <w:abstractNum w:abstractNumId="14" w15:restartNumberingAfterBreak="0">
    <w:nsid w:val="7212657C"/>
    <w:multiLevelType w:val="hybridMultilevel"/>
    <w:tmpl w:val="0A8E2A84"/>
    <w:lvl w:ilvl="0" w:tplc="6CEC1ED4">
      <w:start w:val="1"/>
      <w:numFmt w:val="decimal"/>
      <w:pStyle w:val="ATSNumber1"/>
      <w:lvlText w:val="%1)"/>
      <w:lvlJc w:val="left"/>
      <w:pPr>
        <w:tabs>
          <w:tab w:val="num" w:pos="720"/>
        </w:tabs>
        <w:ind w:left="720" w:hanging="360"/>
      </w:pPr>
    </w:lvl>
    <w:lvl w:ilvl="1" w:tplc="F3FC98D8" w:tentative="1">
      <w:start w:val="1"/>
      <w:numFmt w:val="lowerLetter"/>
      <w:lvlText w:val="%2."/>
      <w:lvlJc w:val="left"/>
      <w:pPr>
        <w:tabs>
          <w:tab w:val="num" w:pos="1440"/>
        </w:tabs>
        <w:ind w:left="1440" w:hanging="360"/>
      </w:pPr>
    </w:lvl>
    <w:lvl w:ilvl="2" w:tplc="3DBCB612" w:tentative="1">
      <w:start w:val="1"/>
      <w:numFmt w:val="lowerRoman"/>
      <w:lvlText w:val="%3."/>
      <w:lvlJc w:val="right"/>
      <w:pPr>
        <w:tabs>
          <w:tab w:val="num" w:pos="2160"/>
        </w:tabs>
        <w:ind w:left="2160" w:hanging="180"/>
      </w:pPr>
    </w:lvl>
    <w:lvl w:ilvl="3" w:tplc="6F06CF6C" w:tentative="1">
      <w:start w:val="1"/>
      <w:numFmt w:val="decimal"/>
      <w:lvlText w:val="%4."/>
      <w:lvlJc w:val="left"/>
      <w:pPr>
        <w:tabs>
          <w:tab w:val="num" w:pos="2880"/>
        </w:tabs>
        <w:ind w:left="2880" w:hanging="360"/>
      </w:pPr>
    </w:lvl>
    <w:lvl w:ilvl="4" w:tplc="DF6CB824" w:tentative="1">
      <w:start w:val="1"/>
      <w:numFmt w:val="lowerLetter"/>
      <w:lvlText w:val="%5."/>
      <w:lvlJc w:val="left"/>
      <w:pPr>
        <w:tabs>
          <w:tab w:val="num" w:pos="3600"/>
        </w:tabs>
        <w:ind w:left="3600" w:hanging="360"/>
      </w:pPr>
    </w:lvl>
    <w:lvl w:ilvl="5" w:tplc="D2023184" w:tentative="1">
      <w:start w:val="1"/>
      <w:numFmt w:val="lowerRoman"/>
      <w:lvlText w:val="%6."/>
      <w:lvlJc w:val="right"/>
      <w:pPr>
        <w:tabs>
          <w:tab w:val="num" w:pos="4320"/>
        </w:tabs>
        <w:ind w:left="4320" w:hanging="180"/>
      </w:pPr>
    </w:lvl>
    <w:lvl w:ilvl="6" w:tplc="DBACEA6E" w:tentative="1">
      <w:start w:val="1"/>
      <w:numFmt w:val="decimal"/>
      <w:lvlText w:val="%7."/>
      <w:lvlJc w:val="left"/>
      <w:pPr>
        <w:tabs>
          <w:tab w:val="num" w:pos="5040"/>
        </w:tabs>
        <w:ind w:left="5040" w:hanging="360"/>
      </w:pPr>
    </w:lvl>
    <w:lvl w:ilvl="7" w:tplc="03A2C31C" w:tentative="1">
      <w:start w:val="1"/>
      <w:numFmt w:val="lowerLetter"/>
      <w:lvlText w:val="%8."/>
      <w:lvlJc w:val="left"/>
      <w:pPr>
        <w:tabs>
          <w:tab w:val="num" w:pos="5760"/>
        </w:tabs>
        <w:ind w:left="5760" w:hanging="360"/>
      </w:pPr>
    </w:lvl>
    <w:lvl w:ilvl="8" w:tplc="7BE0CE12" w:tentative="1">
      <w:start w:val="1"/>
      <w:numFmt w:val="lowerRoman"/>
      <w:lvlText w:val="%9."/>
      <w:lvlJc w:val="right"/>
      <w:pPr>
        <w:tabs>
          <w:tab w:val="num" w:pos="6480"/>
        </w:tabs>
        <w:ind w:left="6480" w:hanging="180"/>
      </w:pPr>
    </w:lvl>
  </w:abstractNum>
  <w:abstractNum w:abstractNumId="15" w15:restartNumberingAfterBreak="0">
    <w:nsid w:val="743D2161"/>
    <w:multiLevelType w:val="hybridMultilevel"/>
    <w:tmpl w:val="B0868D9E"/>
    <w:lvl w:ilvl="0" w:tplc="6BF2B814">
      <w:start w:val="1"/>
      <w:numFmt w:val="bullet"/>
      <w:pStyle w:val="ATSBullet2"/>
      <w:lvlText w:val="-"/>
      <w:lvlJc w:val="left"/>
      <w:pPr>
        <w:tabs>
          <w:tab w:val="num" w:pos="1080"/>
        </w:tabs>
        <w:ind w:left="1080" w:hanging="360"/>
      </w:pPr>
      <w:rPr>
        <w:rFonts w:ascii="Times New Roman" w:hAnsi="Times New Roman" w:cs="Times New Roman" w:hint="default"/>
        <w:color w:val="auto"/>
      </w:rPr>
    </w:lvl>
    <w:lvl w:ilvl="1" w:tplc="475C05C4" w:tentative="1">
      <w:start w:val="1"/>
      <w:numFmt w:val="bullet"/>
      <w:lvlText w:val="o"/>
      <w:lvlJc w:val="left"/>
      <w:pPr>
        <w:tabs>
          <w:tab w:val="num" w:pos="2517"/>
        </w:tabs>
        <w:ind w:left="2517" w:hanging="360"/>
      </w:pPr>
      <w:rPr>
        <w:rFonts w:ascii="Courier New" w:hAnsi="Courier New" w:cs="Courier New" w:hint="default"/>
      </w:rPr>
    </w:lvl>
    <w:lvl w:ilvl="2" w:tplc="9D4C04C6" w:tentative="1">
      <w:start w:val="1"/>
      <w:numFmt w:val="bullet"/>
      <w:lvlText w:val=""/>
      <w:lvlJc w:val="left"/>
      <w:pPr>
        <w:tabs>
          <w:tab w:val="num" w:pos="3237"/>
        </w:tabs>
        <w:ind w:left="3237" w:hanging="360"/>
      </w:pPr>
      <w:rPr>
        <w:rFonts w:ascii="Wingdings" w:hAnsi="Wingdings" w:hint="default"/>
      </w:rPr>
    </w:lvl>
    <w:lvl w:ilvl="3" w:tplc="72DCF6D6" w:tentative="1">
      <w:start w:val="1"/>
      <w:numFmt w:val="bullet"/>
      <w:lvlText w:val=""/>
      <w:lvlJc w:val="left"/>
      <w:pPr>
        <w:tabs>
          <w:tab w:val="num" w:pos="3957"/>
        </w:tabs>
        <w:ind w:left="3957" w:hanging="360"/>
      </w:pPr>
      <w:rPr>
        <w:rFonts w:ascii="Symbol" w:hAnsi="Symbol" w:hint="default"/>
      </w:rPr>
    </w:lvl>
    <w:lvl w:ilvl="4" w:tplc="008A1C7E" w:tentative="1">
      <w:start w:val="1"/>
      <w:numFmt w:val="bullet"/>
      <w:lvlText w:val="o"/>
      <w:lvlJc w:val="left"/>
      <w:pPr>
        <w:tabs>
          <w:tab w:val="num" w:pos="4677"/>
        </w:tabs>
        <w:ind w:left="4677" w:hanging="360"/>
      </w:pPr>
      <w:rPr>
        <w:rFonts w:ascii="Courier New" w:hAnsi="Courier New" w:cs="Courier New" w:hint="default"/>
      </w:rPr>
    </w:lvl>
    <w:lvl w:ilvl="5" w:tplc="586EE438" w:tentative="1">
      <w:start w:val="1"/>
      <w:numFmt w:val="bullet"/>
      <w:lvlText w:val=""/>
      <w:lvlJc w:val="left"/>
      <w:pPr>
        <w:tabs>
          <w:tab w:val="num" w:pos="5397"/>
        </w:tabs>
        <w:ind w:left="5397" w:hanging="360"/>
      </w:pPr>
      <w:rPr>
        <w:rFonts w:ascii="Wingdings" w:hAnsi="Wingdings" w:hint="default"/>
      </w:rPr>
    </w:lvl>
    <w:lvl w:ilvl="6" w:tplc="D93A2A18" w:tentative="1">
      <w:start w:val="1"/>
      <w:numFmt w:val="bullet"/>
      <w:lvlText w:val=""/>
      <w:lvlJc w:val="left"/>
      <w:pPr>
        <w:tabs>
          <w:tab w:val="num" w:pos="6117"/>
        </w:tabs>
        <w:ind w:left="6117" w:hanging="360"/>
      </w:pPr>
      <w:rPr>
        <w:rFonts w:ascii="Symbol" w:hAnsi="Symbol" w:hint="default"/>
      </w:rPr>
    </w:lvl>
    <w:lvl w:ilvl="7" w:tplc="5C7EA314" w:tentative="1">
      <w:start w:val="1"/>
      <w:numFmt w:val="bullet"/>
      <w:lvlText w:val="o"/>
      <w:lvlJc w:val="left"/>
      <w:pPr>
        <w:tabs>
          <w:tab w:val="num" w:pos="6837"/>
        </w:tabs>
        <w:ind w:left="6837" w:hanging="360"/>
      </w:pPr>
      <w:rPr>
        <w:rFonts w:ascii="Courier New" w:hAnsi="Courier New" w:cs="Courier New" w:hint="default"/>
      </w:rPr>
    </w:lvl>
    <w:lvl w:ilvl="8" w:tplc="9FC84E44" w:tentative="1">
      <w:start w:val="1"/>
      <w:numFmt w:val="bullet"/>
      <w:lvlText w:val=""/>
      <w:lvlJc w:val="left"/>
      <w:pPr>
        <w:tabs>
          <w:tab w:val="num" w:pos="7557"/>
        </w:tabs>
        <w:ind w:left="7557" w:hanging="360"/>
      </w:pPr>
      <w:rPr>
        <w:rFonts w:ascii="Wingdings" w:hAnsi="Wingdings" w:hint="default"/>
      </w:rPr>
    </w:lvl>
  </w:abstractNum>
  <w:abstractNum w:abstractNumId="16" w15:restartNumberingAfterBreak="0">
    <w:nsid w:val="7C866FC0"/>
    <w:multiLevelType w:val="hybridMultilevel"/>
    <w:tmpl w:val="57EA2900"/>
    <w:lvl w:ilvl="0" w:tplc="3CB099DC">
      <w:start w:val="1"/>
      <w:numFmt w:val="decimal"/>
      <w:pStyle w:val="ATSNumber2"/>
      <w:lvlText w:val="%1."/>
      <w:lvlJc w:val="left"/>
      <w:pPr>
        <w:tabs>
          <w:tab w:val="num" w:pos="720"/>
        </w:tabs>
        <w:ind w:left="720" w:hanging="360"/>
      </w:pPr>
      <w:rPr>
        <w:rFonts w:hint="default"/>
      </w:rPr>
    </w:lvl>
    <w:lvl w:ilvl="1" w:tplc="3C4477C2" w:tentative="1">
      <w:start w:val="1"/>
      <w:numFmt w:val="lowerLetter"/>
      <w:lvlText w:val="%2."/>
      <w:lvlJc w:val="left"/>
      <w:pPr>
        <w:tabs>
          <w:tab w:val="num" w:pos="1440"/>
        </w:tabs>
        <w:ind w:left="1440" w:hanging="360"/>
      </w:pPr>
    </w:lvl>
    <w:lvl w:ilvl="2" w:tplc="E0D0053C" w:tentative="1">
      <w:start w:val="1"/>
      <w:numFmt w:val="lowerRoman"/>
      <w:lvlText w:val="%3."/>
      <w:lvlJc w:val="right"/>
      <w:pPr>
        <w:tabs>
          <w:tab w:val="num" w:pos="2160"/>
        </w:tabs>
        <w:ind w:left="2160" w:hanging="180"/>
      </w:pPr>
    </w:lvl>
    <w:lvl w:ilvl="3" w:tplc="39CE19AE" w:tentative="1">
      <w:start w:val="1"/>
      <w:numFmt w:val="decimal"/>
      <w:lvlText w:val="%4."/>
      <w:lvlJc w:val="left"/>
      <w:pPr>
        <w:tabs>
          <w:tab w:val="num" w:pos="2880"/>
        </w:tabs>
        <w:ind w:left="2880" w:hanging="360"/>
      </w:pPr>
    </w:lvl>
    <w:lvl w:ilvl="4" w:tplc="8E8ADAC8" w:tentative="1">
      <w:start w:val="1"/>
      <w:numFmt w:val="lowerLetter"/>
      <w:lvlText w:val="%5."/>
      <w:lvlJc w:val="left"/>
      <w:pPr>
        <w:tabs>
          <w:tab w:val="num" w:pos="3600"/>
        </w:tabs>
        <w:ind w:left="3600" w:hanging="360"/>
      </w:pPr>
    </w:lvl>
    <w:lvl w:ilvl="5" w:tplc="D3969EE8" w:tentative="1">
      <w:start w:val="1"/>
      <w:numFmt w:val="lowerRoman"/>
      <w:lvlText w:val="%6."/>
      <w:lvlJc w:val="right"/>
      <w:pPr>
        <w:tabs>
          <w:tab w:val="num" w:pos="4320"/>
        </w:tabs>
        <w:ind w:left="4320" w:hanging="180"/>
      </w:pPr>
    </w:lvl>
    <w:lvl w:ilvl="6" w:tplc="966C30F8" w:tentative="1">
      <w:start w:val="1"/>
      <w:numFmt w:val="decimal"/>
      <w:lvlText w:val="%7."/>
      <w:lvlJc w:val="left"/>
      <w:pPr>
        <w:tabs>
          <w:tab w:val="num" w:pos="5040"/>
        </w:tabs>
        <w:ind w:left="5040" w:hanging="360"/>
      </w:pPr>
    </w:lvl>
    <w:lvl w:ilvl="7" w:tplc="E5D0EBBA" w:tentative="1">
      <w:start w:val="1"/>
      <w:numFmt w:val="lowerLetter"/>
      <w:lvlText w:val="%8."/>
      <w:lvlJc w:val="left"/>
      <w:pPr>
        <w:tabs>
          <w:tab w:val="num" w:pos="5760"/>
        </w:tabs>
        <w:ind w:left="5760" w:hanging="360"/>
      </w:pPr>
    </w:lvl>
    <w:lvl w:ilvl="8" w:tplc="F3A6C994" w:tentative="1">
      <w:start w:val="1"/>
      <w:numFmt w:val="lowerRoman"/>
      <w:lvlText w:val="%9."/>
      <w:lvlJc w:val="right"/>
      <w:pPr>
        <w:tabs>
          <w:tab w:val="num" w:pos="6480"/>
        </w:tabs>
        <w:ind w:left="6480" w:hanging="180"/>
      </w:pPr>
    </w:lvl>
  </w:abstractNum>
  <w:num w:numId="1" w16cid:durableId="429667164">
    <w:abstractNumId w:val="9"/>
  </w:num>
  <w:num w:numId="2" w16cid:durableId="499658033">
    <w:abstractNumId w:val="7"/>
  </w:num>
  <w:num w:numId="3" w16cid:durableId="928387392">
    <w:abstractNumId w:val="6"/>
  </w:num>
  <w:num w:numId="4" w16cid:durableId="1006131208">
    <w:abstractNumId w:val="5"/>
  </w:num>
  <w:num w:numId="5" w16cid:durableId="360476304">
    <w:abstractNumId w:val="4"/>
  </w:num>
  <w:num w:numId="6" w16cid:durableId="1182891339">
    <w:abstractNumId w:val="8"/>
  </w:num>
  <w:num w:numId="7" w16cid:durableId="1797946340">
    <w:abstractNumId w:val="3"/>
  </w:num>
  <w:num w:numId="8" w16cid:durableId="1551922198">
    <w:abstractNumId w:val="2"/>
  </w:num>
  <w:num w:numId="9" w16cid:durableId="79760639">
    <w:abstractNumId w:val="1"/>
  </w:num>
  <w:num w:numId="10" w16cid:durableId="1107849488">
    <w:abstractNumId w:val="0"/>
  </w:num>
  <w:num w:numId="11" w16cid:durableId="865291192">
    <w:abstractNumId w:val="11"/>
  </w:num>
  <w:num w:numId="12" w16cid:durableId="1355227359">
    <w:abstractNumId w:val="15"/>
  </w:num>
  <w:num w:numId="13" w16cid:durableId="784545426">
    <w:abstractNumId w:val="14"/>
  </w:num>
  <w:num w:numId="14" w16cid:durableId="1502089632">
    <w:abstractNumId w:val="12"/>
  </w:num>
  <w:num w:numId="15" w16cid:durableId="1690330575">
    <w:abstractNumId w:val="13"/>
  </w:num>
  <w:num w:numId="16" w16cid:durableId="1740588963">
    <w:abstractNumId w:val="10"/>
  </w:num>
  <w:num w:numId="17" w16cid:durableId="973825167">
    <w:abstractNumId w:val="11"/>
  </w:num>
  <w:num w:numId="18" w16cid:durableId="534394119">
    <w:abstractNumId w:val="15"/>
  </w:num>
  <w:num w:numId="19" w16cid:durableId="487017862">
    <w:abstractNumId w:val="14"/>
  </w:num>
  <w:num w:numId="20" w16cid:durableId="211304202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50B7"/>
    <w:rsid w:val="001D125E"/>
    <w:rsid w:val="0056342B"/>
    <w:rsid w:val="006350B7"/>
    <w:rsid w:val="00F90B94"/>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83FBBCE"/>
  <w15:chartTrackingRefBased/>
  <w15:docId w15:val="{1501EEC5-06DD-4997-9E45-BC2880E984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s-A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789F"/>
    <w:rPr>
      <w:sz w:val="22"/>
      <w:szCs w:val="24"/>
      <w:lang w:eastAsia="en-US"/>
    </w:rPr>
  </w:style>
  <w:style w:type="paragraph" w:styleId="Heading1">
    <w:name w:val="heading 1"/>
    <w:basedOn w:val="Normal"/>
    <w:next w:val="Normal"/>
    <w:qFormat/>
    <w:rsid w:val="001B789F"/>
    <w:pPr>
      <w:keepNext/>
      <w:spacing w:before="180" w:after="360"/>
      <w:jc w:val="center"/>
      <w:outlineLvl w:val="0"/>
    </w:pPr>
    <w:rPr>
      <w:rFonts w:ascii="Arial" w:hAnsi="Arial"/>
      <w:b/>
      <w:kern w:val="28"/>
      <w:sz w:val="32"/>
      <w:szCs w:val="20"/>
    </w:rPr>
  </w:style>
  <w:style w:type="paragraph" w:styleId="Heading2">
    <w:name w:val="heading 2"/>
    <w:basedOn w:val="Normal"/>
    <w:next w:val="Normal"/>
    <w:qFormat/>
    <w:rsid w:val="001B789F"/>
    <w:pPr>
      <w:keepNext/>
      <w:spacing w:before="120" w:after="240"/>
      <w:outlineLvl w:val="1"/>
    </w:pPr>
    <w:rPr>
      <w:b/>
      <w:i/>
      <w:sz w:val="28"/>
      <w:szCs w:val="20"/>
    </w:rPr>
  </w:style>
  <w:style w:type="paragraph" w:styleId="Heading3">
    <w:name w:val="heading 3"/>
    <w:basedOn w:val="Normal"/>
    <w:next w:val="Normal"/>
    <w:qFormat/>
    <w:rsid w:val="001B789F"/>
    <w:pPr>
      <w:keepNext/>
      <w:spacing w:before="120" w:after="180"/>
      <w:outlineLvl w:val="2"/>
    </w:pPr>
    <w:rPr>
      <w:rFonts w:eastAsia="SimSun"/>
      <w:b/>
      <w:sz w:val="24"/>
      <w:szCs w:val="20"/>
      <w:lang w:eastAsia="zh-CN"/>
    </w:rPr>
  </w:style>
  <w:style w:type="paragraph" w:styleId="Heading4">
    <w:name w:val="heading 4"/>
    <w:basedOn w:val="Normal"/>
    <w:next w:val="Normal"/>
    <w:qFormat/>
    <w:rsid w:val="001B789F"/>
    <w:pPr>
      <w:keepNext/>
      <w:spacing w:before="60" w:after="120"/>
      <w:outlineLvl w:val="3"/>
    </w:pPr>
    <w:rPr>
      <w:b/>
      <w:bCs/>
      <w:i/>
      <w:szCs w:val="28"/>
    </w:rPr>
  </w:style>
  <w:style w:type="paragraph" w:styleId="Heading5">
    <w:name w:val="heading 5"/>
    <w:basedOn w:val="Normal"/>
    <w:next w:val="Normal"/>
    <w:qFormat/>
    <w:rsid w:val="001B789F"/>
    <w:pPr>
      <w:spacing w:before="240" w:after="60"/>
      <w:outlineLvl w:val="4"/>
    </w:pPr>
    <w:rPr>
      <w:b/>
      <w:bCs/>
      <w:i/>
      <w:iCs/>
      <w:sz w:val="26"/>
      <w:szCs w:val="26"/>
    </w:rPr>
  </w:style>
  <w:style w:type="paragraph" w:styleId="Heading6">
    <w:name w:val="heading 6"/>
    <w:basedOn w:val="Normal"/>
    <w:next w:val="Normal"/>
    <w:qFormat/>
    <w:rsid w:val="001B789F"/>
    <w:pPr>
      <w:spacing w:before="240" w:after="60"/>
      <w:outlineLvl w:val="5"/>
    </w:pPr>
    <w:rPr>
      <w:b/>
      <w:bCs/>
      <w:szCs w:val="22"/>
    </w:rPr>
  </w:style>
  <w:style w:type="paragraph" w:styleId="Heading7">
    <w:name w:val="heading 7"/>
    <w:basedOn w:val="Normal"/>
    <w:next w:val="Normal"/>
    <w:qFormat/>
    <w:rsid w:val="001B789F"/>
    <w:pPr>
      <w:spacing w:before="240" w:after="60"/>
      <w:outlineLvl w:val="6"/>
    </w:pPr>
    <w:rPr>
      <w:sz w:val="24"/>
    </w:rPr>
  </w:style>
  <w:style w:type="paragraph" w:styleId="Heading8">
    <w:name w:val="heading 8"/>
    <w:basedOn w:val="Normal"/>
    <w:next w:val="Normal"/>
    <w:qFormat/>
    <w:rsid w:val="001B789F"/>
    <w:pPr>
      <w:spacing w:before="240" w:after="60"/>
      <w:outlineLvl w:val="7"/>
    </w:pPr>
    <w:rPr>
      <w:i/>
      <w:iCs/>
      <w:sz w:val="24"/>
    </w:rPr>
  </w:style>
  <w:style w:type="paragraph" w:styleId="Heading9">
    <w:name w:val="heading 9"/>
    <w:basedOn w:val="Normal"/>
    <w:next w:val="Normal"/>
    <w:qFormat/>
    <w:rsid w:val="001B789F"/>
    <w:pPr>
      <w:spacing w:before="240" w:after="60"/>
      <w:outlineLvl w:val="8"/>
    </w:pPr>
    <w:rPr>
      <w:rFonts w:ascii="Arial" w:hAnsi="Arial"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TSNormal">
    <w:name w:val="ATS Normal"/>
    <w:basedOn w:val="Normal"/>
    <w:rsid w:val="001B789F"/>
    <w:pPr>
      <w:spacing w:before="120" w:after="120"/>
    </w:pPr>
    <w:rPr>
      <w:lang w:eastAsia="en-GB"/>
    </w:rPr>
  </w:style>
  <w:style w:type="paragraph" w:customStyle="1" w:styleId="ATSBullet1">
    <w:name w:val="ATS Bullet 1"/>
    <w:basedOn w:val="ATSNormal"/>
    <w:rsid w:val="001B789F"/>
    <w:pPr>
      <w:numPr>
        <w:numId w:val="17"/>
      </w:numPr>
      <w:spacing w:before="60" w:after="0"/>
    </w:pPr>
  </w:style>
  <w:style w:type="paragraph" w:customStyle="1" w:styleId="ATSBullet2">
    <w:name w:val="ATS Bullet 2"/>
    <w:basedOn w:val="ATSNormal"/>
    <w:rsid w:val="001B789F"/>
    <w:pPr>
      <w:numPr>
        <w:numId w:val="18"/>
      </w:numPr>
      <w:tabs>
        <w:tab w:val="left" w:pos="720"/>
      </w:tabs>
      <w:spacing w:before="60" w:after="0"/>
    </w:pPr>
  </w:style>
  <w:style w:type="paragraph" w:customStyle="1" w:styleId="ATSCompact">
    <w:name w:val="ATS Compact"/>
    <w:basedOn w:val="ATSNormal"/>
    <w:rsid w:val="001B789F"/>
    <w:pPr>
      <w:spacing w:before="0" w:after="0"/>
    </w:pPr>
  </w:style>
  <w:style w:type="paragraph" w:customStyle="1" w:styleId="ATSHeading1">
    <w:name w:val="ATS Heading 1"/>
    <w:basedOn w:val="ATSNormal"/>
    <w:next w:val="ATSNormal"/>
    <w:rsid w:val="001B789F"/>
    <w:pPr>
      <w:spacing w:before="360" w:after="360"/>
      <w:jc w:val="center"/>
    </w:pPr>
    <w:rPr>
      <w:rFonts w:ascii="Arial" w:hAnsi="Arial"/>
      <w:b/>
      <w:sz w:val="32"/>
    </w:rPr>
  </w:style>
  <w:style w:type="paragraph" w:customStyle="1" w:styleId="ATSHeading2">
    <w:name w:val="ATS Heading 2"/>
    <w:basedOn w:val="ATSNormal"/>
    <w:next w:val="ATSNormal"/>
    <w:link w:val="ATSHeading2Char"/>
    <w:qFormat/>
    <w:rsid w:val="001B789F"/>
    <w:pPr>
      <w:spacing w:before="480"/>
      <w:jc w:val="both"/>
    </w:pPr>
    <w:rPr>
      <w:rFonts w:ascii="Arial" w:hAnsi="Arial"/>
      <w:b/>
      <w:i/>
      <w:sz w:val="24"/>
      <w:szCs w:val="22"/>
    </w:rPr>
  </w:style>
  <w:style w:type="paragraph" w:customStyle="1" w:styleId="ATSHeading3">
    <w:name w:val="ATS Heading 3"/>
    <w:basedOn w:val="ATSNormal"/>
    <w:next w:val="ATSNormal"/>
    <w:rsid w:val="001B789F"/>
    <w:pPr>
      <w:spacing w:before="240" w:after="60"/>
    </w:pPr>
    <w:rPr>
      <w:b/>
    </w:rPr>
  </w:style>
  <w:style w:type="paragraph" w:customStyle="1" w:styleId="ATSHeading4">
    <w:name w:val="ATS Heading 4"/>
    <w:basedOn w:val="ATSNormal"/>
    <w:next w:val="ATSNormal"/>
    <w:rsid w:val="001B789F"/>
    <w:pPr>
      <w:spacing w:before="240" w:after="60"/>
    </w:pPr>
    <w:rPr>
      <w:i/>
    </w:rPr>
  </w:style>
  <w:style w:type="paragraph" w:customStyle="1" w:styleId="AtsNumber">
    <w:name w:val="Ats Number"/>
    <w:basedOn w:val="ATSNormal"/>
    <w:rsid w:val="001B789F"/>
    <w:pPr>
      <w:spacing w:before="60" w:after="0"/>
    </w:pPr>
  </w:style>
  <w:style w:type="paragraph" w:customStyle="1" w:styleId="ATSNumber1">
    <w:name w:val="ATS Number 1"/>
    <w:basedOn w:val="ATSNormal"/>
    <w:rsid w:val="001B789F"/>
    <w:pPr>
      <w:numPr>
        <w:numId w:val="19"/>
      </w:numPr>
      <w:spacing w:before="60" w:after="0"/>
    </w:pPr>
  </w:style>
  <w:style w:type="paragraph" w:customStyle="1" w:styleId="ATSNumber2">
    <w:name w:val="ATS Number 2"/>
    <w:basedOn w:val="ATSNormal"/>
    <w:autoRedefine/>
    <w:rsid w:val="001B789F"/>
    <w:pPr>
      <w:numPr>
        <w:numId w:val="20"/>
      </w:numPr>
      <w:spacing w:after="0"/>
      <w:jc w:val="both"/>
    </w:pPr>
  </w:style>
  <w:style w:type="paragraph" w:customStyle="1" w:styleId="ATSQuote">
    <w:name w:val="ATS Quote"/>
    <w:basedOn w:val="Normal"/>
    <w:rsid w:val="001B789F"/>
    <w:pPr>
      <w:ind w:left="357"/>
    </w:pPr>
    <w:rPr>
      <w:i/>
      <w:szCs w:val="18"/>
    </w:rPr>
  </w:style>
  <w:style w:type="paragraph" w:customStyle="1" w:styleId="ATSTitle">
    <w:name w:val="ATS Title"/>
    <w:basedOn w:val="Normal"/>
    <w:rsid w:val="001B789F"/>
    <w:pPr>
      <w:spacing w:before="360" w:after="360"/>
      <w:contextualSpacing/>
      <w:jc w:val="center"/>
    </w:pPr>
    <w:rPr>
      <w:rFonts w:ascii="Arial" w:hAnsi="Arial"/>
      <w:b/>
      <w:sz w:val="48"/>
    </w:rPr>
  </w:style>
  <w:style w:type="paragraph" w:styleId="BalloonText">
    <w:name w:val="Balloon Text"/>
    <w:basedOn w:val="Normal"/>
    <w:semiHidden/>
    <w:rsid w:val="001B789F"/>
    <w:rPr>
      <w:rFonts w:ascii="Tahoma" w:hAnsi="Tahoma" w:cs="Tahoma"/>
      <w:sz w:val="16"/>
      <w:szCs w:val="16"/>
    </w:rPr>
  </w:style>
  <w:style w:type="character" w:customStyle="1" w:styleId="BodyTextChar">
    <w:name w:val="Body Text Char"/>
    <w:semiHidden/>
    <w:rsid w:val="001B789F"/>
    <w:rPr>
      <w:sz w:val="24"/>
      <w:szCs w:val="22"/>
      <w:lang w:val="en-GB" w:eastAsia="zh-CN" w:bidi="ar-SA"/>
    </w:rPr>
  </w:style>
  <w:style w:type="character" w:customStyle="1" w:styleId="CharacterStyle1">
    <w:name w:val="Character Style 1"/>
    <w:semiHidden/>
    <w:rsid w:val="001B789F"/>
    <w:rPr>
      <w:sz w:val="22"/>
      <w:szCs w:val="22"/>
    </w:rPr>
  </w:style>
  <w:style w:type="character" w:customStyle="1" w:styleId="descriptions1">
    <w:name w:val="descriptions1"/>
    <w:semiHidden/>
    <w:rsid w:val="001B789F"/>
    <w:rPr>
      <w:rFonts w:ascii="Verdana" w:hAnsi="Verdana" w:hint="default"/>
      <w:b/>
      <w:bCs/>
      <w:i w:val="0"/>
      <w:iCs w:val="0"/>
      <w:caps w:val="0"/>
      <w:smallCaps w:val="0"/>
      <w:color w:val="585858"/>
      <w:sz w:val="12"/>
      <w:szCs w:val="12"/>
    </w:rPr>
  </w:style>
  <w:style w:type="paragraph" w:styleId="DocumentMap">
    <w:name w:val="Document Map"/>
    <w:basedOn w:val="Normal"/>
    <w:semiHidden/>
    <w:rsid w:val="001B789F"/>
    <w:pPr>
      <w:shd w:val="clear" w:color="auto" w:fill="000080"/>
    </w:pPr>
    <w:rPr>
      <w:rFonts w:ascii="Tahoma" w:hAnsi="Tahoma" w:cs="Tahoma"/>
      <w:sz w:val="20"/>
      <w:szCs w:val="20"/>
    </w:rPr>
  </w:style>
  <w:style w:type="character" w:styleId="EndnoteReference">
    <w:name w:val="endnote reference"/>
    <w:semiHidden/>
    <w:rsid w:val="001B789F"/>
    <w:rPr>
      <w:vertAlign w:val="superscript"/>
    </w:rPr>
  </w:style>
  <w:style w:type="paragraph" w:styleId="EndnoteText">
    <w:name w:val="endnote text"/>
    <w:basedOn w:val="Normal"/>
    <w:semiHidden/>
    <w:rsid w:val="001B789F"/>
    <w:rPr>
      <w:sz w:val="20"/>
      <w:szCs w:val="20"/>
    </w:rPr>
  </w:style>
  <w:style w:type="character" w:styleId="FollowedHyperlink">
    <w:name w:val="FollowedHyperlink"/>
    <w:semiHidden/>
    <w:rsid w:val="001B789F"/>
    <w:rPr>
      <w:color w:val="800080"/>
      <w:u w:val="single"/>
    </w:rPr>
  </w:style>
  <w:style w:type="paragraph" w:styleId="Footer">
    <w:name w:val="footer"/>
    <w:basedOn w:val="Normal"/>
    <w:semiHidden/>
    <w:rsid w:val="001B789F"/>
    <w:pPr>
      <w:tabs>
        <w:tab w:val="center" w:pos="4419"/>
        <w:tab w:val="right" w:pos="8838"/>
      </w:tabs>
    </w:pPr>
  </w:style>
  <w:style w:type="character" w:styleId="FootnoteReference">
    <w:name w:val="footnote reference"/>
    <w:rsid w:val="001B789F"/>
    <w:rPr>
      <w:vertAlign w:val="superscript"/>
    </w:rPr>
  </w:style>
  <w:style w:type="paragraph" w:styleId="FootnoteText">
    <w:name w:val="footnote text"/>
    <w:basedOn w:val="Normal"/>
    <w:rsid w:val="001B789F"/>
    <w:rPr>
      <w:szCs w:val="22"/>
    </w:rPr>
  </w:style>
  <w:style w:type="paragraph" w:styleId="Header">
    <w:name w:val="header"/>
    <w:basedOn w:val="Normal"/>
    <w:semiHidden/>
    <w:rsid w:val="001B789F"/>
    <w:pPr>
      <w:tabs>
        <w:tab w:val="center" w:pos="4419"/>
        <w:tab w:val="right" w:pos="8838"/>
      </w:tabs>
    </w:pPr>
  </w:style>
  <w:style w:type="character" w:styleId="Hyperlink">
    <w:name w:val="Hyperlink"/>
    <w:semiHidden/>
    <w:rsid w:val="001B789F"/>
    <w:rPr>
      <w:color w:val="660000"/>
      <w:u w:val="single"/>
    </w:rPr>
  </w:style>
  <w:style w:type="paragraph" w:styleId="NormalWeb">
    <w:name w:val="Normal (Web)"/>
    <w:basedOn w:val="Normal"/>
    <w:semiHidden/>
    <w:rsid w:val="001B789F"/>
    <w:pPr>
      <w:spacing w:before="100" w:beforeAutospacing="1" w:after="100" w:afterAutospacing="1"/>
      <w:jc w:val="both"/>
    </w:pPr>
    <w:rPr>
      <w:sz w:val="24"/>
      <w:lang w:eastAsia="en-AU"/>
    </w:rPr>
  </w:style>
  <w:style w:type="character" w:styleId="PageNumber">
    <w:name w:val="page number"/>
    <w:basedOn w:val="DefaultParagraphFont"/>
    <w:semiHidden/>
    <w:rsid w:val="001B789F"/>
  </w:style>
  <w:style w:type="character" w:styleId="Strong">
    <w:name w:val="Strong"/>
    <w:qFormat/>
    <w:rsid w:val="001B789F"/>
    <w:rPr>
      <w:b/>
      <w:bCs/>
    </w:rPr>
  </w:style>
  <w:style w:type="table" w:styleId="TableGrid">
    <w:name w:val="Table Grid"/>
    <w:basedOn w:val="TableNormal"/>
    <w:semiHidden/>
    <w:rsid w:val="001B78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ag1">
    <w:name w:val="tag1"/>
    <w:semiHidden/>
    <w:rsid w:val="001B789F"/>
    <w:rPr>
      <w:rFonts w:ascii="Verdana" w:hAnsi="Verdana" w:hint="default"/>
      <w:b w:val="0"/>
      <w:bCs w:val="0"/>
      <w:i w:val="0"/>
      <w:iCs w:val="0"/>
      <w:caps w:val="0"/>
      <w:smallCaps w:val="0"/>
      <w:strike w:val="0"/>
      <w:dstrike w:val="0"/>
      <w:color w:val="585858"/>
      <w:sz w:val="12"/>
      <w:szCs w:val="12"/>
      <w:u w:val="none"/>
      <w:effect w:val="none"/>
    </w:rPr>
  </w:style>
  <w:style w:type="paragraph" w:customStyle="1" w:styleId="TexteFr">
    <w:name w:val="TexteFr"/>
    <w:basedOn w:val="Normal"/>
    <w:semiHidden/>
    <w:rsid w:val="001B789F"/>
    <w:pPr>
      <w:pBdr>
        <w:top w:val="single" w:sz="4" w:space="1" w:color="auto"/>
        <w:left w:val="single" w:sz="4" w:space="4" w:color="auto"/>
        <w:bottom w:val="single" w:sz="4" w:space="1" w:color="auto"/>
        <w:right w:val="single" w:sz="4" w:space="4" w:color="auto"/>
      </w:pBdr>
      <w:shd w:val="pct10" w:color="000000" w:fill="auto"/>
      <w:tabs>
        <w:tab w:val="left" w:pos="1711"/>
        <w:tab w:val="left" w:pos="2209"/>
        <w:tab w:val="left" w:pos="2760"/>
        <w:tab w:val="left" w:pos="5101"/>
        <w:tab w:val="left" w:pos="5886"/>
        <w:tab w:val="left" w:pos="7128"/>
      </w:tabs>
      <w:ind w:left="272" w:hanging="272"/>
      <w:jc w:val="both"/>
    </w:pPr>
    <w:rPr>
      <w:szCs w:val="22"/>
      <w:lang w:eastAsia="en-AU"/>
    </w:rPr>
  </w:style>
  <w:style w:type="paragraph" w:customStyle="1" w:styleId="TextEn">
    <w:name w:val="TextEn"/>
    <w:basedOn w:val="Normal"/>
    <w:semiHidden/>
    <w:rsid w:val="001B789F"/>
    <w:pPr>
      <w:spacing w:after="120"/>
    </w:pPr>
    <w:rPr>
      <w:szCs w:val="22"/>
    </w:rPr>
  </w:style>
  <w:style w:type="paragraph" w:customStyle="1" w:styleId="TextEnSingle">
    <w:name w:val="TextEnSingle"/>
    <w:basedOn w:val="TextEn"/>
    <w:semiHidden/>
    <w:rsid w:val="001B789F"/>
    <w:pPr>
      <w:spacing w:after="0"/>
    </w:pPr>
  </w:style>
  <w:style w:type="paragraph" w:customStyle="1" w:styleId="TextSp">
    <w:name w:val="TextSp"/>
    <w:basedOn w:val="Normal"/>
    <w:semiHidden/>
    <w:rsid w:val="001B789F"/>
    <w:pPr>
      <w:spacing w:after="120"/>
    </w:pPr>
    <w:rPr>
      <w:szCs w:val="22"/>
      <w:lang w:eastAsia="es-ES"/>
    </w:rPr>
  </w:style>
  <w:style w:type="paragraph" w:styleId="TOC1">
    <w:name w:val="toc 1"/>
    <w:basedOn w:val="Normal"/>
    <w:next w:val="Normal"/>
    <w:autoRedefine/>
    <w:semiHidden/>
    <w:rsid w:val="001B789F"/>
    <w:rPr>
      <w:b/>
      <w:bCs/>
      <w:i/>
      <w:iCs/>
      <w:sz w:val="24"/>
    </w:rPr>
  </w:style>
  <w:style w:type="paragraph" w:styleId="TOC2">
    <w:name w:val="toc 2"/>
    <w:basedOn w:val="Normal"/>
    <w:next w:val="Normal"/>
    <w:autoRedefine/>
    <w:semiHidden/>
    <w:rsid w:val="001B789F"/>
    <w:pPr>
      <w:ind w:left="220"/>
    </w:pPr>
    <w:rPr>
      <w:b/>
      <w:bCs/>
      <w:szCs w:val="22"/>
    </w:rPr>
  </w:style>
  <w:style w:type="paragraph" w:styleId="TOC3">
    <w:name w:val="toc 3"/>
    <w:basedOn w:val="Normal"/>
    <w:next w:val="Normal"/>
    <w:autoRedefine/>
    <w:semiHidden/>
    <w:rsid w:val="001B789F"/>
    <w:pPr>
      <w:ind w:left="440"/>
    </w:pPr>
    <w:rPr>
      <w:sz w:val="20"/>
      <w:szCs w:val="20"/>
    </w:rPr>
  </w:style>
  <w:style w:type="paragraph" w:styleId="TOC4">
    <w:name w:val="toc 4"/>
    <w:basedOn w:val="Normal"/>
    <w:next w:val="Normal"/>
    <w:autoRedefine/>
    <w:semiHidden/>
    <w:rsid w:val="001B789F"/>
    <w:pPr>
      <w:ind w:left="660"/>
    </w:pPr>
    <w:rPr>
      <w:sz w:val="20"/>
      <w:szCs w:val="20"/>
    </w:rPr>
  </w:style>
  <w:style w:type="paragraph" w:styleId="TOC5">
    <w:name w:val="toc 5"/>
    <w:basedOn w:val="Normal"/>
    <w:next w:val="Normal"/>
    <w:autoRedefine/>
    <w:semiHidden/>
    <w:rsid w:val="001B789F"/>
    <w:pPr>
      <w:ind w:left="880"/>
    </w:pPr>
    <w:rPr>
      <w:sz w:val="20"/>
      <w:szCs w:val="20"/>
    </w:rPr>
  </w:style>
  <w:style w:type="paragraph" w:styleId="TOC6">
    <w:name w:val="toc 6"/>
    <w:basedOn w:val="Normal"/>
    <w:next w:val="Normal"/>
    <w:autoRedefine/>
    <w:semiHidden/>
    <w:rsid w:val="001B789F"/>
    <w:pPr>
      <w:ind w:left="1100"/>
    </w:pPr>
    <w:rPr>
      <w:sz w:val="20"/>
      <w:szCs w:val="20"/>
    </w:rPr>
  </w:style>
  <w:style w:type="paragraph" w:styleId="TOC7">
    <w:name w:val="toc 7"/>
    <w:basedOn w:val="Normal"/>
    <w:next w:val="Normal"/>
    <w:autoRedefine/>
    <w:semiHidden/>
    <w:rsid w:val="001B789F"/>
    <w:pPr>
      <w:ind w:left="1320"/>
    </w:pPr>
    <w:rPr>
      <w:sz w:val="20"/>
      <w:szCs w:val="20"/>
    </w:rPr>
  </w:style>
  <w:style w:type="paragraph" w:styleId="TOC8">
    <w:name w:val="toc 8"/>
    <w:basedOn w:val="Normal"/>
    <w:next w:val="Normal"/>
    <w:autoRedefine/>
    <w:semiHidden/>
    <w:rsid w:val="001B789F"/>
    <w:pPr>
      <w:ind w:left="1540"/>
    </w:pPr>
    <w:rPr>
      <w:sz w:val="20"/>
      <w:szCs w:val="20"/>
    </w:rPr>
  </w:style>
  <w:style w:type="paragraph" w:styleId="TOC9">
    <w:name w:val="toc 9"/>
    <w:basedOn w:val="Normal"/>
    <w:next w:val="Normal"/>
    <w:autoRedefine/>
    <w:semiHidden/>
    <w:rsid w:val="001B789F"/>
    <w:pPr>
      <w:ind w:left="1760"/>
    </w:pPr>
    <w:rPr>
      <w:sz w:val="20"/>
      <w:szCs w:val="20"/>
    </w:rPr>
  </w:style>
  <w:style w:type="paragraph" w:customStyle="1" w:styleId="TytApp">
    <w:name w:val="Tyt. App."/>
    <w:basedOn w:val="Normal"/>
    <w:autoRedefine/>
    <w:semiHidden/>
    <w:rsid w:val="001B789F"/>
    <w:pPr>
      <w:widowControl w:val="0"/>
      <w:numPr>
        <w:ilvl w:val="12"/>
      </w:numPr>
      <w:tabs>
        <w:tab w:val="left" w:pos="90"/>
        <w:tab w:val="left" w:pos="737"/>
        <w:tab w:val="left" w:pos="2835"/>
      </w:tabs>
      <w:spacing w:before="180" w:after="40" w:line="260" w:lineRule="exact"/>
      <w:jc w:val="center"/>
    </w:pPr>
    <w:rPr>
      <w:b/>
      <w:snapToGrid w:val="0"/>
      <w:color w:val="000000"/>
      <w:sz w:val="24"/>
      <w:szCs w:val="20"/>
      <w:lang w:eastAsia="es-ES"/>
    </w:rPr>
  </w:style>
  <w:style w:type="character" w:customStyle="1" w:styleId="ATSHeading2Char">
    <w:name w:val="ATS Heading 2 Char"/>
    <w:link w:val="ATSHeading2"/>
    <w:locked/>
    <w:rsid w:val="001D125E"/>
    <w:rPr>
      <w:rFonts w:ascii="Arial" w:hAnsi="Arial"/>
      <w:b/>
      <w:i/>
      <w:sz w:val="24"/>
      <w:szCs w:val="22"/>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5</Pages>
  <Words>1146</Words>
  <Characters>6527</Characters>
  <Application>Microsoft Office Word</Application>
  <DocSecurity>0</DocSecurity>
  <Lines>54</Lines>
  <Paragraphs>15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paper template español</vt:lpstr>
      <vt:lpstr>paper template español</vt:lpstr>
    </vt:vector>
  </TitlesOfParts>
  <Company>ATS</Company>
  <LinksUpToDate>false</LinksUpToDate>
  <CharactersWithSpaces>7658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template español</dc:title>
  <dc:creator>Pepe Agraz</dc:creator>
  <cp:lastModifiedBy>Andrea Estevez Granados</cp:lastModifiedBy>
  <cp:revision>4</cp:revision>
  <cp:lastPrinted>1900-01-01T03:00:00Z</cp:lastPrinted>
  <dcterms:created xsi:type="dcterms:W3CDTF">2022-10-28T13:17:00Z</dcterms:created>
  <dcterms:modified xsi:type="dcterms:W3CDTF">2023-05-25T16:09:00Z</dcterms:modified>
</cp:coreProperties>
</file>