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DA20" w14:textId="77777777" w:rsidR="00C26F2D" w:rsidRPr="00BF077B" w:rsidRDefault="000560DA" w:rsidP="00BF077B">
      <w:pPr>
        <w:pStyle w:val="ATSNormal"/>
        <w:rPr>
          <w:rStyle w:val="Ttulodellibro"/>
        </w:rPr>
      </w:pPr>
    </w:p>
    <w:p w14:paraId="2F2FDCEF" w14:textId="77777777" w:rsidR="002F0A13" w:rsidRDefault="000560DA" w:rsidP="004B4A60">
      <w:pPr>
        <w:rPr>
          <w:b/>
          <w:u w:val="single"/>
          <w:lang w:val="es-ES_tradnl"/>
        </w:rPr>
      </w:pPr>
    </w:p>
    <w:p w14:paraId="5A3B9876" w14:textId="77777777" w:rsidR="002F0A13" w:rsidRDefault="000560DA" w:rsidP="004B4A60">
      <w:pPr>
        <w:rPr>
          <w:b/>
          <w:u w:val="single"/>
          <w:lang w:val="es-ES_tradnl"/>
        </w:rPr>
      </w:pPr>
    </w:p>
    <w:p w14:paraId="3B54C654" w14:textId="77777777" w:rsidR="002F0A13" w:rsidRDefault="000560DA" w:rsidP="004B4A60">
      <w:pPr>
        <w:rPr>
          <w:b/>
          <w:u w:val="single"/>
          <w:lang w:val="es-ES_tradnl"/>
        </w:rPr>
      </w:pPr>
    </w:p>
    <w:p w14:paraId="3E4947BA" w14:textId="77777777" w:rsidR="002F0A13" w:rsidRDefault="000560DA" w:rsidP="004B4A60">
      <w:pPr>
        <w:rPr>
          <w:b/>
          <w:u w:val="single"/>
          <w:lang w:val="es-ES_tradnl"/>
        </w:rPr>
      </w:pPr>
    </w:p>
    <w:p w14:paraId="1C5181CA" w14:textId="77777777" w:rsidR="00C26F2D" w:rsidRDefault="000560DA" w:rsidP="004B4A60">
      <w:pPr>
        <w:rPr>
          <w:b/>
          <w:u w:val="single"/>
          <w:lang w:val="es-ES_tradnl"/>
        </w:rPr>
      </w:pPr>
    </w:p>
    <w:p w14:paraId="7DECE657" w14:textId="77777777" w:rsidR="004B4A60" w:rsidRPr="0057246E" w:rsidRDefault="000560DA" w:rsidP="001B789F">
      <w:pPr>
        <w:pStyle w:val="ATSTitle"/>
      </w:pPr>
      <w:bookmarkStart w:id="0" w:name="name"/>
      <w:r>
        <w:t>First inventory of unintentional persistent organic pollutants emission in Antarctica</w:t>
      </w:r>
      <w:bookmarkEnd w:id="0"/>
    </w:p>
    <w:p w14:paraId="044D8E25" w14:textId="77777777" w:rsidR="004B4A60" w:rsidRPr="0057246E" w:rsidRDefault="000560DA" w:rsidP="00F75424">
      <w:pPr>
        <w:jc w:val="center"/>
      </w:pPr>
    </w:p>
    <w:p w14:paraId="2E52E2B5" w14:textId="77777777" w:rsidR="004B4A60" w:rsidRPr="002F0A13" w:rsidRDefault="000560DA" w:rsidP="002F0A13"/>
    <w:p w14:paraId="3CCFF53F" w14:textId="77777777" w:rsidR="004B4A60" w:rsidRDefault="000560DA" w:rsidP="00F75424">
      <w:pPr>
        <w:jc w:val="center"/>
      </w:pPr>
      <w:bookmarkStart w:id="1" w:name="memo"/>
      <w:bookmarkEnd w:id="1"/>
    </w:p>
    <w:p w14:paraId="11005445" w14:textId="77777777" w:rsidR="0097629D" w:rsidRDefault="000560DA" w:rsidP="00F75424">
      <w:pPr>
        <w:jc w:val="center"/>
      </w:pPr>
    </w:p>
    <w:p w14:paraId="54ADA180" w14:textId="77777777" w:rsidR="0097629D" w:rsidRDefault="000560DA" w:rsidP="00F75424">
      <w:pPr>
        <w:jc w:val="center"/>
      </w:pPr>
    </w:p>
    <w:p w14:paraId="24197B73" w14:textId="77777777" w:rsidR="0097629D" w:rsidRDefault="000560DA" w:rsidP="00F75424">
      <w:pPr>
        <w:jc w:val="center"/>
      </w:pPr>
    </w:p>
    <w:p w14:paraId="00A1BD5A" w14:textId="77777777" w:rsidR="0097629D" w:rsidRPr="00C26F2D" w:rsidRDefault="000560DA" w:rsidP="00F75424">
      <w:pPr>
        <w:jc w:val="center"/>
      </w:pPr>
    </w:p>
    <w:p w14:paraId="57E9DF9D" w14:textId="77777777" w:rsidR="004B4A60" w:rsidRPr="0057246E" w:rsidRDefault="000560DA" w:rsidP="004B4A60"/>
    <w:p w14:paraId="42347389" w14:textId="77777777" w:rsidR="00C26F2D" w:rsidRDefault="000560DA" w:rsidP="00952E9F">
      <w:pPr>
        <w:sectPr w:rsidR="00C26F2D" w:rsidSect="00D5023C">
          <w:headerReference w:type="default" r:id="rId8"/>
          <w:footerReference w:type="even" r:id="rId9"/>
          <w:footerReference w:type="default" r:id="rId10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71412A7B" w14:textId="77777777" w:rsidR="004B4A60" w:rsidRDefault="000560DA" w:rsidP="00952E9F"/>
    <w:p w14:paraId="37EFFEEC" w14:textId="77777777" w:rsidR="000560DA" w:rsidRPr="00222823" w:rsidRDefault="000560DA" w:rsidP="000560DA">
      <w:pPr>
        <w:jc w:val="center"/>
        <w:rPr>
          <w:rFonts w:ascii="Arial" w:hAnsi="Arial" w:cs="Arial"/>
          <w:b/>
          <w:sz w:val="32"/>
          <w:szCs w:val="32"/>
        </w:rPr>
      </w:pPr>
      <w:r w:rsidRPr="00222823">
        <w:rPr>
          <w:rFonts w:ascii="Arial" w:hAnsi="Arial" w:cs="Arial"/>
          <w:b/>
          <w:sz w:val="32"/>
          <w:szCs w:val="32"/>
        </w:rPr>
        <w:t xml:space="preserve">First inventory of unintentional persistent organic </w:t>
      </w:r>
      <w:r>
        <w:rPr>
          <w:rFonts w:ascii="Arial" w:hAnsi="Arial" w:cs="Arial"/>
          <w:b/>
          <w:sz w:val="32"/>
          <w:szCs w:val="32"/>
        </w:rPr>
        <w:t xml:space="preserve">pollutants </w:t>
      </w:r>
      <w:r w:rsidRPr="00222823">
        <w:rPr>
          <w:rFonts w:ascii="Arial" w:hAnsi="Arial" w:cs="Arial"/>
          <w:b/>
          <w:sz w:val="32"/>
          <w:szCs w:val="32"/>
        </w:rPr>
        <w:t>emission in Antarctica</w:t>
      </w:r>
    </w:p>
    <w:p w14:paraId="0D1364A0" w14:textId="77777777" w:rsidR="000560DA" w:rsidRPr="007C60AD" w:rsidRDefault="000560DA" w:rsidP="000560DA">
      <w:pPr>
        <w:jc w:val="center"/>
        <w:rPr>
          <w:rFonts w:ascii="Arial" w:hAnsi="Arial" w:cs="Arial"/>
          <w:b/>
          <w:szCs w:val="22"/>
        </w:rPr>
      </w:pPr>
    </w:p>
    <w:p w14:paraId="3C080D24" w14:textId="77777777" w:rsidR="000560DA" w:rsidRPr="00902C87" w:rsidRDefault="000560DA" w:rsidP="000560DA">
      <w:pPr>
        <w:spacing w:line="288" w:lineRule="auto"/>
        <w:jc w:val="center"/>
        <w:rPr>
          <w:b/>
          <w:szCs w:val="22"/>
          <w:highlight w:val="yellow"/>
        </w:rPr>
      </w:pPr>
      <w:r w:rsidRPr="00902C87">
        <w:rPr>
          <w:b/>
          <w:szCs w:val="22"/>
        </w:rPr>
        <w:t xml:space="preserve">Information paper </w:t>
      </w:r>
      <w:r>
        <w:rPr>
          <w:b/>
          <w:szCs w:val="22"/>
        </w:rPr>
        <w:t>submit</w:t>
      </w:r>
      <w:r w:rsidRPr="00902C87">
        <w:rPr>
          <w:b/>
          <w:szCs w:val="22"/>
        </w:rPr>
        <w:t>ted by the Republic of Belarus</w:t>
      </w:r>
    </w:p>
    <w:p w14:paraId="1BECEEB4" w14:textId="77777777" w:rsidR="000560DA" w:rsidRPr="00E32F7A" w:rsidRDefault="000560DA" w:rsidP="000560DA">
      <w:pPr>
        <w:spacing w:before="480" w:after="16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Introduction</w:t>
      </w:r>
    </w:p>
    <w:p w14:paraId="6B8E33F3" w14:textId="77777777" w:rsidR="000560DA" w:rsidRDefault="000560DA" w:rsidP="000560DA">
      <w:pPr>
        <w:autoSpaceDE w:val="0"/>
        <w:autoSpaceDN w:val="0"/>
        <w:adjustRightInd w:val="0"/>
        <w:spacing w:after="160"/>
        <w:jc w:val="both"/>
      </w:pPr>
      <w:r w:rsidRPr="00222823">
        <w:t>Persistent organic pollutants (POPs) are a group of toxic chemical substances which are considered a global issue and are regulated by Stockholm Convention on POPs. Despite of long history of POPs investigation in Antarctica</w:t>
      </w:r>
      <w:r>
        <w:t xml:space="preserve"> </w:t>
      </w:r>
      <w:r w:rsidRPr="00AC6BB2">
        <w:rPr>
          <w:rFonts w:eastAsia="TimesNewRomanPSMT"/>
        </w:rPr>
        <w:t>(</w:t>
      </w:r>
      <w:proofErr w:type="spellStart"/>
      <w:r w:rsidRPr="00222823">
        <w:rPr>
          <w:rFonts w:eastAsia="TimesNewRomanPSMT"/>
        </w:rPr>
        <w:t>Bargagli</w:t>
      </w:r>
      <w:proofErr w:type="spellEnd"/>
      <w:r w:rsidRPr="00AC6BB2">
        <w:rPr>
          <w:rFonts w:eastAsia="TimesNewRomanPSMT"/>
        </w:rPr>
        <w:t xml:space="preserve">, 2008; </w:t>
      </w:r>
      <w:r w:rsidRPr="00222823">
        <w:rPr>
          <w:rFonts w:eastAsia="TimesNewRomanPSMT"/>
        </w:rPr>
        <w:t>Bengtson</w:t>
      </w:r>
      <w:r w:rsidRPr="00AC6BB2">
        <w:rPr>
          <w:rFonts w:eastAsia="TimesNewRomanPSMT"/>
        </w:rPr>
        <w:t xml:space="preserve"> </w:t>
      </w:r>
      <w:r w:rsidRPr="00222823">
        <w:rPr>
          <w:rFonts w:eastAsia="TimesNewRomanPSMT"/>
        </w:rPr>
        <w:t>Nash</w:t>
      </w:r>
      <w:r w:rsidRPr="00AC6BB2">
        <w:rPr>
          <w:rFonts w:eastAsia="TimesNewRomanPSMT"/>
        </w:rPr>
        <w:t>, 2011</w:t>
      </w:r>
      <w:r>
        <w:rPr>
          <w:rFonts w:eastAsia="TimesNewRomanPSMT"/>
        </w:rPr>
        <w:t>; et al.</w:t>
      </w:r>
      <w:r w:rsidRPr="00AC6BB2">
        <w:rPr>
          <w:rFonts w:eastAsia="TimesNewRomanPSMT"/>
        </w:rPr>
        <w:t>)</w:t>
      </w:r>
      <w:r>
        <w:t>,</w:t>
      </w:r>
      <w:r w:rsidRPr="00A8764F">
        <w:t xml:space="preserve"> </w:t>
      </w:r>
      <w:r>
        <w:t>further</w:t>
      </w:r>
      <w:r w:rsidRPr="00A54700">
        <w:t xml:space="preserve"> </w:t>
      </w:r>
      <w:r>
        <w:t>research</w:t>
      </w:r>
      <w:r w:rsidRPr="009D5C03">
        <w:t xml:space="preserve"> </w:t>
      </w:r>
      <w:r>
        <w:t xml:space="preserve">of these pollutants is important. </w:t>
      </w:r>
      <w:proofErr w:type="gramStart"/>
      <w:r>
        <w:t>In particular, l</w:t>
      </w:r>
      <w:r w:rsidRPr="00A8764F">
        <w:t>ocal</w:t>
      </w:r>
      <w:proofErr w:type="gramEnd"/>
      <w:r w:rsidRPr="00A8764F">
        <w:t xml:space="preserve"> sources and emissions </w:t>
      </w:r>
      <w:r>
        <w:t xml:space="preserve">within Antarctica </w:t>
      </w:r>
      <w:r w:rsidRPr="00A8764F">
        <w:t xml:space="preserve">have been identified among the priority research to cover the gaps and inform the policy making in the framework of </w:t>
      </w:r>
      <w:r>
        <w:t xml:space="preserve">the </w:t>
      </w:r>
      <w:r w:rsidRPr="00A8764F">
        <w:t>Madrid Protocol (SCAR 2021</w:t>
      </w:r>
      <w:r>
        <w:t xml:space="preserve">). </w:t>
      </w:r>
    </w:p>
    <w:p w14:paraId="496BD2D5" w14:textId="77777777" w:rsidR="000560DA" w:rsidRDefault="000560DA" w:rsidP="000560DA">
      <w:pPr>
        <w:autoSpaceDE w:val="0"/>
        <w:autoSpaceDN w:val="0"/>
        <w:adjustRightInd w:val="0"/>
        <w:spacing w:after="160"/>
        <w:jc w:val="both"/>
      </w:pPr>
      <w:r>
        <w:t>T</w:t>
      </w:r>
      <w:r w:rsidRPr="00222823">
        <w:t xml:space="preserve">he </w:t>
      </w:r>
      <w:r>
        <w:t>Information P</w:t>
      </w:r>
      <w:r w:rsidRPr="00222823">
        <w:t xml:space="preserve">aper </w:t>
      </w:r>
      <w:r>
        <w:t xml:space="preserve">presents </w:t>
      </w:r>
      <w:r w:rsidRPr="00222823">
        <w:t>the results of the first inventory of unintentional POPs emission from anthropogenic sources in Antarctica for modern period and preliminary estimate for the late 1980s</w:t>
      </w:r>
      <w:r>
        <w:rPr>
          <w:color w:val="000000" w:themeColor="text1"/>
        </w:rPr>
        <w:t xml:space="preserve">. </w:t>
      </w:r>
    </w:p>
    <w:p w14:paraId="48842266" w14:textId="77777777" w:rsidR="000560DA" w:rsidRPr="00994620" w:rsidRDefault="000560DA" w:rsidP="000560DA">
      <w:pPr>
        <w:autoSpaceDE w:val="0"/>
        <w:autoSpaceDN w:val="0"/>
        <w:adjustRightInd w:val="0"/>
        <w:spacing w:after="160"/>
        <w:jc w:val="both"/>
        <w:rPr>
          <w:rFonts w:ascii="Arial" w:hAnsi="Arial" w:cs="Arial"/>
          <w:b/>
          <w:i/>
          <w:sz w:val="24"/>
        </w:rPr>
      </w:pPr>
      <w:r w:rsidRPr="00994620">
        <w:rPr>
          <w:rFonts w:ascii="Arial" w:hAnsi="Arial" w:cs="Arial"/>
          <w:b/>
          <w:i/>
          <w:sz w:val="24"/>
        </w:rPr>
        <w:t>Met</w:t>
      </w:r>
      <w:r>
        <w:rPr>
          <w:rFonts w:ascii="Arial" w:hAnsi="Arial" w:cs="Arial"/>
          <w:b/>
          <w:i/>
          <w:sz w:val="24"/>
        </w:rPr>
        <w:t>h</w:t>
      </w:r>
      <w:r w:rsidRPr="00994620">
        <w:rPr>
          <w:rFonts w:ascii="Arial" w:hAnsi="Arial" w:cs="Arial"/>
          <w:b/>
          <w:i/>
          <w:sz w:val="24"/>
        </w:rPr>
        <w:t>ods and Results</w:t>
      </w:r>
    </w:p>
    <w:p w14:paraId="102887E9" w14:textId="77777777" w:rsidR="000560DA" w:rsidRPr="00222823" w:rsidRDefault="000560DA" w:rsidP="000560DA">
      <w:pPr>
        <w:autoSpaceDE w:val="0"/>
        <w:autoSpaceDN w:val="0"/>
        <w:adjustRightInd w:val="0"/>
        <w:spacing w:after="160"/>
        <w:jc w:val="both"/>
      </w:pPr>
      <w:r>
        <w:t xml:space="preserve">Emissions of dioxin/furans (PCDD/Fs), </w:t>
      </w:r>
      <w:r w:rsidRPr="00CF3E2B">
        <w:rPr>
          <w:color w:val="000000" w:themeColor="text1"/>
        </w:rPr>
        <w:t xml:space="preserve">polychlorinated biphenyls </w:t>
      </w:r>
      <w:r>
        <w:rPr>
          <w:color w:val="000000" w:themeColor="text1"/>
        </w:rPr>
        <w:t>(</w:t>
      </w:r>
      <w:r>
        <w:t xml:space="preserve">PCBs) and </w:t>
      </w:r>
      <w:r w:rsidRPr="001D5146">
        <w:rPr>
          <w:color w:val="000000" w:themeColor="text1"/>
        </w:rPr>
        <w:t>hexachlorobenzene</w:t>
      </w:r>
      <w:r>
        <w:t xml:space="preserve"> (HCB), which may be formed during waste and fuel combustion at scientific stations, has been assessed.</w:t>
      </w:r>
    </w:p>
    <w:p w14:paraId="7DF2BBD9" w14:textId="77777777" w:rsidR="000560DA" w:rsidRPr="00A8764F" w:rsidRDefault="000560DA" w:rsidP="000560DA">
      <w:pPr>
        <w:shd w:val="clear" w:color="auto" w:fill="FFFFFF"/>
        <w:spacing w:after="120"/>
        <w:jc w:val="both"/>
        <w:rPr>
          <w:color w:val="000000" w:themeColor="text1"/>
          <w:szCs w:val="22"/>
        </w:rPr>
      </w:pPr>
      <w:r>
        <w:t>M</w:t>
      </w:r>
      <w:r w:rsidRPr="00F87C90">
        <w:t>ethodology of POPs emission assessment used for this study is based on activity data and emission factors</w:t>
      </w:r>
      <w:r>
        <w:t>.</w:t>
      </w:r>
      <w:r w:rsidRPr="007B0AD6">
        <w:t xml:space="preserve"> To assess the POPs emission in Antarctica t</w:t>
      </w:r>
      <w:r w:rsidRPr="00A8764F">
        <w:rPr>
          <w:szCs w:val="22"/>
        </w:rPr>
        <w:t>he following tasks were solved: identification of POPs emission sources in Antarctica; data collection of human activities characteristics; preparation of input</w:t>
      </w:r>
      <w:r w:rsidRPr="00A8764F" w:rsidDel="006E0CBE">
        <w:rPr>
          <w:szCs w:val="22"/>
        </w:rPr>
        <w:t xml:space="preserve"> </w:t>
      </w:r>
      <w:r w:rsidRPr="00A8764F">
        <w:rPr>
          <w:szCs w:val="22"/>
        </w:rPr>
        <w:t>activity data in required format; and selection of specific emission factors</w:t>
      </w:r>
      <w:r w:rsidRPr="00A8764F">
        <w:rPr>
          <w:color w:val="000000" w:themeColor="text1"/>
          <w:szCs w:val="22"/>
        </w:rPr>
        <w:t>.</w:t>
      </w:r>
      <w:r w:rsidRPr="007B0AD6">
        <w:rPr>
          <w:sz w:val="24"/>
        </w:rPr>
        <w:t xml:space="preserve"> </w:t>
      </w:r>
      <w:r>
        <w:t>F</w:t>
      </w:r>
      <w:r w:rsidRPr="00A8764F">
        <w:rPr>
          <w:szCs w:val="22"/>
        </w:rPr>
        <w:t>uel combustion by diesel generators and boilers, motor vehicles as well as waste incineration were considered as modern sources of POPs emission for numerical evaluation.</w:t>
      </w:r>
      <w:r w:rsidRPr="007B0AD6">
        <w:t xml:space="preserve"> </w:t>
      </w:r>
      <w:r w:rsidRPr="00A8764F">
        <w:rPr>
          <w:szCs w:val="22"/>
        </w:rPr>
        <w:t xml:space="preserve">Waste burning in the past was </w:t>
      </w:r>
      <w:proofErr w:type="gramStart"/>
      <w:r w:rsidRPr="00A8764F">
        <w:rPr>
          <w:szCs w:val="22"/>
        </w:rPr>
        <w:t>taken into account</w:t>
      </w:r>
      <w:proofErr w:type="gramEnd"/>
      <w:r w:rsidRPr="00A8764F">
        <w:rPr>
          <w:szCs w:val="22"/>
        </w:rPr>
        <w:t>.</w:t>
      </w:r>
      <w:r>
        <w:rPr>
          <w:sz w:val="24"/>
        </w:rPr>
        <w:t xml:space="preserve"> </w:t>
      </w:r>
    </w:p>
    <w:p w14:paraId="641D7B9A" w14:textId="77777777" w:rsidR="000560DA" w:rsidRDefault="000560DA" w:rsidP="000560DA">
      <w:pPr>
        <w:spacing w:after="160"/>
        <w:jc w:val="both"/>
      </w:pPr>
      <w:r w:rsidRPr="00A8764F">
        <w:rPr>
          <w:color w:val="000000" w:themeColor="text1"/>
        </w:rPr>
        <w:t>Assessment of PCDD/Fs emission in different media, as well as PCBs and HCB in air has been done. It is shown that</w:t>
      </w:r>
      <w:r w:rsidRPr="00A8764F">
        <w:rPr>
          <w:b/>
          <w:color w:val="000000" w:themeColor="text1"/>
        </w:rPr>
        <w:t xml:space="preserve"> </w:t>
      </w:r>
      <w:r w:rsidRPr="00A8764F">
        <w:rPr>
          <w:color w:val="000000" w:themeColor="text1"/>
        </w:rPr>
        <w:t>w</w:t>
      </w:r>
      <w:r w:rsidRPr="00A8764F">
        <w:rPr>
          <w:szCs w:val="22"/>
        </w:rPr>
        <w:t>aste incineration makes the greatest contribution to total POPs emission in Antarctica for modern period</w:t>
      </w:r>
      <w:r>
        <w:t xml:space="preserve"> and o</w:t>
      </w:r>
      <w:r w:rsidRPr="00A8764F">
        <w:rPr>
          <w:szCs w:val="22"/>
        </w:rPr>
        <w:t xml:space="preserve">pen burning of waste was the main anthropogenic source of </w:t>
      </w:r>
      <w:r>
        <w:t>these pollutants</w:t>
      </w:r>
      <w:r w:rsidRPr="00A8764F">
        <w:rPr>
          <w:szCs w:val="22"/>
        </w:rPr>
        <w:t xml:space="preserve"> in late </w:t>
      </w:r>
      <w:r w:rsidRPr="00C05A35">
        <w:t xml:space="preserve">1980s. </w:t>
      </w:r>
      <w:r w:rsidRPr="00A8764F">
        <w:rPr>
          <w:szCs w:val="22"/>
        </w:rPr>
        <w:t xml:space="preserve">Over </w:t>
      </w:r>
      <w:proofErr w:type="gramStart"/>
      <w:r w:rsidRPr="00A8764F">
        <w:rPr>
          <w:szCs w:val="22"/>
        </w:rPr>
        <w:t>a 30-year period air emissions</w:t>
      </w:r>
      <w:proofErr w:type="gramEnd"/>
      <w:r w:rsidRPr="00A8764F">
        <w:rPr>
          <w:szCs w:val="22"/>
        </w:rPr>
        <w:t xml:space="preserve"> of dioxins / furans, PCBs and HCB have decreased dramatically</w:t>
      </w:r>
      <w:r>
        <w:t xml:space="preserve">, </w:t>
      </w:r>
      <w:r w:rsidRPr="00C05A35">
        <w:t xml:space="preserve">that </w:t>
      </w:r>
      <w:r w:rsidRPr="00A8764F">
        <w:rPr>
          <w:szCs w:val="22"/>
        </w:rPr>
        <w:t>demonstrates the effectiveness of the Protocol on Environmental Protection</w:t>
      </w:r>
      <w:r>
        <w:t>.</w:t>
      </w:r>
      <w:r w:rsidRPr="00AC6BB2">
        <w:t xml:space="preserve"> </w:t>
      </w:r>
      <w:r w:rsidRPr="0050633D">
        <w:t xml:space="preserve">Further measures </w:t>
      </w:r>
      <w:r>
        <w:t xml:space="preserve">on POPs emission reduction </w:t>
      </w:r>
      <w:r w:rsidRPr="0050633D">
        <w:t>should be aimed at improving incineration practices, the use of afterburners, dust and gas collection equipment.</w:t>
      </w:r>
    </w:p>
    <w:p w14:paraId="5A1BA1E1" w14:textId="77777777" w:rsidR="000560DA" w:rsidRPr="00994620" w:rsidRDefault="000560DA" w:rsidP="000560DA">
      <w:pPr>
        <w:spacing w:after="160"/>
        <w:jc w:val="both"/>
        <w:rPr>
          <w:rFonts w:ascii="Arial" w:hAnsi="Arial" w:cs="Arial"/>
          <w:b/>
          <w:i/>
          <w:color w:val="000000" w:themeColor="text1"/>
          <w:sz w:val="24"/>
        </w:rPr>
      </w:pPr>
      <w:r w:rsidRPr="00994620">
        <w:rPr>
          <w:rFonts w:ascii="Arial" w:hAnsi="Arial" w:cs="Arial"/>
          <w:b/>
          <w:i/>
          <w:sz w:val="24"/>
        </w:rPr>
        <w:t>Conclusion</w:t>
      </w:r>
    </w:p>
    <w:p w14:paraId="711E13E5" w14:textId="77777777" w:rsidR="000560DA" w:rsidRPr="004812EB" w:rsidRDefault="000560DA" w:rsidP="000560DA">
      <w:pPr>
        <w:pStyle w:val="Prrafodelista"/>
        <w:ind w:left="0"/>
        <w:jc w:val="both"/>
        <w:rPr>
          <w:sz w:val="24"/>
          <w:lang w:val="en-US"/>
        </w:rPr>
      </w:pPr>
      <w:r>
        <w:rPr>
          <w:lang w:val="en-US"/>
        </w:rPr>
        <w:t xml:space="preserve">For reduction of </w:t>
      </w:r>
      <w:r w:rsidRPr="0050633D">
        <w:rPr>
          <w:lang w:val="en-US"/>
        </w:rPr>
        <w:t>uncertaint</w:t>
      </w:r>
      <w:r>
        <w:rPr>
          <w:lang w:val="en-US"/>
        </w:rPr>
        <w:t>ies</w:t>
      </w:r>
      <w:r w:rsidRPr="0050633D">
        <w:rPr>
          <w:b/>
          <w:lang w:val="en-US"/>
        </w:rPr>
        <w:t xml:space="preserve"> </w:t>
      </w:r>
      <w:r w:rsidRPr="0050633D">
        <w:rPr>
          <w:lang w:val="en-US"/>
        </w:rPr>
        <w:t>of POPs emission estimates</w:t>
      </w:r>
      <w:r>
        <w:rPr>
          <w:lang w:val="en-US"/>
        </w:rPr>
        <w:t xml:space="preserve"> improvement of </w:t>
      </w:r>
      <w:r w:rsidRPr="0050633D">
        <w:rPr>
          <w:lang w:val="en-US"/>
        </w:rPr>
        <w:t xml:space="preserve">emission sources </w:t>
      </w:r>
      <w:r>
        <w:rPr>
          <w:lang w:val="en-US"/>
        </w:rPr>
        <w:t xml:space="preserve">in Antarctica </w:t>
      </w:r>
      <w:r w:rsidRPr="0050633D">
        <w:rPr>
          <w:lang w:val="en-US"/>
        </w:rPr>
        <w:t xml:space="preserve">data collection especially on waste combustion would be useful. Establishment of emission reporting in the framework of Antarctic Treaty system is an important step towards better management of POPs </w:t>
      </w:r>
      <w:r w:rsidRPr="004812EB">
        <w:rPr>
          <w:sz w:val="24"/>
          <w:lang w:val="en-US"/>
        </w:rPr>
        <w:t>emission sources in Antarctica.</w:t>
      </w:r>
    </w:p>
    <w:p w14:paraId="29EE2C42" w14:textId="77777777" w:rsidR="000560DA" w:rsidRPr="007C60AD" w:rsidRDefault="000560DA" w:rsidP="000560DA">
      <w:pPr>
        <w:pStyle w:val="ASNormal"/>
        <w:jc w:val="both"/>
        <w:rPr>
          <w:b/>
          <w:lang w:val="en-US"/>
        </w:rPr>
      </w:pPr>
      <w:r w:rsidRPr="007C60AD">
        <w:rPr>
          <w:lang w:val="en-US"/>
        </w:rPr>
        <w:t xml:space="preserve">This work was implemented in the framework of the National Antarctic Program of Belarus for 2021-2025. Results of the inventory were published in the </w:t>
      </w:r>
      <w:r w:rsidRPr="007C60AD">
        <w:rPr>
          <w:bCs/>
          <w:kern w:val="36"/>
          <w:lang w:val="en-US"/>
        </w:rPr>
        <w:t>Advances in Polar Science (</w:t>
      </w:r>
      <w:proofErr w:type="spellStart"/>
      <w:r w:rsidRPr="007C60AD">
        <w:rPr>
          <w:lang w:val="en-US"/>
        </w:rPr>
        <w:t>Kakareka</w:t>
      </w:r>
      <w:proofErr w:type="spellEnd"/>
      <w:r w:rsidRPr="007C60AD">
        <w:rPr>
          <w:lang w:val="en-US"/>
        </w:rPr>
        <w:t xml:space="preserve">, </w:t>
      </w:r>
      <w:proofErr w:type="spellStart"/>
      <w:r w:rsidRPr="007C60AD">
        <w:rPr>
          <w:lang w:val="en-US"/>
        </w:rPr>
        <w:t>Kukharchyk</w:t>
      </w:r>
      <w:proofErr w:type="spellEnd"/>
      <w:r w:rsidRPr="007C60AD">
        <w:rPr>
          <w:lang w:val="en-US"/>
        </w:rPr>
        <w:t>, 2022).</w:t>
      </w:r>
    </w:p>
    <w:p w14:paraId="3124A164" w14:textId="77777777" w:rsidR="000560DA" w:rsidRDefault="000560DA" w:rsidP="000560DA">
      <w:pPr>
        <w:jc w:val="both"/>
        <w:rPr>
          <w:b/>
        </w:rPr>
      </w:pPr>
    </w:p>
    <w:p w14:paraId="655042C2" w14:textId="77777777" w:rsidR="000560DA" w:rsidRPr="00222823" w:rsidRDefault="000560DA" w:rsidP="000560DA">
      <w:pPr>
        <w:rPr>
          <w:b/>
        </w:rPr>
      </w:pPr>
      <w:r w:rsidRPr="00222823">
        <w:rPr>
          <w:b/>
        </w:rPr>
        <w:t>References</w:t>
      </w:r>
    </w:p>
    <w:p w14:paraId="531DE69D" w14:textId="77777777" w:rsidR="000560DA" w:rsidRPr="001322EF" w:rsidRDefault="000560DA" w:rsidP="000560DA">
      <w:pPr>
        <w:autoSpaceDE w:val="0"/>
        <w:autoSpaceDN w:val="0"/>
        <w:adjustRightInd w:val="0"/>
        <w:ind w:left="567" w:hanging="567"/>
        <w:jc w:val="both"/>
        <w:rPr>
          <w:rFonts w:eastAsia="TimesNewRomanPSMT"/>
          <w:lang w:val="fr-FR"/>
        </w:rPr>
      </w:pPr>
      <w:proofErr w:type="spellStart"/>
      <w:r w:rsidRPr="00222823">
        <w:rPr>
          <w:rFonts w:eastAsia="TimesNewRomanPSMT"/>
        </w:rPr>
        <w:t>Bargagli</w:t>
      </w:r>
      <w:proofErr w:type="spellEnd"/>
      <w:r w:rsidRPr="00222823">
        <w:rPr>
          <w:rFonts w:eastAsia="TimesNewRomanPSMT"/>
        </w:rPr>
        <w:t xml:space="preserve"> R. 2008. Environmental contamination in Antarctic ecosystems. </w:t>
      </w:r>
      <w:proofErr w:type="spellStart"/>
      <w:r w:rsidRPr="001322EF">
        <w:rPr>
          <w:rFonts w:eastAsia="TimesNewRomanPSMT"/>
          <w:lang w:val="fr-FR"/>
        </w:rPr>
        <w:t>Sci</w:t>
      </w:r>
      <w:proofErr w:type="spellEnd"/>
      <w:r w:rsidRPr="001322EF">
        <w:rPr>
          <w:rFonts w:eastAsia="TimesNewRomanPSMT"/>
          <w:lang w:val="fr-FR"/>
        </w:rPr>
        <w:t xml:space="preserve"> Total Environ, 400(1-3</w:t>
      </w:r>
      <w:proofErr w:type="gramStart"/>
      <w:r w:rsidRPr="001322EF">
        <w:rPr>
          <w:rFonts w:eastAsia="TimesNewRomanPSMT"/>
          <w:lang w:val="fr-FR"/>
        </w:rPr>
        <w:t>):</w:t>
      </w:r>
      <w:proofErr w:type="gramEnd"/>
      <w:r w:rsidRPr="001322EF">
        <w:rPr>
          <w:rFonts w:eastAsia="TimesNewRomanPSMT"/>
          <w:lang w:val="fr-FR"/>
        </w:rPr>
        <w:t xml:space="preserve"> 212-226, doi:10.1016/j.scitotenv.2008.06.062.</w:t>
      </w:r>
    </w:p>
    <w:p w14:paraId="3D250295" w14:textId="77777777" w:rsidR="000560DA" w:rsidRPr="00222823" w:rsidRDefault="000560DA" w:rsidP="000560DA">
      <w:pPr>
        <w:autoSpaceDE w:val="0"/>
        <w:autoSpaceDN w:val="0"/>
        <w:adjustRightInd w:val="0"/>
        <w:ind w:left="567" w:hanging="567"/>
        <w:jc w:val="both"/>
        <w:rPr>
          <w:rFonts w:eastAsia="TimesNewRomanPSMT"/>
        </w:rPr>
      </w:pPr>
      <w:proofErr w:type="spellStart"/>
      <w:r w:rsidRPr="001322EF">
        <w:rPr>
          <w:rFonts w:eastAsia="TimesNewRomanPSMT"/>
          <w:lang w:val="fr-FR"/>
        </w:rPr>
        <w:t>Bengtson</w:t>
      </w:r>
      <w:proofErr w:type="spellEnd"/>
      <w:r w:rsidRPr="001322EF">
        <w:rPr>
          <w:rFonts w:eastAsia="TimesNewRomanPSMT"/>
          <w:lang w:val="fr-FR"/>
        </w:rPr>
        <w:t xml:space="preserve"> Nash S. M. 2011. </w:t>
      </w:r>
      <w:r w:rsidRPr="00222823">
        <w:rPr>
          <w:rFonts w:eastAsia="TimesNewRomanPSMT"/>
        </w:rPr>
        <w:t xml:space="preserve">Persistent organic pollutants in Antarctica: current and future research priorities. J Environ </w:t>
      </w:r>
      <w:proofErr w:type="spellStart"/>
      <w:r w:rsidRPr="00222823">
        <w:rPr>
          <w:rFonts w:eastAsia="TimesNewRomanPSMT"/>
        </w:rPr>
        <w:t>Monit</w:t>
      </w:r>
      <w:proofErr w:type="spellEnd"/>
      <w:r w:rsidRPr="00222823">
        <w:rPr>
          <w:rFonts w:eastAsia="TimesNewRomanPSMT"/>
        </w:rPr>
        <w:t>, 13(3): 497-504, doi:10.1039/c0em00230e.</w:t>
      </w:r>
    </w:p>
    <w:p w14:paraId="4FE0D709" w14:textId="77777777" w:rsidR="000560DA" w:rsidRPr="00222823" w:rsidRDefault="000560DA" w:rsidP="000560DA">
      <w:pPr>
        <w:autoSpaceDE w:val="0"/>
        <w:autoSpaceDN w:val="0"/>
        <w:adjustRightInd w:val="0"/>
        <w:ind w:left="567" w:hanging="567"/>
        <w:jc w:val="both"/>
        <w:rPr>
          <w:rFonts w:eastAsia="TimesNewRomanPSMT"/>
        </w:rPr>
      </w:pPr>
      <w:r w:rsidRPr="00222823">
        <w:rPr>
          <w:rFonts w:eastAsia="TimesNewRomanPSMT"/>
        </w:rPr>
        <w:lastRenderedPageBreak/>
        <w:t>SCAR. 2021. Persistent Organic Chemicals in Antarctica: A horizon scan of priority challenges</w:t>
      </w:r>
      <w:r w:rsidRPr="00222823">
        <w:rPr>
          <w:rFonts w:eastAsia="TimesNewRomanPSMT"/>
          <w:b/>
          <w:bCs/>
        </w:rPr>
        <w:t xml:space="preserve">. </w:t>
      </w:r>
      <w:r w:rsidRPr="00222823">
        <w:rPr>
          <w:rFonts w:eastAsia="TimesNewRomanPSMT"/>
        </w:rPr>
        <w:t xml:space="preserve">Information Paper submitted by SCAR. ATCM43, IP137, Secretariat of the Antarctic Treaty. </w:t>
      </w:r>
      <w:hyperlink r:id="rId11" w:history="1">
        <w:r w:rsidRPr="004E46D2">
          <w:rPr>
            <w:rStyle w:val="Hipervnculo"/>
            <w:rFonts w:eastAsia="TimesNewRomanPSMT"/>
            <w:color w:val="000000" w:themeColor="text1"/>
            <w:u w:val="none"/>
          </w:rPr>
          <w:t>https://ats.aq/devAS/Meetings/Upcoming/92</w:t>
        </w:r>
      </w:hyperlink>
    </w:p>
    <w:p w14:paraId="7FA643FD" w14:textId="77777777" w:rsidR="000560DA" w:rsidRPr="00222823" w:rsidRDefault="000560DA" w:rsidP="000560DA">
      <w:pPr>
        <w:shd w:val="clear" w:color="auto" w:fill="FFFFFF"/>
        <w:ind w:left="567" w:hanging="567"/>
        <w:jc w:val="both"/>
        <w:textAlignment w:val="baseline"/>
        <w:outlineLvl w:val="0"/>
        <w:rPr>
          <w:rStyle w:val="Nmerodepgina"/>
        </w:rPr>
      </w:pPr>
      <w:proofErr w:type="spellStart"/>
      <w:r w:rsidRPr="00222823">
        <w:t>Kakareka</w:t>
      </w:r>
      <w:proofErr w:type="spellEnd"/>
      <w:r w:rsidRPr="00222823">
        <w:t xml:space="preserve"> S., </w:t>
      </w:r>
      <w:proofErr w:type="spellStart"/>
      <w:r w:rsidRPr="00222823">
        <w:t>Kukharchyk</w:t>
      </w:r>
      <w:proofErr w:type="spellEnd"/>
      <w:r w:rsidRPr="00222823">
        <w:t xml:space="preserve"> T. </w:t>
      </w:r>
      <w:r>
        <w:t xml:space="preserve">2022. </w:t>
      </w:r>
      <w:r w:rsidRPr="00222823">
        <w:t>Inventory of unintentional POPs emission from anthropogenic sources in Antarctica</w:t>
      </w:r>
      <w:r>
        <w:t>.</w:t>
      </w:r>
      <w:r w:rsidRPr="00222823">
        <w:t xml:space="preserve"> </w:t>
      </w:r>
      <w:proofErr w:type="spellStart"/>
      <w:r w:rsidRPr="00222823">
        <w:t>Adv.Polar</w:t>
      </w:r>
      <w:proofErr w:type="spellEnd"/>
      <w:r w:rsidRPr="00222823">
        <w:t xml:space="preserve"> Sci, 33(2):156-166 </w:t>
      </w:r>
      <w:proofErr w:type="gramStart"/>
      <w:r w:rsidRPr="00222823">
        <w:t>doi:10.13679/j.advps</w:t>
      </w:r>
      <w:proofErr w:type="gramEnd"/>
      <w:r w:rsidRPr="00222823">
        <w:t>.2021.0044</w:t>
      </w:r>
    </w:p>
    <w:p w14:paraId="288B4B4E" w14:textId="77777777" w:rsidR="000560DA" w:rsidRPr="00AD408E" w:rsidRDefault="000560DA" w:rsidP="000560DA">
      <w:pPr>
        <w:spacing w:after="120"/>
        <w:jc w:val="both"/>
      </w:pPr>
    </w:p>
    <w:p w14:paraId="5E27CCFD" w14:textId="77777777" w:rsidR="000560DA" w:rsidRDefault="000560DA" w:rsidP="00952E9F"/>
    <w:sectPr w:rsidR="000560DA" w:rsidSect="00283F0F">
      <w:headerReference w:type="default" r:id="rId12"/>
      <w:footerReference w:type="default" r:id="rId13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400D" w14:textId="77777777" w:rsidR="00000000" w:rsidRDefault="000560DA">
      <w:r>
        <w:separator/>
      </w:r>
    </w:p>
  </w:endnote>
  <w:endnote w:type="continuationSeparator" w:id="0">
    <w:p w14:paraId="30ABF3C2" w14:textId="77777777" w:rsidR="00000000" w:rsidRDefault="0005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4E2E" w14:textId="77777777" w:rsidR="00FA0B9F" w:rsidRDefault="000560D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361B0D22" w14:textId="77777777" w:rsidR="00FA0B9F" w:rsidRDefault="000560DA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BD568" w14:textId="77777777" w:rsidR="00FA0B9F" w:rsidRDefault="000560D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5276C648" w14:textId="151B8E56" w:rsidR="00FA0B9F" w:rsidRDefault="000560DA" w:rsidP="000560DA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0A0D" w14:textId="77777777" w:rsidR="00E311C9" w:rsidRDefault="000560D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20F6B31" w14:textId="77777777" w:rsidR="00E311C9" w:rsidRDefault="000560DA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971C" w14:textId="77777777" w:rsidR="00000000" w:rsidRDefault="000560DA">
      <w:r>
        <w:separator/>
      </w:r>
    </w:p>
  </w:footnote>
  <w:footnote w:type="continuationSeparator" w:id="0">
    <w:p w14:paraId="0F379BAA" w14:textId="77777777" w:rsidR="00000000" w:rsidRDefault="00056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005"/>
      <w:gridCol w:w="1248"/>
      <w:gridCol w:w="1134"/>
      <w:gridCol w:w="390"/>
    </w:tblGrid>
    <w:tr w:rsidR="00835219" w14:paraId="123BE8C0" w14:textId="77777777" w:rsidTr="002E12EC">
      <w:trPr>
        <w:trHeight w:val="344"/>
        <w:jc w:val="center"/>
      </w:trPr>
      <w:tc>
        <w:tcPr>
          <w:tcW w:w="5495" w:type="dxa"/>
        </w:tcPr>
        <w:p w14:paraId="1EC31607" w14:textId="77777777" w:rsidR="00DB7C09" w:rsidRDefault="000560DA" w:rsidP="00F968D4"/>
      </w:tc>
      <w:tc>
        <w:tcPr>
          <w:tcW w:w="4253" w:type="dxa"/>
          <w:gridSpan w:val="2"/>
        </w:tcPr>
        <w:p w14:paraId="3D30D34D" w14:textId="77777777" w:rsidR="00DB7C09" w:rsidRPr="00BD47E4" w:rsidRDefault="000560DA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1526F2C3" w14:textId="77777777" w:rsidR="00DB7C09" w:rsidRPr="00BD47E4" w:rsidRDefault="000560DA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26</w:t>
          </w:r>
          <w:bookmarkEnd w:id="3"/>
        </w:p>
      </w:tc>
    </w:tr>
    <w:tr w:rsidR="00835219" w14:paraId="0CDFC511" w14:textId="77777777" w:rsidTr="002E12EC">
      <w:trPr>
        <w:trHeight w:val="2165"/>
        <w:jc w:val="center"/>
      </w:trPr>
      <w:tc>
        <w:tcPr>
          <w:tcW w:w="5495" w:type="dxa"/>
        </w:tcPr>
        <w:p w14:paraId="1F5CD349" w14:textId="77777777" w:rsidR="00490760" w:rsidRPr="00EE4D48" w:rsidRDefault="000560DA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B20CB49" wp14:editId="3423A6A8">
                <wp:extent cx="2763277" cy="1612900"/>
                <wp:effectExtent l="0" t="0" r="0" b="6350"/>
                <wp:docPr id="2" name="Imagen 2" descr="Diagrama, 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763551" name="Imagen 2" descr="Diagrama, 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315" cy="1702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47226093" w14:textId="77777777" w:rsidR="00490760" w:rsidRPr="00FE5146" w:rsidRDefault="000560DA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835219" w14:paraId="128BEC36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7F97D299" w14:textId="77777777" w:rsidR="00BD47E4" w:rsidRDefault="000560DA" w:rsidP="002C30DA">
          <w:pPr>
            <w:jc w:val="right"/>
          </w:pPr>
          <w:r>
            <w:t>Agenda Item:</w:t>
          </w:r>
        </w:p>
      </w:tc>
      <w:tc>
        <w:tcPr>
          <w:tcW w:w="2382" w:type="dxa"/>
          <w:gridSpan w:val="2"/>
        </w:tcPr>
        <w:p w14:paraId="7E7724F9" w14:textId="77777777" w:rsidR="00BD47E4" w:rsidRDefault="000560DA" w:rsidP="002C30DA">
          <w:pPr>
            <w:jc w:val="right"/>
          </w:pPr>
          <w:bookmarkStart w:id="4" w:name="agenda"/>
          <w:r>
            <w:t>ATCM 15</w:t>
          </w:r>
          <w:bookmarkEnd w:id="4"/>
        </w:p>
      </w:tc>
      <w:tc>
        <w:tcPr>
          <w:tcW w:w="390" w:type="dxa"/>
        </w:tcPr>
        <w:p w14:paraId="3BD26C27" w14:textId="77777777" w:rsidR="00BD47E4" w:rsidRDefault="000560DA" w:rsidP="00387A65">
          <w:pPr>
            <w:jc w:val="right"/>
          </w:pPr>
        </w:p>
      </w:tc>
    </w:tr>
    <w:tr w:rsidR="00835219" w14:paraId="63803B79" w14:textId="77777777" w:rsidTr="002E12EC">
      <w:trPr>
        <w:trHeight w:val="397"/>
        <w:jc w:val="center"/>
      </w:trPr>
      <w:tc>
        <w:tcPr>
          <w:tcW w:w="8500" w:type="dxa"/>
          <w:gridSpan w:val="2"/>
        </w:tcPr>
        <w:p w14:paraId="1CF19781" w14:textId="77777777" w:rsidR="00BD47E4" w:rsidRDefault="000560DA" w:rsidP="002C30DA">
          <w:pPr>
            <w:jc w:val="right"/>
          </w:pPr>
          <w:r>
            <w:t>Presented by:</w:t>
          </w:r>
        </w:p>
      </w:tc>
      <w:tc>
        <w:tcPr>
          <w:tcW w:w="2382" w:type="dxa"/>
          <w:gridSpan w:val="2"/>
        </w:tcPr>
        <w:p w14:paraId="7B4DF911" w14:textId="77777777" w:rsidR="00BD47E4" w:rsidRDefault="000560DA" w:rsidP="002C30DA">
          <w:pPr>
            <w:jc w:val="right"/>
          </w:pPr>
          <w:bookmarkStart w:id="5" w:name="party"/>
          <w:r>
            <w:t>Belarus</w:t>
          </w:r>
          <w:bookmarkEnd w:id="5"/>
        </w:p>
      </w:tc>
      <w:tc>
        <w:tcPr>
          <w:tcW w:w="390" w:type="dxa"/>
        </w:tcPr>
        <w:p w14:paraId="7958ECC5" w14:textId="77777777" w:rsidR="00BD47E4" w:rsidRDefault="000560DA" w:rsidP="00387A65">
          <w:pPr>
            <w:jc w:val="right"/>
          </w:pPr>
        </w:p>
      </w:tc>
    </w:tr>
    <w:tr w:rsidR="00835219" w14:paraId="6025E8BC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49767F2D" w14:textId="77777777" w:rsidR="00BD47E4" w:rsidRDefault="000560DA" w:rsidP="002C30DA">
          <w:pPr>
            <w:jc w:val="right"/>
          </w:pPr>
          <w:r>
            <w:t>Original:</w:t>
          </w:r>
        </w:p>
      </w:tc>
      <w:tc>
        <w:tcPr>
          <w:tcW w:w="2382" w:type="dxa"/>
          <w:gridSpan w:val="2"/>
        </w:tcPr>
        <w:p w14:paraId="61F9C29A" w14:textId="77777777" w:rsidR="00BD47E4" w:rsidRDefault="000560DA" w:rsidP="002C30DA">
          <w:pPr>
            <w:jc w:val="right"/>
          </w:pPr>
          <w:bookmarkStart w:id="6" w:name="language"/>
          <w:r>
            <w:t>Russian</w:t>
          </w:r>
          <w:bookmarkEnd w:id="6"/>
        </w:p>
      </w:tc>
      <w:tc>
        <w:tcPr>
          <w:tcW w:w="390" w:type="dxa"/>
        </w:tcPr>
        <w:p w14:paraId="45AB854E" w14:textId="77777777" w:rsidR="00BD47E4" w:rsidRDefault="000560DA" w:rsidP="00387A65">
          <w:pPr>
            <w:jc w:val="right"/>
          </w:pPr>
        </w:p>
      </w:tc>
    </w:tr>
    <w:tr w:rsidR="00835219" w14:paraId="3E439F3A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295E679D" w14:textId="77777777" w:rsidR="0097629D" w:rsidRDefault="000560DA" w:rsidP="002C30DA">
          <w:pPr>
            <w:jc w:val="right"/>
          </w:pPr>
          <w:r>
            <w:t>Submitted:</w:t>
          </w:r>
        </w:p>
      </w:tc>
      <w:tc>
        <w:tcPr>
          <w:tcW w:w="2382" w:type="dxa"/>
          <w:gridSpan w:val="2"/>
        </w:tcPr>
        <w:p w14:paraId="25B9BA6B" w14:textId="77777777" w:rsidR="0097629D" w:rsidRDefault="000560DA" w:rsidP="0097629D">
          <w:pPr>
            <w:jc w:val="right"/>
          </w:pPr>
          <w:bookmarkStart w:id="7" w:name="date_submission"/>
          <w:r>
            <w:t>17 Apr 2023</w:t>
          </w:r>
          <w:bookmarkEnd w:id="7"/>
        </w:p>
      </w:tc>
      <w:tc>
        <w:tcPr>
          <w:tcW w:w="390" w:type="dxa"/>
        </w:tcPr>
        <w:p w14:paraId="6131602E" w14:textId="77777777" w:rsidR="0097629D" w:rsidRDefault="000560DA" w:rsidP="00387A65">
          <w:pPr>
            <w:jc w:val="right"/>
          </w:pPr>
        </w:p>
      </w:tc>
    </w:tr>
  </w:tbl>
  <w:p w14:paraId="434037BB" w14:textId="77777777" w:rsidR="00AE5DD0" w:rsidRDefault="000560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835219" w14:paraId="30FD4053" w14:textId="77777777">
      <w:trPr>
        <w:trHeight w:val="354"/>
        <w:jc w:val="center"/>
      </w:trPr>
      <w:tc>
        <w:tcPr>
          <w:tcW w:w="9694" w:type="dxa"/>
        </w:tcPr>
        <w:p w14:paraId="005A0276" w14:textId="65481C14" w:rsidR="00AE5DD0" w:rsidRPr="00BD47E4" w:rsidRDefault="000560DA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181D2410" w14:textId="420166B6" w:rsidR="00AE5DD0" w:rsidRPr="00BD47E4" w:rsidRDefault="000560DA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26</w:t>
          </w:r>
        </w:p>
      </w:tc>
    </w:tr>
  </w:tbl>
  <w:p w14:paraId="7E996F12" w14:textId="77777777" w:rsidR="00AE5DD0" w:rsidRDefault="000560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F46ECC0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326EB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7144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E1F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669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8AD6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4B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0697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2C4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5232C4F4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08C14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5EC1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4E9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60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C055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E2DE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EFC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689A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D918EAE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BCCE7E6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FE42D420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90709FFA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A8A8D7EC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34225926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A170EE96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9D52CF38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3D0ED3A6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98242BC4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788E3D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2CBD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34F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8C5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72C7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26E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EFE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8460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F1C01362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F392DBEE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F276587C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D6A1C40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2BC3898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6CF68FD2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8D4F272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A5E6F952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55425C74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3C866716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A6D8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68AF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92B1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9CFE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A47D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FAD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5CD5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B4F2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8068657">
    <w:abstractNumId w:val="9"/>
  </w:num>
  <w:num w:numId="2" w16cid:durableId="256134825">
    <w:abstractNumId w:val="7"/>
  </w:num>
  <w:num w:numId="3" w16cid:durableId="1640573767">
    <w:abstractNumId w:val="6"/>
  </w:num>
  <w:num w:numId="4" w16cid:durableId="1412123861">
    <w:abstractNumId w:val="5"/>
  </w:num>
  <w:num w:numId="5" w16cid:durableId="1194808576">
    <w:abstractNumId w:val="4"/>
  </w:num>
  <w:num w:numId="6" w16cid:durableId="733890959">
    <w:abstractNumId w:val="8"/>
  </w:num>
  <w:num w:numId="7" w16cid:durableId="2141723835">
    <w:abstractNumId w:val="3"/>
  </w:num>
  <w:num w:numId="8" w16cid:durableId="1750735006">
    <w:abstractNumId w:val="2"/>
  </w:num>
  <w:num w:numId="9" w16cid:durableId="835077294">
    <w:abstractNumId w:val="1"/>
  </w:num>
  <w:num w:numId="10" w16cid:durableId="2064521800">
    <w:abstractNumId w:val="0"/>
  </w:num>
  <w:num w:numId="11" w16cid:durableId="864446834">
    <w:abstractNumId w:val="11"/>
  </w:num>
  <w:num w:numId="12" w16cid:durableId="1023172025">
    <w:abstractNumId w:val="15"/>
  </w:num>
  <w:num w:numId="13" w16cid:durableId="1951664697">
    <w:abstractNumId w:val="14"/>
  </w:num>
  <w:num w:numId="14" w16cid:durableId="502404688">
    <w:abstractNumId w:val="12"/>
  </w:num>
  <w:num w:numId="15" w16cid:durableId="568002245">
    <w:abstractNumId w:val="13"/>
  </w:num>
  <w:num w:numId="16" w16cid:durableId="1059792248">
    <w:abstractNumId w:val="10"/>
  </w:num>
  <w:num w:numId="17" w16cid:durableId="1637951777">
    <w:abstractNumId w:val="11"/>
  </w:num>
  <w:num w:numId="18" w16cid:durableId="990720688">
    <w:abstractNumId w:val="15"/>
  </w:num>
  <w:num w:numId="19" w16cid:durableId="992293470">
    <w:abstractNumId w:val="14"/>
  </w:num>
  <w:num w:numId="20" w16cid:durableId="10917027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19"/>
    <w:rsid w:val="000560DA"/>
    <w:rsid w:val="0083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59CD1A"/>
  <w15:chartTrackingRefBased/>
  <w15:docId w15:val="{9EC1D451-43CE-4663-935F-15552B00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customStyle="1" w:styleId="ASNormal">
    <w:name w:val="AS Normal"/>
    <w:basedOn w:val="Normal"/>
    <w:link w:val="ASNormalChar"/>
    <w:qFormat/>
    <w:rsid w:val="000560DA"/>
    <w:pPr>
      <w:spacing w:before="120" w:after="120"/>
    </w:pPr>
    <w:rPr>
      <w:lang w:val="ru-RU" w:eastAsia="ru-RU" w:bidi="ru-RU"/>
    </w:rPr>
  </w:style>
  <w:style w:type="character" w:customStyle="1" w:styleId="ASNormalChar">
    <w:name w:val="AS Normal Char"/>
    <w:link w:val="ASNormal"/>
    <w:locked/>
    <w:rsid w:val="000560DA"/>
    <w:rPr>
      <w:sz w:val="22"/>
      <w:szCs w:val="24"/>
      <w:lang w:val="ru-RU" w:eastAsia="ru-RU" w:bidi="ru-RU"/>
    </w:rPr>
  </w:style>
  <w:style w:type="character" w:customStyle="1" w:styleId="PrrafodelistaCar">
    <w:name w:val="Párrafo de lista Car"/>
    <w:link w:val="Prrafodelista"/>
    <w:uiPriority w:val="34"/>
    <w:rsid w:val="000560DA"/>
    <w:rPr>
      <w:sz w:val="22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ts.aq/devAS/Meetings/Upcoming/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Jose Luis Agraz</dc:creator>
  <cp:lastModifiedBy>Jose Luis Agraz</cp:lastModifiedBy>
  <cp:revision>3</cp:revision>
  <cp:lastPrinted>2008-01-22T18:20:00Z</cp:lastPrinted>
  <dcterms:created xsi:type="dcterms:W3CDTF">2022-10-28T13:16:00Z</dcterms:created>
  <dcterms:modified xsi:type="dcterms:W3CDTF">2023-04-18T16:08:00Z</dcterms:modified>
</cp:coreProperties>
</file>