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E0FE" w14:textId="77777777" w:rsidR="00C26F2D" w:rsidRPr="00BF077B" w:rsidRDefault="00000F03" w:rsidP="00BF077B">
      <w:pPr>
        <w:pStyle w:val="ATSNormal"/>
        <w:rPr>
          <w:rStyle w:val="Ttulodellibro"/>
        </w:rPr>
      </w:pPr>
    </w:p>
    <w:p w14:paraId="2864404C" w14:textId="77777777" w:rsidR="002F0A13" w:rsidRDefault="00000F03" w:rsidP="004B4A60">
      <w:pPr>
        <w:rPr>
          <w:b/>
          <w:u w:val="single"/>
          <w:lang w:val="es-ES_tradnl"/>
        </w:rPr>
      </w:pPr>
    </w:p>
    <w:p w14:paraId="29037D27" w14:textId="77777777" w:rsidR="002F0A13" w:rsidRDefault="00000F03" w:rsidP="004B4A60">
      <w:pPr>
        <w:rPr>
          <w:b/>
          <w:u w:val="single"/>
          <w:lang w:val="es-ES_tradnl"/>
        </w:rPr>
      </w:pPr>
    </w:p>
    <w:p w14:paraId="05E4F6F8" w14:textId="77777777" w:rsidR="002F0A13" w:rsidRDefault="00000F03" w:rsidP="004B4A60">
      <w:pPr>
        <w:rPr>
          <w:b/>
          <w:u w:val="single"/>
          <w:lang w:val="es-ES_tradnl"/>
        </w:rPr>
      </w:pPr>
    </w:p>
    <w:p w14:paraId="3BE34B9B" w14:textId="77777777" w:rsidR="002F0A13" w:rsidRDefault="00000F03" w:rsidP="004B4A60">
      <w:pPr>
        <w:rPr>
          <w:b/>
          <w:u w:val="single"/>
          <w:lang w:val="es-ES_tradnl"/>
        </w:rPr>
      </w:pPr>
    </w:p>
    <w:p w14:paraId="19D8460A" w14:textId="77777777" w:rsidR="00C26F2D" w:rsidRDefault="00000F03" w:rsidP="004B4A60">
      <w:pPr>
        <w:rPr>
          <w:b/>
          <w:u w:val="single"/>
          <w:lang w:val="es-ES_tradnl"/>
        </w:rPr>
      </w:pPr>
    </w:p>
    <w:p w14:paraId="1903A11C" w14:textId="77777777" w:rsidR="004B4A60" w:rsidRPr="0057246E" w:rsidRDefault="00000F03" w:rsidP="001B789F">
      <w:pPr>
        <w:pStyle w:val="ATSTitle"/>
      </w:pPr>
      <w:bookmarkStart w:id="0" w:name="name"/>
      <w:r>
        <w:t>Topics and target audiences on education and outreach activities by the Antarctic Treaty Parties: a review</w:t>
      </w:r>
      <w:bookmarkEnd w:id="0"/>
    </w:p>
    <w:p w14:paraId="3B4880D8" w14:textId="77777777" w:rsidR="004B4A60" w:rsidRPr="0057246E" w:rsidRDefault="00000F03" w:rsidP="00F75424">
      <w:pPr>
        <w:jc w:val="center"/>
      </w:pPr>
    </w:p>
    <w:p w14:paraId="6783B7DB" w14:textId="77777777" w:rsidR="004B4A60" w:rsidRPr="002F0A13" w:rsidRDefault="00000F03" w:rsidP="002F0A13"/>
    <w:p w14:paraId="43314126" w14:textId="77777777" w:rsidR="004B4A60" w:rsidRDefault="00000F03" w:rsidP="00F75424">
      <w:pPr>
        <w:jc w:val="center"/>
      </w:pPr>
      <w:bookmarkStart w:id="1" w:name="memo"/>
      <w:bookmarkEnd w:id="1"/>
    </w:p>
    <w:p w14:paraId="539D1A8E" w14:textId="77777777" w:rsidR="0097629D" w:rsidRDefault="00000F03" w:rsidP="00F75424">
      <w:pPr>
        <w:jc w:val="center"/>
      </w:pPr>
    </w:p>
    <w:p w14:paraId="4D10ABED" w14:textId="77777777" w:rsidR="0097629D" w:rsidRDefault="00000F03" w:rsidP="00F75424">
      <w:pPr>
        <w:jc w:val="center"/>
      </w:pPr>
    </w:p>
    <w:p w14:paraId="13A083FC" w14:textId="77777777" w:rsidR="0097629D" w:rsidRDefault="00000F03" w:rsidP="00F75424">
      <w:pPr>
        <w:jc w:val="center"/>
      </w:pPr>
    </w:p>
    <w:p w14:paraId="0FF408B5" w14:textId="77777777" w:rsidR="0097629D" w:rsidRPr="00C26F2D" w:rsidRDefault="00000F03" w:rsidP="00F75424">
      <w:pPr>
        <w:jc w:val="center"/>
      </w:pPr>
    </w:p>
    <w:p w14:paraId="1FFEB709" w14:textId="77777777" w:rsidR="004B4A60" w:rsidRPr="0057246E" w:rsidRDefault="00000F03" w:rsidP="004B4A60"/>
    <w:p w14:paraId="09C09F5A" w14:textId="77777777" w:rsidR="00C26F2D" w:rsidRDefault="00000F03"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3DADF352" w14:textId="77777777" w:rsidR="004B4A60" w:rsidRDefault="00000F03" w:rsidP="00952E9F"/>
    <w:p w14:paraId="10A22708" w14:textId="77777777" w:rsidR="00000F03" w:rsidRDefault="00000F03" w:rsidP="00000F03">
      <w:pPr>
        <w:pStyle w:val="ATSTitle"/>
        <w:rPr>
          <w:sz w:val="32"/>
          <w:szCs w:val="32"/>
        </w:rPr>
      </w:pPr>
      <w:r w:rsidRPr="00591A80">
        <w:rPr>
          <w:sz w:val="32"/>
          <w:szCs w:val="32"/>
        </w:rPr>
        <w:t xml:space="preserve">Topics </w:t>
      </w:r>
      <w:r>
        <w:rPr>
          <w:sz w:val="32"/>
          <w:szCs w:val="32"/>
        </w:rPr>
        <w:t xml:space="preserve">and target audiences </w:t>
      </w:r>
      <w:r w:rsidRPr="00591A80">
        <w:rPr>
          <w:sz w:val="32"/>
          <w:szCs w:val="32"/>
        </w:rPr>
        <w:t xml:space="preserve">on education and outreach </w:t>
      </w:r>
      <w:r>
        <w:rPr>
          <w:sz w:val="32"/>
          <w:szCs w:val="32"/>
        </w:rPr>
        <w:t xml:space="preserve">activities </w:t>
      </w:r>
      <w:r w:rsidRPr="00591A80">
        <w:rPr>
          <w:sz w:val="32"/>
          <w:szCs w:val="32"/>
        </w:rPr>
        <w:t>by the Antarctic Treaty Parties: a review</w:t>
      </w:r>
    </w:p>
    <w:p w14:paraId="37C02A2F" w14:textId="77777777" w:rsidR="00000F03" w:rsidRPr="00591A80" w:rsidRDefault="00000F03" w:rsidP="00000F03">
      <w:pPr>
        <w:pStyle w:val="ATSTitle"/>
        <w:rPr>
          <w:sz w:val="32"/>
          <w:szCs w:val="32"/>
        </w:rPr>
      </w:pPr>
    </w:p>
    <w:p w14:paraId="621F2377" w14:textId="77777777" w:rsidR="00000F03" w:rsidRDefault="00000F03" w:rsidP="00000F03">
      <w:pPr>
        <w:pStyle w:val="ATSTitle"/>
        <w:rPr>
          <w:rFonts w:ascii="Times New Roman" w:hAnsi="Times New Roman"/>
          <w:sz w:val="24"/>
        </w:rPr>
      </w:pPr>
      <w:r>
        <w:rPr>
          <w:rFonts w:ascii="Times New Roman" w:hAnsi="Times New Roman"/>
          <w:sz w:val="24"/>
        </w:rPr>
        <w:t>Information Paper submitted by Portugal, Belgium, Bulgaria, Chile, Spain, United Kingdom, WMO</w:t>
      </w:r>
    </w:p>
    <w:p w14:paraId="5FA076A1" w14:textId="77777777" w:rsidR="00000F03" w:rsidRDefault="00000F03" w:rsidP="00000F03">
      <w:pPr>
        <w:pStyle w:val="ATSTitle"/>
        <w:spacing w:before="480" w:after="120"/>
        <w:contextualSpacing w:val="0"/>
        <w:jc w:val="both"/>
        <w:rPr>
          <w:rFonts w:cs="Arial"/>
          <w:i/>
          <w:sz w:val="24"/>
        </w:rPr>
      </w:pPr>
    </w:p>
    <w:p w14:paraId="29F3D5A2" w14:textId="77777777" w:rsidR="00000F03" w:rsidRPr="004A18CF" w:rsidRDefault="00000F03" w:rsidP="00000F03">
      <w:pPr>
        <w:pStyle w:val="ATSTitle"/>
        <w:spacing w:before="480" w:after="120"/>
        <w:contextualSpacing w:val="0"/>
        <w:jc w:val="both"/>
        <w:rPr>
          <w:rFonts w:cs="Arial"/>
          <w:i/>
          <w:sz w:val="24"/>
        </w:rPr>
      </w:pPr>
      <w:r w:rsidRPr="004A18CF">
        <w:rPr>
          <w:rFonts w:cs="Arial"/>
          <w:i/>
          <w:sz w:val="24"/>
        </w:rPr>
        <w:t>Summary</w:t>
      </w:r>
    </w:p>
    <w:p w14:paraId="0A5764D9" w14:textId="77777777" w:rsidR="00000F03" w:rsidRPr="00DF2A4E" w:rsidRDefault="00000F03" w:rsidP="00000F03">
      <w:pPr>
        <w:pStyle w:val="ATSTitle"/>
        <w:jc w:val="both"/>
        <w:rPr>
          <w:rFonts w:ascii="Times New Roman" w:hAnsi="Times New Roman"/>
          <w:b w:val="0"/>
          <w:sz w:val="22"/>
          <w:szCs w:val="22"/>
        </w:rPr>
      </w:pPr>
      <w:r w:rsidRPr="00DF2A4E">
        <w:rPr>
          <w:rFonts w:ascii="Times New Roman" w:hAnsi="Times New Roman"/>
          <w:b w:val="0"/>
          <w:sz w:val="22"/>
          <w:szCs w:val="22"/>
        </w:rPr>
        <w:t xml:space="preserve">This paper evaluates the key topics and their target audiences mentioned by the Parties, Observers and Experts </w:t>
      </w:r>
      <w:r>
        <w:rPr>
          <w:rFonts w:ascii="Times New Roman" w:hAnsi="Times New Roman"/>
          <w:b w:val="0"/>
          <w:sz w:val="22"/>
          <w:szCs w:val="22"/>
        </w:rPr>
        <w:t>i</w:t>
      </w:r>
      <w:r w:rsidRPr="00DF2A4E">
        <w:rPr>
          <w:rFonts w:ascii="Times New Roman" w:hAnsi="Times New Roman"/>
          <w:b w:val="0"/>
          <w:sz w:val="22"/>
          <w:szCs w:val="22"/>
        </w:rPr>
        <w:t>n their ATCM papers that relate to education and outreach. Since</w:t>
      </w:r>
      <w:r>
        <w:rPr>
          <w:rFonts w:ascii="Times New Roman" w:hAnsi="Times New Roman"/>
          <w:b w:val="0"/>
          <w:sz w:val="22"/>
          <w:szCs w:val="22"/>
        </w:rPr>
        <w:t xml:space="preserve"> </w:t>
      </w:r>
      <w:r w:rsidRPr="00DF2A4E">
        <w:rPr>
          <w:rFonts w:ascii="Times New Roman" w:hAnsi="Times New Roman"/>
          <w:b w:val="0"/>
          <w:sz w:val="22"/>
          <w:szCs w:val="22"/>
        </w:rPr>
        <w:t>the Antarctic Treaty entered into force</w:t>
      </w:r>
      <w:r>
        <w:rPr>
          <w:rFonts w:ascii="Times New Roman" w:hAnsi="Times New Roman"/>
          <w:b w:val="0"/>
          <w:sz w:val="22"/>
          <w:szCs w:val="22"/>
        </w:rPr>
        <w:t xml:space="preserve"> in 1961</w:t>
      </w:r>
      <w:r w:rsidRPr="00DF2A4E">
        <w:rPr>
          <w:rFonts w:ascii="Times New Roman" w:hAnsi="Times New Roman"/>
          <w:b w:val="0"/>
          <w:sz w:val="22"/>
          <w:szCs w:val="22"/>
        </w:rPr>
        <w:t xml:space="preserve">, a total of 200 ATCM papers on education and outreach </w:t>
      </w:r>
      <w:r>
        <w:rPr>
          <w:rFonts w:ascii="Times New Roman" w:hAnsi="Times New Roman"/>
          <w:b w:val="0"/>
          <w:sz w:val="22"/>
          <w:szCs w:val="22"/>
        </w:rPr>
        <w:t>have been produced.</w:t>
      </w:r>
      <w:r w:rsidRPr="00DF2A4E">
        <w:rPr>
          <w:rFonts w:ascii="Times New Roman" w:hAnsi="Times New Roman"/>
          <w:b w:val="0"/>
          <w:sz w:val="22"/>
          <w:szCs w:val="22"/>
        </w:rPr>
        <w:t xml:space="preserve"> </w:t>
      </w:r>
      <w:r>
        <w:rPr>
          <w:rFonts w:ascii="Times New Roman" w:hAnsi="Times New Roman"/>
          <w:b w:val="0"/>
          <w:sz w:val="22"/>
          <w:szCs w:val="22"/>
        </w:rPr>
        <w:t xml:space="preserve">The number of papers has increased since </w:t>
      </w:r>
      <w:r w:rsidRPr="00DF2A4E">
        <w:rPr>
          <w:rFonts w:ascii="Times New Roman" w:hAnsi="Times New Roman"/>
          <w:b w:val="0"/>
          <w:sz w:val="22"/>
          <w:szCs w:val="22"/>
        </w:rPr>
        <w:t>the 1990s</w:t>
      </w:r>
      <w:r>
        <w:rPr>
          <w:rFonts w:ascii="Times New Roman" w:hAnsi="Times New Roman"/>
          <w:b w:val="0"/>
          <w:sz w:val="22"/>
          <w:szCs w:val="22"/>
        </w:rPr>
        <w:t>,</w:t>
      </w:r>
      <w:r w:rsidRPr="00DF2A4E">
        <w:rPr>
          <w:rFonts w:ascii="Times New Roman" w:hAnsi="Times New Roman"/>
          <w:b w:val="0"/>
          <w:sz w:val="22"/>
          <w:szCs w:val="22"/>
        </w:rPr>
        <w:t xml:space="preserve"> </w:t>
      </w:r>
      <w:r>
        <w:rPr>
          <w:rFonts w:ascii="Times New Roman" w:hAnsi="Times New Roman"/>
          <w:b w:val="0"/>
          <w:sz w:val="22"/>
          <w:szCs w:val="22"/>
        </w:rPr>
        <w:t xml:space="preserve">during which time </w:t>
      </w:r>
      <w:r w:rsidRPr="00DF2A4E">
        <w:rPr>
          <w:rFonts w:ascii="Times New Roman" w:hAnsi="Times New Roman"/>
          <w:b w:val="0"/>
          <w:sz w:val="22"/>
          <w:szCs w:val="22"/>
        </w:rPr>
        <w:t>the Protocol on Environmental Protection</w:t>
      </w:r>
      <w:r>
        <w:rPr>
          <w:rFonts w:ascii="Times New Roman" w:hAnsi="Times New Roman"/>
          <w:b w:val="0"/>
          <w:sz w:val="22"/>
          <w:szCs w:val="22"/>
        </w:rPr>
        <w:t xml:space="preserve"> entered into force</w:t>
      </w:r>
      <w:r w:rsidRPr="00DF2A4E">
        <w:rPr>
          <w:rFonts w:ascii="Times New Roman" w:hAnsi="Times New Roman"/>
          <w:b w:val="0"/>
          <w:sz w:val="22"/>
          <w:szCs w:val="22"/>
        </w:rPr>
        <w:t xml:space="preserve">. </w:t>
      </w:r>
      <w:r w:rsidRPr="00DF2A4E">
        <w:rPr>
          <w:rFonts w:ascii="Times New Roman" w:hAnsi="Times New Roman"/>
          <w:b w:val="0"/>
          <w:bCs/>
          <w:iCs/>
          <w:color w:val="000000"/>
          <w:sz w:val="22"/>
          <w:szCs w:val="22"/>
        </w:rPr>
        <w:t xml:space="preserve">The topics addressed most in the ATCM papers were “science” and “wildlife/biodiversity/environment”. </w:t>
      </w:r>
      <w:r>
        <w:rPr>
          <w:rFonts w:ascii="Times New Roman" w:hAnsi="Times New Roman"/>
          <w:b w:val="0"/>
          <w:bCs/>
          <w:iCs/>
          <w:color w:val="000000"/>
          <w:sz w:val="22"/>
          <w:szCs w:val="22"/>
        </w:rPr>
        <w:t>The target audience for most of the reported education and outreach activities were the general public and those attending schools and Universities.</w:t>
      </w:r>
      <w:r w:rsidRPr="00DF2A4E">
        <w:rPr>
          <w:rFonts w:ascii="Times New Roman" w:hAnsi="Times New Roman"/>
          <w:b w:val="0"/>
          <w:sz w:val="22"/>
          <w:szCs w:val="22"/>
        </w:rPr>
        <w:t xml:space="preserve"> </w:t>
      </w:r>
      <w:r>
        <w:rPr>
          <w:rFonts w:ascii="Times New Roman" w:hAnsi="Times New Roman"/>
          <w:b w:val="0"/>
          <w:sz w:val="22"/>
          <w:szCs w:val="22"/>
        </w:rPr>
        <w:t>Since th</w:t>
      </w:r>
      <w:r w:rsidRPr="00DF2A4E">
        <w:rPr>
          <w:rFonts w:ascii="Times New Roman" w:hAnsi="Times New Roman"/>
          <w:b w:val="0"/>
          <w:sz w:val="22"/>
          <w:szCs w:val="22"/>
        </w:rPr>
        <w:t xml:space="preserve">e first workshop on education and outreach in 2015, and the subsequent establishment of the ATCM Intersessional Contact Group on Education and Outreach, </w:t>
      </w:r>
      <w:r>
        <w:rPr>
          <w:rFonts w:ascii="Times New Roman" w:hAnsi="Times New Roman"/>
          <w:b w:val="0"/>
          <w:sz w:val="22"/>
          <w:szCs w:val="22"/>
        </w:rPr>
        <w:t>the number of ATCM papers on education and outreach has increased, as has the</w:t>
      </w:r>
      <w:r w:rsidRPr="00DF2A4E">
        <w:rPr>
          <w:rFonts w:ascii="Times New Roman" w:hAnsi="Times New Roman"/>
          <w:b w:val="0"/>
          <w:sz w:val="22"/>
          <w:szCs w:val="22"/>
        </w:rPr>
        <w:t xml:space="preserve"> </w:t>
      </w:r>
      <w:r>
        <w:rPr>
          <w:rFonts w:ascii="Times New Roman" w:hAnsi="Times New Roman"/>
          <w:b w:val="0"/>
          <w:sz w:val="22"/>
          <w:szCs w:val="22"/>
        </w:rPr>
        <w:t>level of information sharing by Parties</w:t>
      </w:r>
      <w:r w:rsidRPr="00DF2A4E">
        <w:rPr>
          <w:rFonts w:ascii="Times New Roman" w:hAnsi="Times New Roman"/>
          <w:b w:val="0"/>
          <w:sz w:val="22"/>
          <w:szCs w:val="22"/>
        </w:rPr>
        <w:t xml:space="preserve">. We </w:t>
      </w:r>
      <w:r>
        <w:rPr>
          <w:rFonts w:ascii="Times New Roman" w:hAnsi="Times New Roman"/>
          <w:b w:val="0"/>
          <w:sz w:val="22"/>
          <w:szCs w:val="22"/>
        </w:rPr>
        <w:t>encourage further work on education and outreach,</w:t>
      </w:r>
      <w:r w:rsidRPr="00DF2A4E">
        <w:rPr>
          <w:rFonts w:ascii="Times New Roman" w:hAnsi="Times New Roman"/>
          <w:b w:val="0"/>
          <w:sz w:val="22"/>
          <w:szCs w:val="22"/>
        </w:rPr>
        <w:t xml:space="preserve"> including through the ATCM Intersessional Contact Group on Education and Outreach. </w:t>
      </w:r>
    </w:p>
    <w:p w14:paraId="55C486C3" w14:textId="77777777" w:rsidR="00000F03" w:rsidRPr="004A18CF" w:rsidRDefault="00000F03" w:rsidP="00000F03">
      <w:pPr>
        <w:pStyle w:val="ATSTitle"/>
        <w:jc w:val="left"/>
        <w:rPr>
          <w:rFonts w:ascii="Times New Roman" w:hAnsi="Times New Roman"/>
          <w:b w:val="0"/>
          <w:sz w:val="24"/>
        </w:rPr>
      </w:pPr>
    </w:p>
    <w:p w14:paraId="6F72CDF0" w14:textId="77777777" w:rsidR="00000F03" w:rsidRPr="00CE4B5D" w:rsidRDefault="00000F03" w:rsidP="00000F03">
      <w:pPr>
        <w:pStyle w:val="ATSTitle"/>
        <w:spacing w:before="480" w:after="120"/>
        <w:contextualSpacing w:val="0"/>
        <w:jc w:val="left"/>
        <w:rPr>
          <w:rFonts w:cs="Arial"/>
          <w:i/>
          <w:sz w:val="24"/>
        </w:rPr>
      </w:pPr>
      <w:r w:rsidRPr="004A18CF">
        <w:rPr>
          <w:rFonts w:cs="Arial"/>
          <w:i/>
          <w:sz w:val="24"/>
        </w:rPr>
        <w:t>Background</w:t>
      </w:r>
    </w:p>
    <w:p w14:paraId="22536DFF" w14:textId="77777777" w:rsidR="00000F03" w:rsidRPr="002811C8" w:rsidRDefault="00000F03" w:rsidP="00000F03">
      <w:pPr>
        <w:pStyle w:val="ATSTitle"/>
        <w:jc w:val="left"/>
        <w:rPr>
          <w:rFonts w:ascii="Times New Roman" w:hAnsi="Times New Roman"/>
          <w:b w:val="0"/>
          <w:sz w:val="22"/>
          <w:szCs w:val="22"/>
        </w:rPr>
      </w:pPr>
      <w:r w:rsidRPr="002811C8">
        <w:rPr>
          <w:rFonts w:ascii="Times New Roman" w:hAnsi="Times New Roman"/>
          <w:b w:val="0"/>
          <w:sz w:val="22"/>
          <w:szCs w:val="22"/>
        </w:rPr>
        <w:t xml:space="preserve">Education and </w:t>
      </w:r>
      <w:r>
        <w:rPr>
          <w:rFonts w:ascii="Times New Roman" w:hAnsi="Times New Roman"/>
          <w:b w:val="0"/>
          <w:sz w:val="22"/>
          <w:szCs w:val="22"/>
        </w:rPr>
        <w:t>o</w:t>
      </w:r>
      <w:r w:rsidRPr="002811C8">
        <w:rPr>
          <w:rFonts w:ascii="Times New Roman" w:hAnsi="Times New Roman"/>
          <w:b w:val="0"/>
          <w:sz w:val="22"/>
          <w:szCs w:val="22"/>
        </w:rPr>
        <w:t xml:space="preserve">utreach has been an element of the </w:t>
      </w:r>
      <w:r>
        <w:rPr>
          <w:rFonts w:ascii="Times New Roman" w:hAnsi="Times New Roman"/>
          <w:b w:val="0"/>
          <w:sz w:val="22"/>
          <w:szCs w:val="22"/>
        </w:rPr>
        <w:t>ATCM</w:t>
      </w:r>
      <w:r w:rsidRPr="002811C8">
        <w:rPr>
          <w:rFonts w:ascii="Times New Roman" w:hAnsi="Times New Roman"/>
          <w:b w:val="0"/>
          <w:sz w:val="22"/>
          <w:szCs w:val="22"/>
        </w:rPr>
        <w:t xml:space="preserve"> and CEP multi-year strategic work plans since 2015. This was due to the workshop on education and outreach at ATCM</w:t>
      </w:r>
      <w:r>
        <w:rPr>
          <w:rFonts w:ascii="Times New Roman" w:hAnsi="Times New Roman"/>
          <w:b w:val="0"/>
          <w:sz w:val="22"/>
          <w:szCs w:val="22"/>
        </w:rPr>
        <w:t>XXXVIII in</w:t>
      </w:r>
      <w:r w:rsidRPr="002811C8">
        <w:rPr>
          <w:rFonts w:ascii="Times New Roman" w:hAnsi="Times New Roman"/>
          <w:b w:val="0"/>
          <w:sz w:val="22"/>
          <w:szCs w:val="22"/>
        </w:rPr>
        <w:t xml:space="preserve"> Bulgaria (2015) </w:t>
      </w:r>
      <w:r>
        <w:rPr>
          <w:rFonts w:ascii="Times New Roman" w:hAnsi="Times New Roman"/>
          <w:b w:val="0"/>
          <w:sz w:val="22"/>
          <w:szCs w:val="22"/>
        </w:rPr>
        <w:t xml:space="preserve">that </w:t>
      </w:r>
      <w:r w:rsidRPr="002811C8">
        <w:rPr>
          <w:rFonts w:ascii="Times New Roman" w:hAnsi="Times New Roman"/>
          <w:b w:val="0"/>
          <w:sz w:val="22"/>
          <w:szCs w:val="22"/>
        </w:rPr>
        <w:t>aimed to provide greater visibility of Parties’ public education and outreach activities (ATCM XXXVII/WP009). Thirty-seven Parties, Observers and Experts (ATCM XXXVIII/BP26, report ATCM XXXVIII Paragraph 323) attended the workshop</w:t>
      </w:r>
      <w:r>
        <w:rPr>
          <w:rFonts w:ascii="Times New Roman" w:hAnsi="Times New Roman"/>
          <w:b w:val="0"/>
          <w:sz w:val="22"/>
          <w:szCs w:val="22"/>
        </w:rPr>
        <w:t>,</w:t>
      </w:r>
      <w:r w:rsidRPr="002811C8">
        <w:rPr>
          <w:rFonts w:ascii="Times New Roman" w:hAnsi="Times New Roman"/>
          <w:b w:val="0"/>
          <w:sz w:val="22"/>
          <w:szCs w:val="22"/>
        </w:rPr>
        <w:t xml:space="preserve"> whose outcome was the establishment of an Intersessional Contact Group on Education and Outreach </w:t>
      </w:r>
      <w:r>
        <w:rPr>
          <w:rFonts w:ascii="Times New Roman" w:hAnsi="Times New Roman"/>
          <w:b w:val="0"/>
          <w:sz w:val="22"/>
          <w:szCs w:val="22"/>
        </w:rPr>
        <w:t>that has subsequently</w:t>
      </w:r>
      <w:r w:rsidRPr="002811C8">
        <w:rPr>
          <w:rFonts w:ascii="Times New Roman" w:hAnsi="Times New Roman"/>
          <w:b w:val="0"/>
          <w:sz w:val="22"/>
          <w:szCs w:val="22"/>
        </w:rPr>
        <w:t xml:space="preserve"> demonstrated an increased interest </w:t>
      </w:r>
      <w:r>
        <w:rPr>
          <w:rFonts w:ascii="Times New Roman" w:hAnsi="Times New Roman"/>
          <w:b w:val="0"/>
          <w:sz w:val="22"/>
          <w:szCs w:val="22"/>
        </w:rPr>
        <w:t xml:space="preserve">and active engagement </w:t>
      </w:r>
      <w:r w:rsidRPr="002811C8">
        <w:rPr>
          <w:rFonts w:ascii="Times New Roman" w:hAnsi="Times New Roman"/>
          <w:b w:val="0"/>
          <w:sz w:val="22"/>
          <w:szCs w:val="22"/>
        </w:rPr>
        <w:t xml:space="preserve">in education and outreach activities </w:t>
      </w:r>
      <w:r>
        <w:rPr>
          <w:rFonts w:ascii="Times New Roman" w:hAnsi="Times New Roman"/>
          <w:b w:val="0"/>
          <w:sz w:val="22"/>
          <w:szCs w:val="22"/>
        </w:rPr>
        <w:t>by</w:t>
      </w:r>
      <w:r w:rsidRPr="002811C8">
        <w:rPr>
          <w:rFonts w:ascii="Times New Roman" w:hAnsi="Times New Roman"/>
          <w:b w:val="0"/>
          <w:sz w:val="22"/>
          <w:szCs w:val="22"/>
        </w:rPr>
        <w:t xml:space="preserve"> ATCM Parties, Observers and Experts (ATCM XXXIX/WP24, ATCM XL/WP24, ATCMXLII/WP33, ATCMXLIII/WP15, ATCMXLIV/WP23). </w:t>
      </w:r>
      <w:r>
        <w:rPr>
          <w:rFonts w:ascii="Times New Roman" w:hAnsi="Times New Roman"/>
          <w:b w:val="0"/>
          <w:sz w:val="22"/>
          <w:szCs w:val="22"/>
        </w:rPr>
        <w:t>While</w:t>
      </w:r>
      <w:r w:rsidRPr="002811C8">
        <w:rPr>
          <w:rFonts w:ascii="Times New Roman" w:hAnsi="Times New Roman"/>
          <w:b w:val="0"/>
          <w:sz w:val="22"/>
          <w:szCs w:val="22"/>
        </w:rPr>
        <w:t xml:space="preserve"> the increasing trend </w:t>
      </w:r>
      <w:r>
        <w:rPr>
          <w:rFonts w:ascii="Times New Roman" w:hAnsi="Times New Roman"/>
          <w:b w:val="0"/>
          <w:sz w:val="22"/>
          <w:szCs w:val="22"/>
        </w:rPr>
        <w:t>in</w:t>
      </w:r>
      <w:r w:rsidRPr="002811C8">
        <w:rPr>
          <w:rFonts w:ascii="Times New Roman" w:hAnsi="Times New Roman"/>
          <w:b w:val="0"/>
          <w:sz w:val="22"/>
          <w:szCs w:val="22"/>
        </w:rPr>
        <w:t xml:space="preserve"> the </w:t>
      </w:r>
      <w:r>
        <w:rPr>
          <w:rFonts w:ascii="Times New Roman" w:hAnsi="Times New Roman"/>
          <w:b w:val="0"/>
          <w:sz w:val="22"/>
          <w:szCs w:val="22"/>
        </w:rPr>
        <w:t>number</w:t>
      </w:r>
      <w:r w:rsidRPr="002811C8">
        <w:rPr>
          <w:rFonts w:ascii="Times New Roman" w:hAnsi="Times New Roman"/>
          <w:b w:val="0"/>
          <w:sz w:val="22"/>
          <w:szCs w:val="22"/>
        </w:rPr>
        <w:t xml:space="preserve"> of ATCM papers has been described </w:t>
      </w:r>
      <w:r>
        <w:rPr>
          <w:rFonts w:ascii="Times New Roman" w:hAnsi="Times New Roman"/>
          <w:b w:val="0"/>
          <w:sz w:val="22"/>
          <w:szCs w:val="22"/>
        </w:rPr>
        <w:t xml:space="preserve">previously </w:t>
      </w:r>
      <w:r w:rsidRPr="002811C8">
        <w:rPr>
          <w:rFonts w:ascii="Times New Roman" w:hAnsi="Times New Roman"/>
          <w:b w:val="0"/>
          <w:sz w:val="22"/>
          <w:szCs w:val="22"/>
        </w:rPr>
        <w:t>(ATCM XLIII/IP32)</w:t>
      </w:r>
      <w:r w:rsidRPr="002811C8">
        <w:rPr>
          <w:rFonts w:ascii="Times New Roman" w:hAnsi="Times New Roman"/>
          <w:b w:val="0"/>
          <w:sz w:val="22"/>
          <w:szCs w:val="22"/>
        </w:rPr>
        <w:fldChar w:fldCharType="begin"/>
      </w:r>
      <w:r w:rsidRPr="002811C8">
        <w:rPr>
          <w:rFonts w:ascii="Times New Roman" w:hAnsi="Times New Roman"/>
          <w:b w:val="0"/>
          <w:sz w:val="22"/>
          <w:szCs w:val="22"/>
        </w:rPr>
        <w:instrText xml:space="preserve"> ADDIN EN.CITE &lt;EndNote&gt;&lt;Cite&gt;&lt;Author&gt;Xavier&lt;/Author&gt;&lt;Year&gt;2019&lt;/Year&gt;&lt;RecNum&gt;6142&lt;/RecNum&gt;&lt;DisplayText&gt;(Xavier et al. 2019)&lt;/DisplayText&gt;&lt;record&gt;&lt;rec-number&gt;6142&lt;/rec-number&gt;&lt;foreign-keys&gt;&lt;key app="EN" db-id="9z5prrvrzzz29keptv55vexowpd22vd9s5xr" timestamp="1533294725"&gt;6142&lt;/key&gt;&lt;/foreign-keys&gt;&lt;ref-type name="Journal Article"&gt;17&lt;/ref-type&gt;&lt;contributors&gt;&lt;authors&gt;&lt;author&gt;Xavier, J. C.&lt;/author&gt;&lt;author&gt;Mateev, D. &lt;/author&gt;&lt;author&gt;Capper, L.&lt;/author&gt;&lt;author&gt;Wilmotte, A.&lt;/author&gt;&lt;author&gt;Walton, D. W. H.&lt;/author&gt;&lt;/authors&gt;&lt;/contributors&gt;&lt;titles&gt;&lt;title&gt;Education and Outreach by the Antarctic Treaty Parties, Observers and Experts under the framework of the Antarctic Treaty Consultative meetings&lt;/title&gt;&lt;secondary-title&gt;Polar Record&lt;/secondary-title&gt;&lt;/titles&gt;&lt;periodical&gt;&lt;full-title&gt;Polar Record&lt;/full-title&gt;&lt;/periodical&gt;&lt;pages&gt;241-244&lt;/pages&gt;&lt;volume&gt;55&lt;/volume&gt;&lt;dates&gt;&lt;year&gt;2019&lt;/year&gt;&lt;/dates&gt;&lt;urls&gt;&lt;/urls&gt;&lt;electronic-resource-num&gt;https://doi.org/10.1017/S003224741800044X&lt;/electronic-resource-num&gt;&lt;/record&gt;&lt;/Cite&gt;&lt;/EndNote&gt;</w:instrText>
      </w:r>
      <w:r w:rsidRPr="002811C8">
        <w:rPr>
          <w:rFonts w:ascii="Times New Roman" w:hAnsi="Times New Roman"/>
          <w:b w:val="0"/>
          <w:sz w:val="22"/>
          <w:szCs w:val="22"/>
        </w:rPr>
        <w:fldChar w:fldCharType="separate"/>
      </w:r>
      <w:r w:rsidRPr="002811C8">
        <w:rPr>
          <w:rFonts w:ascii="Times New Roman" w:hAnsi="Times New Roman"/>
          <w:b w:val="0"/>
          <w:noProof/>
          <w:sz w:val="22"/>
          <w:szCs w:val="22"/>
        </w:rPr>
        <w:t>(Xavier et al. 2019)</w:t>
      </w:r>
      <w:r w:rsidRPr="002811C8">
        <w:rPr>
          <w:rFonts w:ascii="Times New Roman" w:hAnsi="Times New Roman"/>
          <w:b w:val="0"/>
          <w:sz w:val="22"/>
          <w:szCs w:val="22"/>
        </w:rPr>
        <w:fldChar w:fldCharType="end"/>
      </w:r>
      <w:r w:rsidRPr="002811C8">
        <w:rPr>
          <w:rFonts w:ascii="Times New Roman" w:hAnsi="Times New Roman"/>
          <w:b w:val="0"/>
          <w:sz w:val="22"/>
          <w:szCs w:val="22"/>
        </w:rPr>
        <w:t>,</w:t>
      </w:r>
      <w:r>
        <w:rPr>
          <w:rFonts w:ascii="Times New Roman" w:hAnsi="Times New Roman"/>
          <w:b w:val="0"/>
          <w:sz w:val="22"/>
          <w:szCs w:val="22"/>
        </w:rPr>
        <w:t xml:space="preserve"> t</w:t>
      </w:r>
      <w:r w:rsidRPr="002811C8">
        <w:rPr>
          <w:rFonts w:ascii="Times New Roman" w:hAnsi="Times New Roman"/>
          <w:b w:val="0"/>
          <w:sz w:val="22"/>
          <w:szCs w:val="22"/>
        </w:rPr>
        <w:t xml:space="preserve">his paper aims to provide an overview of the key topics mentioned in the ATCM papers and their target audiences. </w:t>
      </w:r>
    </w:p>
    <w:p w14:paraId="75AF8236" w14:textId="77777777" w:rsidR="00000F03" w:rsidRPr="00E31B14" w:rsidRDefault="00000F03" w:rsidP="00000F03">
      <w:pPr>
        <w:pStyle w:val="ATSTitle"/>
        <w:jc w:val="left"/>
        <w:rPr>
          <w:rFonts w:ascii="Times New Roman" w:hAnsi="Times New Roman"/>
          <w:b w:val="0"/>
          <w:sz w:val="24"/>
        </w:rPr>
      </w:pPr>
    </w:p>
    <w:p w14:paraId="692342C2" w14:textId="77777777" w:rsidR="00000F03" w:rsidRPr="00DB6341" w:rsidRDefault="00000F03" w:rsidP="00000F03">
      <w:pPr>
        <w:pStyle w:val="ATSTitle"/>
        <w:spacing w:before="480" w:after="120"/>
        <w:contextualSpacing w:val="0"/>
        <w:jc w:val="left"/>
        <w:rPr>
          <w:rFonts w:cs="Arial"/>
          <w:i/>
          <w:sz w:val="24"/>
        </w:rPr>
      </w:pPr>
      <w:r>
        <w:rPr>
          <w:rFonts w:cs="Arial"/>
          <w:i/>
          <w:sz w:val="24"/>
        </w:rPr>
        <w:t>Growth in the number of papers on Education and Outreach in relation to their topics and target audience</w:t>
      </w:r>
    </w:p>
    <w:p w14:paraId="08C4F11C" w14:textId="77777777" w:rsidR="00000F03" w:rsidRPr="002811C8" w:rsidRDefault="00000F03" w:rsidP="00000F03">
      <w:pPr>
        <w:pStyle w:val="p1"/>
        <w:rPr>
          <w:rFonts w:asciiTheme="majorBidi" w:hAnsiTheme="majorBidi" w:cstheme="majorBidi"/>
          <w:iCs/>
          <w:color w:val="000000" w:themeColor="text1"/>
          <w:sz w:val="22"/>
          <w:szCs w:val="22"/>
        </w:rPr>
      </w:pPr>
      <w:r w:rsidRPr="002811C8">
        <w:rPr>
          <w:rFonts w:asciiTheme="majorBidi" w:hAnsiTheme="majorBidi" w:cstheme="majorBidi"/>
          <w:color w:val="000000" w:themeColor="text1"/>
          <w:sz w:val="22"/>
          <w:szCs w:val="22"/>
        </w:rPr>
        <w:t xml:space="preserve">A search for the words “education” and/or “outreach”, </w:t>
      </w:r>
      <w:r w:rsidRPr="002811C8">
        <w:rPr>
          <w:rStyle w:val="Hipervnculo"/>
          <w:rFonts w:asciiTheme="majorBidi" w:hAnsiTheme="majorBidi" w:cstheme="majorBidi"/>
          <w:color w:val="000000" w:themeColor="text1"/>
          <w:sz w:val="22"/>
          <w:szCs w:val="22"/>
          <w:u w:val="none"/>
        </w:rPr>
        <w:t xml:space="preserve">as well as papers within the category “Educational Issues”, </w:t>
      </w:r>
      <w:r w:rsidRPr="002811C8">
        <w:rPr>
          <w:rFonts w:asciiTheme="majorBidi" w:hAnsiTheme="majorBidi" w:cstheme="majorBidi"/>
          <w:color w:val="000000" w:themeColor="text1"/>
          <w:sz w:val="22"/>
          <w:szCs w:val="22"/>
        </w:rPr>
        <w:t>at the documents page of the Antarctic Treaty System (</w:t>
      </w:r>
      <w:hyperlink r:id="rId14" w:history="1">
        <w:r w:rsidRPr="00DF2A4E">
          <w:rPr>
            <w:rStyle w:val="Hipervnculo"/>
            <w:rFonts w:asciiTheme="majorBidi" w:hAnsiTheme="majorBidi" w:cstheme="majorBidi"/>
            <w:sz w:val="22"/>
            <w:szCs w:val="22"/>
          </w:rPr>
          <w:t>http://www.ats.aq)</w:t>
        </w:r>
      </w:hyperlink>
      <w:r w:rsidRPr="002811C8">
        <w:rPr>
          <w:rStyle w:val="Hipervnculo"/>
          <w:rFonts w:asciiTheme="majorBidi" w:hAnsiTheme="majorBidi" w:cstheme="majorBidi"/>
          <w:color w:val="000000" w:themeColor="text1"/>
          <w:sz w:val="22"/>
          <w:szCs w:val="22"/>
          <w:u w:val="none"/>
        </w:rPr>
        <w:t xml:space="preserve">, </w:t>
      </w:r>
      <w:r w:rsidRPr="002811C8">
        <w:rPr>
          <w:rFonts w:asciiTheme="majorBidi" w:hAnsiTheme="majorBidi" w:cstheme="majorBidi"/>
          <w:color w:val="000000" w:themeColor="text1"/>
          <w:sz w:val="22"/>
          <w:szCs w:val="22"/>
        </w:rPr>
        <w:t>between 1961 and 2022 (noting that there w</w:t>
      </w:r>
      <w:r>
        <w:rPr>
          <w:rFonts w:asciiTheme="majorBidi" w:hAnsiTheme="majorBidi" w:cstheme="majorBidi"/>
          <w:color w:val="000000" w:themeColor="text1"/>
          <w:sz w:val="22"/>
          <w:szCs w:val="22"/>
        </w:rPr>
        <w:t>as</w:t>
      </w:r>
      <w:r w:rsidRPr="002811C8">
        <w:rPr>
          <w:rFonts w:asciiTheme="majorBidi" w:hAnsiTheme="majorBidi" w:cstheme="majorBidi"/>
          <w:color w:val="000000" w:themeColor="text1"/>
          <w:sz w:val="22"/>
          <w:szCs w:val="22"/>
        </w:rPr>
        <w:t xml:space="preserve"> no ATCM in 2020) was carried out. </w:t>
      </w:r>
      <w:r w:rsidRPr="002811C8">
        <w:rPr>
          <w:rFonts w:asciiTheme="majorBidi" w:hAnsiTheme="majorBidi" w:cstheme="majorBidi"/>
          <w:iCs/>
          <w:color w:val="000000" w:themeColor="text1"/>
          <w:sz w:val="22"/>
          <w:szCs w:val="22"/>
        </w:rPr>
        <w:t>For each ATCM paper, key topics (i.e. “cooperation”, “wildlife/biodiversity/environment”, “science”, “climate change”, “ATS/Protocol legislation”; “Equity, Diversity and Inclusion”) and audience</w:t>
      </w:r>
      <w:r>
        <w:rPr>
          <w:rFonts w:asciiTheme="majorBidi" w:hAnsiTheme="majorBidi" w:cstheme="majorBidi"/>
          <w:iCs/>
          <w:color w:val="000000" w:themeColor="text1"/>
          <w:sz w:val="22"/>
          <w:szCs w:val="22"/>
        </w:rPr>
        <w:t>s</w:t>
      </w:r>
      <w:r w:rsidRPr="002811C8">
        <w:rPr>
          <w:rFonts w:asciiTheme="majorBidi" w:hAnsiTheme="majorBidi" w:cstheme="majorBidi"/>
          <w:iCs/>
          <w:color w:val="000000" w:themeColor="text1"/>
          <w:sz w:val="22"/>
          <w:szCs w:val="22"/>
        </w:rPr>
        <w:t xml:space="preserve"> (“Policy makers”, “Antarctic personnel”, “Artists”, “Journalists”, “Public”, “Schools (inc. Universities)”), and references to the Association of Polar Early Career Scientists (APECS) and Polar Educators International (PEI), were identified. </w:t>
      </w:r>
    </w:p>
    <w:p w14:paraId="0662707B" w14:textId="77777777" w:rsidR="00000F03" w:rsidRPr="002811C8" w:rsidRDefault="00000F03" w:rsidP="00000F03">
      <w:pPr>
        <w:pStyle w:val="ATSTitle"/>
        <w:spacing w:before="120" w:after="120"/>
        <w:contextualSpacing w:val="0"/>
        <w:jc w:val="left"/>
        <w:rPr>
          <w:rFonts w:ascii="Times New Roman" w:hAnsi="Times New Roman"/>
          <w:b w:val="0"/>
          <w:sz w:val="22"/>
          <w:szCs w:val="22"/>
        </w:rPr>
      </w:pPr>
      <w:r w:rsidRPr="002811C8">
        <w:rPr>
          <w:rFonts w:ascii="Times New Roman" w:hAnsi="Times New Roman"/>
          <w:b w:val="0"/>
          <w:sz w:val="22"/>
          <w:szCs w:val="22"/>
        </w:rPr>
        <w:t xml:space="preserve">A total of 200 ATCM papers were submitted to ATCMs between 1961 and 2022 (Figure 1) </w:t>
      </w:r>
      <w:r>
        <w:rPr>
          <w:rFonts w:ascii="Times New Roman" w:hAnsi="Times New Roman"/>
          <w:b w:val="0"/>
          <w:sz w:val="22"/>
          <w:szCs w:val="22"/>
        </w:rPr>
        <w:t xml:space="preserve">that </w:t>
      </w:r>
      <w:r w:rsidRPr="002811C8">
        <w:rPr>
          <w:rFonts w:ascii="Times New Roman" w:hAnsi="Times New Roman"/>
          <w:b w:val="0"/>
          <w:sz w:val="22"/>
          <w:szCs w:val="22"/>
        </w:rPr>
        <w:t xml:space="preserve">related to education and outreach. Up </w:t>
      </w:r>
      <w:r>
        <w:rPr>
          <w:rFonts w:ascii="Times New Roman" w:hAnsi="Times New Roman"/>
          <w:b w:val="0"/>
          <w:sz w:val="22"/>
          <w:szCs w:val="22"/>
        </w:rPr>
        <w:t xml:space="preserve">until the </w:t>
      </w:r>
      <w:r w:rsidRPr="002811C8">
        <w:rPr>
          <w:rFonts w:ascii="Times New Roman" w:hAnsi="Times New Roman"/>
          <w:b w:val="0"/>
          <w:sz w:val="22"/>
          <w:szCs w:val="22"/>
        </w:rPr>
        <w:t xml:space="preserve">1990s, most delegations considered education and outreach a low priority. With the implementation of the Protocol on Environmental </w:t>
      </w:r>
      <w:r w:rsidRPr="002811C8">
        <w:rPr>
          <w:rFonts w:ascii="Times New Roman" w:hAnsi="Times New Roman"/>
          <w:b w:val="0"/>
          <w:sz w:val="22"/>
          <w:szCs w:val="22"/>
        </w:rPr>
        <w:lastRenderedPageBreak/>
        <w:t>Protection</w:t>
      </w:r>
      <w:r>
        <w:rPr>
          <w:rFonts w:ascii="Times New Roman" w:hAnsi="Times New Roman"/>
          <w:b w:val="0"/>
          <w:sz w:val="22"/>
          <w:szCs w:val="22"/>
        </w:rPr>
        <w:t xml:space="preserve"> to the Antarctic Treaty</w:t>
      </w:r>
      <w:r w:rsidRPr="002811C8">
        <w:rPr>
          <w:rFonts w:ascii="Times New Roman" w:hAnsi="Times New Roman"/>
          <w:b w:val="0"/>
          <w:sz w:val="22"/>
          <w:szCs w:val="22"/>
        </w:rPr>
        <w:t xml:space="preserve"> (1998) and </w:t>
      </w:r>
      <w:r>
        <w:rPr>
          <w:rFonts w:ascii="Times New Roman" w:hAnsi="Times New Roman"/>
          <w:b w:val="0"/>
          <w:sz w:val="22"/>
          <w:szCs w:val="22"/>
        </w:rPr>
        <w:t xml:space="preserve">the establishment of </w:t>
      </w:r>
      <w:r w:rsidRPr="002811C8">
        <w:rPr>
          <w:rFonts w:ascii="Times New Roman" w:hAnsi="Times New Roman"/>
          <w:b w:val="0"/>
          <w:sz w:val="22"/>
          <w:szCs w:val="22"/>
        </w:rPr>
        <w:t>the Intersessional Contact Group on Education and Outreach (2015), there has been an increasing number of ATCM papers</w:t>
      </w:r>
      <w:r>
        <w:rPr>
          <w:rFonts w:ascii="Times New Roman" w:hAnsi="Times New Roman"/>
          <w:b w:val="0"/>
          <w:sz w:val="22"/>
          <w:szCs w:val="22"/>
        </w:rPr>
        <w:t xml:space="preserve"> on the topic of education and outreach</w:t>
      </w:r>
      <w:r w:rsidRPr="002811C8">
        <w:rPr>
          <w:rFonts w:ascii="Times New Roman" w:hAnsi="Times New Roman"/>
          <w:b w:val="0"/>
          <w:sz w:val="22"/>
          <w:szCs w:val="22"/>
        </w:rPr>
        <w:t xml:space="preserve"> (Figure 1)</w:t>
      </w:r>
      <w:r>
        <w:rPr>
          <w:rFonts w:ascii="Times New Roman" w:hAnsi="Times New Roman"/>
          <w:b w:val="0"/>
          <w:sz w:val="22"/>
          <w:szCs w:val="22"/>
        </w:rPr>
        <w:t xml:space="preserve">.  Indeed, </w:t>
      </w:r>
      <w:r w:rsidRPr="002811C8">
        <w:rPr>
          <w:rFonts w:ascii="Times New Roman" w:hAnsi="Times New Roman"/>
          <w:b w:val="0"/>
          <w:sz w:val="22"/>
          <w:szCs w:val="22"/>
        </w:rPr>
        <w:t xml:space="preserve">the number of papers </w:t>
      </w:r>
      <w:r>
        <w:rPr>
          <w:rFonts w:ascii="Times New Roman" w:hAnsi="Times New Roman"/>
          <w:b w:val="0"/>
          <w:sz w:val="22"/>
          <w:szCs w:val="22"/>
        </w:rPr>
        <w:t>submitted during</w:t>
      </w:r>
      <w:r w:rsidRPr="002811C8">
        <w:rPr>
          <w:rFonts w:ascii="Times New Roman" w:hAnsi="Times New Roman"/>
          <w:b w:val="0"/>
          <w:sz w:val="22"/>
          <w:szCs w:val="22"/>
        </w:rPr>
        <w:t xml:space="preserve"> 2021 and 2022 almost reaching the same </w:t>
      </w:r>
      <w:r>
        <w:rPr>
          <w:rFonts w:ascii="Times New Roman" w:hAnsi="Times New Roman"/>
          <w:b w:val="0"/>
          <w:sz w:val="22"/>
          <w:szCs w:val="22"/>
        </w:rPr>
        <w:t xml:space="preserve">number submitted to </w:t>
      </w:r>
      <w:r w:rsidRPr="002811C8">
        <w:rPr>
          <w:rFonts w:ascii="Times New Roman" w:hAnsi="Times New Roman"/>
          <w:b w:val="0"/>
          <w:sz w:val="22"/>
          <w:szCs w:val="22"/>
        </w:rPr>
        <w:t xml:space="preserve">ATCMs </w:t>
      </w:r>
      <w:r>
        <w:rPr>
          <w:rFonts w:ascii="Times New Roman" w:hAnsi="Times New Roman"/>
          <w:b w:val="0"/>
          <w:sz w:val="22"/>
          <w:szCs w:val="22"/>
        </w:rPr>
        <w:t>during the period</w:t>
      </w:r>
      <w:r w:rsidRPr="002811C8">
        <w:rPr>
          <w:rFonts w:ascii="Times New Roman" w:hAnsi="Times New Roman"/>
          <w:b w:val="0"/>
          <w:sz w:val="22"/>
          <w:szCs w:val="22"/>
        </w:rPr>
        <w:t xml:space="preserve"> 2010-2014. The peak </w:t>
      </w:r>
      <w:r>
        <w:rPr>
          <w:rFonts w:ascii="Times New Roman" w:hAnsi="Times New Roman"/>
          <w:b w:val="0"/>
          <w:sz w:val="22"/>
          <w:szCs w:val="22"/>
        </w:rPr>
        <w:t xml:space="preserve">in number of </w:t>
      </w:r>
      <w:r w:rsidRPr="002811C8">
        <w:rPr>
          <w:rFonts w:ascii="Times New Roman" w:hAnsi="Times New Roman"/>
          <w:b w:val="0"/>
          <w:sz w:val="22"/>
          <w:szCs w:val="22"/>
        </w:rPr>
        <w:t xml:space="preserve">ATCM papers </w:t>
      </w:r>
      <w:r>
        <w:rPr>
          <w:rFonts w:ascii="Times New Roman" w:hAnsi="Times New Roman"/>
          <w:b w:val="0"/>
          <w:sz w:val="22"/>
          <w:szCs w:val="22"/>
        </w:rPr>
        <w:t>on the topic during the period</w:t>
      </w:r>
      <w:r w:rsidRPr="002811C8">
        <w:rPr>
          <w:rFonts w:ascii="Times New Roman" w:hAnsi="Times New Roman"/>
          <w:b w:val="0"/>
          <w:sz w:val="22"/>
          <w:szCs w:val="22"/>
        </w:rPr>
        <w:t xml:space="preserve"> 2015-2019 is attributed to the </w:t>
      </w:r>
      <w:r>
        <w:rPr>
          <w:rFonts w:ascii="Times New Roman" w:hAnsi="Times New Roman"/>
          <w:b w:val="0"/>
          <w:sz w:val="22"/>
          <w:szCs w:val="22"/>
        </w:rPr>
        <w:t xml:space="preserve">education and outreach </w:t>
      </w:r>
      <w:r w:rsidRPr="002811C8">
        <w:rPr>
          <w:rFonts w:ascii="Times New Roman" w:hAnsi="Times New Roman"/>
          <w:b w:val="0"/>
          <w:sz w:val="22"/>
          <w:szCs w:val="22"/>
        </w:rPr>
        <w:t>workshop</w:t>
      </w:r>
      <w:r>
        <w:rPr>
          <w:rFonts w:ascii="Times New Roman" w:hAnsi="Times New Roman"/>
          <w:b w:val="0"/>
          <w:sz w:val="22"/>
          <w:szCs w:val="22"/>
        </w:rPr>
        <w:t xml:space="preserve"> held at</w:t>
      </w:r>
      <w:r w:rsidRPr="002811C8">
        <w:rPr>
          <w:rFonts w:ascii="Times New Roman" w:hAnsi="Times New Roman"/>
          <w:b w:val="0"/>
          <w:sz w:val="22"/>
          <w:szCs w:val="22"/>
        </w:rPr>
        <w:t xml:space="preserve"> ATCM</w:t>
      </w:r>
      <w:r>
        <w:rPr>
          <w:rFonts w:ascii="Times New Roman" w:hAnsi="Times New Roman"/>
          <w:b w:val="0"/>
          <w:sz w:val="22"/>
          <w:szCs w:val="22"/>
        </w:rPr>
        <w:t>XXXVIII in</w:t>
      </w:r>
      <w:r w:rsidRPr="002811C8">
        <w:rPr>
          <w:rFonts w:ascii="Times New Roman" w:hAnsi="Times New Roman"/>
          <w:b w:val="0"/>
          <w:sz w:val="22"/>
          <w:szCs w:val="22"/>
        </w:rPr>
        <w:t xml:space="preserve"> Bulgaria and subsequent submissions in the years</w:t>
      </w:r>
      <w:r>
        <w:rPr>
          <w:rFonts w:ascii="Times New Roman" w:hAnsi="Times New Roman"/>
          <w:b w:val="0"/>
          <w:sz w:val="22"/>
          <w:szCs w:val="22"/>
        </w:rPr>
        <w:t xml:space="preserve"> thereafter</w:t>
      </w:r>
      <w:r w:rsidRPr="002811C8">
        <w:rPr>
          <w:rFonts w:ascii="Times New Roman" w:hAnsi="Times New Roman"/>
          <w:b w:val="0"/>
          <w:sz w:val="22"/>
          <w:szCs w:val="22"/>
        </w:rPr>
        <w:t xml:space="preserve">. </w:t>
      </w:r>
    </w:p>
    <w:p w14:paraId="0981BFBB" w14:textId="77777777" w:rsidR="00000F03" w:rsidRDefault="00000F03" w:rsidP="00000F03">
      <w:pPr>
        <w:pStyle w:val="p1"/>
        <w:rPr>
          <w:rFonts w:ascii="Times New Roman" w:hAnsi="Times New Roman"/>
          <w:b/>
          <w:sz w:val="24"/>
        </w:rPr>
      </w:pPr>
      <w:r>
        <w:rPr>
          <w:noProof/>
        </w:rPr>
        <w:drawing>
          <wp:inline distT="0" distB="0" distL="0" distR="0" wp14:anchorId="4755C5A0" wp14:editId="408B5C33">
            <wp:extent cx="5321300" cy="2984500"/>
            <wp:effectExtent l="0" t="0" r="0" b="0"/>
            <wp:docPr id="1" name="Chart 1">
              <a:extLst xmlns:a="http://schemas.openxmlformats.org/drawingml/2006/main">
                <a:ext uri="{FF2B5EF4-FFF2-40B4-BE49-F238E27FC236}">
                  <a16:creationId xmlns:a16="http://schemas.microsoft.com/office/drawing/2014/main" id="{CBA4151A-8B53-AF40-8FE4-75B324BA61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A52061" w14:textId="77777777" w:rsidR="00000F03" w:rsidRDefault="00000F03" w:rsidP="00000F03">
      <w:pPr>
        <w:pStyle w:val="p1"/>
        <w:rPr>
          <w:rFonts w:ascii="Times New Roman" w:hAnsi="Times New Roman"/>
          <w:i/>
          <w:color w:val="000000"/>
          <w:sz w:val="22"/>
          <w:szCs w:val="22"/>
        </w:rPr>
      </w:pPr>
      <w:r w:rsidRPr="000B3903">
        <w:rPr>
          <w:rFonts w:ascii="Times New Roman" w:hAnsi="Times New Roman"/>
          <w:b/>
          <w:i/>
          <w:color w:val="000000"/>
          <w:sz w:val="22"/>
          <w:szCs w:val="22"/>
        </w:rPr>
        <w:t xml:space="preserve">Figure 1. </w:t>
      </w:r>
      <w:r w:rsidRPr="000B3903">
        <w:rPr>
          <w:rFonts w:ascii="Times New Roman" w:hAnsi="Times New Roman"/>
          <w:i/>
          <w:color w:val="000000"/>
          <w:sz w:val="22"/>
          <w:szCs w:val="22"/>
        </w:rPr>
        <w:t>Number of papers submitted to the Antarctic Treaty Consultative Meetings between 1961 and 20</w:t>
      </w:r>
      <w:r>
        <w:rPr>
          <w:rFonts w:ascii="Times New Roman" w:hAnsi="Times New Roman"/>
          <w:i/>
          <w:color w:val="000000"/>
          <w:sz w:val="22"/>
          <w:szCs w:val="22"/>
        </w:rPr>
        <w:t>22</w:t>
      </w:r>
      <w:r w:rsidRPr="000B3903">
        <w:rPr>
          <w:rFonts w:ascii="Times New Roman" w:hAnsi="Times New Roman"/>
          <w:i/>
          <w:color w:val="000000"/>
          <w:sz w:val="22"/>
          <w:szCs w:val="22"/>
        </w:rPr>
        <w:t xml:space="preserve"> (grouped by 5-year clusters; e.g. 1960 = 1960–1964). Data obtained from a search on “education” and/or “outreach”</w:t>
      </w:r>
      <w:r>
        <w:rPr>
          <w:rFonts w:ascii="Times New Roman" w:hAnsi="Times New Roman"/>
          <w:i/>
          <w:color w:val="000000"/>
          <w:sz w:val="22"/>
          <w:szCs w:val="22"/>
        </w:rPr>
        <w:t>, and within the category “Educational issues”</w:t>
      </w:r>
      <w:r w:rsidRPr="000B3903">
        <w:rPr>
          <w:rFonts w:ascii="Times New Roman" w:hAnsi="Times New Roman"/>
          <w:i/>
          <w:color w:val="000000"/>
          <w:sz w:val="22"/>
          <w:szCs w:val="22"/>
        </w:rPr>
        <w:t xml:space="preserve"> at the documents page</w:t>
      </w:r>
      <w:r w:rsidRPr="00561F6C">
        <w:rPr>
          <w:rFonts w:ascii="Times New Roman" w:hAnsi="Times New Roman"/>
          <w:i/>
          <w:color w:val="000000"/>
          <w:sz w:val="22"/>
          <w:szCs w:val="22"/>
        </w:rPr>
        <w:t xml:space="preserve"> of the Antarctic Treaty System website (</w:t>
      </w:r>
      <w:hyperlink r:id="rId16" w:history="1">
        <w:r w:rsidRPr="00561F6C">
          <w:rPr>
            <w:rStyle w:val="Hipervnculo"/>
            <w:rFonts w:ascii="Times New Roman" w:hAnsi="Times New Roman"/>
            <w:i/>
            <w:sz w:val="22"/>
            <w:szCs w:val="22"/>
          </w:rPr>
          <w:t>http://www.ats.aq/)</w:t>
        </w:r>
      </w:hyperlink>
      <w:r w:rsidRPr="00561F6C">
        <w:rPr>
          <w:rFonts w:ascii="Times New Roman" w:hAnsi="Times New Roman"/>
          <w:i/>
          <w:color w:val="000000"/>
          <w:sz w:val="22"/>
          <w:szCs w:val="22"/>
        </w:rPr>
        <w:t xml:space="preserve"> (following Xavier et al. 2019).</w:t>
      </w:r>
      <w:r>
        <w:rPr>
          <w:rFonts w:ascii="Times New Roman" w:hAnsi="Times New Roman"/>
          <w:i/>
          <w:color w:val="000000"/>
          <w:sz w:val="22"/>
          <w:szCs w:val="22"/>
        </w:rPr>
        <w:t xml:space="preserve"> Note: the data for “2020” (in red) includes only data for 2021 and 2022 (whereas all other clusters include 5 years of data).</w:t>
      </w:r>
    </w:p>
    <w:p w14:paraId="46D812F6" w14:textId="77777777" w:rsidR="00000F03" w:rsidRDefault="00000F03" w:rsidP="00000F03">
      <w:pPr>
        <w:pStyle w:val="p1"/>
        <w:rPr>
          <w:rFonts w:ascii="Times New Roman" w:hAnsi="Times New Roman"/>
          <w:i/>
          <w:color w:val="000000"/>
          <w:sz w:val="22"/>
          <w:szCs w:val="22"/>
        </w:rPr>
      </w:pPr>
    </w:p>
    <w:p w14:paraId="6A5C4C85" w14:textId="77777777" w:rsidR="00000F03" w:rsidRPr="002811C8" w:rsidRDefault="00000F03" w:rsidP="00000F03">
      <w:pPr>
        <w:pStyle w:val="p1"/>
        <w:rPr>
          <w:rFonts w:ascii="Times New Roman" w:hAnsi="Times New Roman"/>
          <w:iCs/>
          <w:color w:val="000000"/>
          <w:sz w:val="22"/>
          <w:szCs w:val="22"/>
        </w:rPr>
      </w:pPr>
      <w:r>
        <w:rPr>
          <w:rFonts w:ascii="Times New Roman" w:hAnsi="Times New Roman"/>
          <w:iCs/>
          <w:color w:val="000000"/>
          <w:sz w:val="22"/>
          <w:szCs w:val="22"/>
        </w:rPr>
        <w:t>Over half (</w:t>
      </w:r>
      <w:r w:rsidRPr="002811C8">
        <w:rPr>
          <w:rFonts w:ascii="Times New Roman" w:hAnsi="Times New Roman"/>
          <w:iCs/>
          <w:color w:val="000000"/>
          <w:sz w:val="22"/>
          <w:szCs w:val="22"/>
        </w:rPr>
        <w:t>54%</w:t>
      </w:r>
      <w:r>
        <w:rPr>
          <w:rFonts w:ascii="Times New Roman" w:hAnsi="Times New Roman"/>
          <w:iCs/>
          <w:color w:val="000000"/>
          <w:sz w:val="22"/>
          <w:szCs w:val="22"/>
        </w:rPr>
        <w:t>)</w:t>
      </w:r>
      <w:r w:rsidRPr="002811C8">
        <w:rPr>
          <w:rFonts w:ascii="Times New Roman" w:hAnsi="Times New Roman"/>
          <w:iCs/>
          <w:color w:val="000000"/>
          <w:sz w:val="22"/>
          <w:szCs w:val="22"/>
        </w:rPr>
        <w:t xml:space="preserve"> of Parties, Observers and Experts published</w:t>
      </w:r>
      <w:r>
        <w:rPr>
          <w:rFonts w:ascii="Times New Roman" w:hAnsi="Times New Roman"/>
          <w:iCs/>
          <w:color w:val="000000"/>
          <w:sz w:val="22"/>
          <w:szCs w:val="22"/>
        </w:rPr>
        <w:t xml:space="preserve"> </w:t>
      </w:r>
      <w:r w:rsidRPr="002811C8">
        <w:rPr>
          <w:rFonts w:ascii="Times New Roman" w:hAnsi="Times New Roman"/>
          <w:iCs/>
          <w:color w:val="000000"/>
          <w:sz w:val="22"/>
          <w:szCs w:val="22"/>
        </w:rPr>
        <w:t xml:space="preserve">at least one ATCM paper on education or outreach, </w:t>
      </w:r>
      <w:r>
        <w:rPr>
          <w:rFonts w:ascii="Times New Roman" w:hAnsi="Times New Roman"/>
          <w:iCs/>
          <w:color w:val="000000"/>
          <w:sz w:val="22"/>
          <w:szCs w:val="22"/>
        </w:rPr>
        <w:t xml:space="preserve">which included </w:t>
      </w:r>
      <w:r w:rsidRPr="002811C8">
        <w:rPr>
          <w:rFonts w:ascii="Times New Roman" w:hAnsi="Times New Roman"/>
          <w:iCs/>
          <w:color w:val="000000"/>
          <w:sz w:val="22"/>
          <w:szCs w:val="22"/>
        </w:rPr>
        <w:t xml:space="preserve">83% of the </w:t>
      </w:r>
      <w:r>
        <w:rPr>
          <w:rFonts w:ascii="Times New Roman" w:hAnsi="Times New Roman"/>
          <w:iCs/>
          <w:color w:val="000000"/>
          <w:sz w:val="22"/>
          <w:szCs w:val="22"/>
        </w:rPr>
        <w:t>C</w:t>
      </w:r>
      <w:r w:rsidRPr="002811C8">
        <w:rPr>
          <w:rFonts w:ascii="Times New Roman" w:hAnsi="Times New Roman"/>
          <w:iCs/>
          <w:color w:val="000000"/>
          <w:sz w:val="22"/>
          <w:szCs w:val="22"/>
        </w:rPr>
        <w:t xml:space="preserve">onsultative </w:t>
      </w:r>
      <w:r>
        <w:rPr>
          <w:rFonts w:ascii="Times New Roman" w:hAnsi="Times New Roman"/>
          <w:iCs/>
          <w:color w:val="000000"/>
          <w:sz w:val="22"/>
          <w:szCs w:val="22"/>
        </w:rPr>
        <w:t>P</w:t>
      </w:r>
      <w:r w:rsidRPr="002811C8">
        <w:rPr>
          <w:rFonts w:ascii="Times New Roman" w:hAnsi="Times New Roman"/>
          <w:iCs/>
          <w:color w:val="000000"/>
          <w:sz w:val="22"/>
          <w:szCs w:val="22"/>
        </w:rPr>
        <w:t>arties</w:t>
      </w:r>
      <w:r>
        <w:rPr>
          <w:rFonts w:ascii="Times New Roman" w:hAnsi="Times New Roman"/>
          <w:iCs/>
          <w:color w:val="000000"/>
          <w:sz w:val="22"/>
          <w:szCs w:val="22"/>
        </w:rPr>
        <w:t xml:space="preserve">, </w:t>
      </w:r>
      <w:r w:rsidRPr="002811C8">
        <w:rPr>
          <w:rFonts w:ascii="Times New Roman" w:hAnsi="Times New Roman"/>
          <w:iCs/>
          <w:color w:val="000000"/>
          <w:sz w:val="22"/>
          <w:szCs w:val="22"/>
        </w:rPr>
        <w:t>31% of the non-</w:t>
      </w:r>
      <w:r>
        <w:rPr>
          <w:rFonts w:ascii="Times New Roman" w:hAnsi="Times New Roman"/>
          <w:iCs/>
          <w:color w:val="000000"/>
          <w:sz w:val="22"/>
          <w:szCs w:val="22"/>
        </w:rPr>
        <w:t>C</w:t>
      </w:r>
      <w:r w:rsidRPr="002811C8">
        <w:rPr>
          <w:rFonts w:ascii="Times New Roman" w:hAnsi="Times New Roman"/>
          <w:iCs/>
          <w:color w:val="000000"/>
          <w:sz w:val="22"/>
          <w:szCs w:val="22"/>
        </w:rPr>
        <w:t xml:space="preserve">onsultative </w:t>
      </w:r>
      <w:r>
        <w:rPr>
          <w:rFonts w:ascii="Times New Roman" w:hAnsi="Times New Roman"/>
          <w:iCs/>
          <w:color w:val="000000"/>
          <w:sz w:val="22"/>
          <w:szCs w:val="22"/>
        </w:rPr>
        <w:t>P</w:t>
      </w:r>
      <w:r w:rsidRPr="002811C8">
        <w:rPr>
          <w:rFonts w:ascii="Times New Roman" w:hAnsi="Times New Roman"/>
          <w:iCs/>
          <w:color w:val="000000"/>
          <w:sz w:val="22"/>
          <w:szCs w:val="22"/>
        </w:rPr>
        <w:t>arties, 100% of Observers and 31% of Experts (</w:t>
      </w:r>
      <w:r>
        <w:rPr>
          <w:rFonts w:ascii="Times New Roman" w:hAnsi="Times New Roman"/>
          <w:iCs/>
          <w:color w:val="000000"/>
          <w:sz w:val="22"/>
          <w:szCs w:val="22"/>
        </w:rPr>
        <w:t xml:space="preserve">see </w:t>
      </w:r>
      <w:r w:rsidRPr="002811C8">
        <w:rPr>
          <w:rFonts w:ascii="Times New Roman" w:hAnsi="Times New Roman"/>
          <w:iCs/>
          <w:color w:val="000000"/>
          <w:sz w:val="22"/>
          <w:szCs w:val="22"/>
        </w:rPr>
        <w:t xml:space="preserve">Appendix 1).  Those </w:t>
      </w:r>
      <w:r>
        <w:rPr>
          <w:rFonts w:ascii="Times New Roman" w:hAnsi="Times New Roman"/>
          <w:iCs/>
          <w:color w:val="000000"/>
          <w:sz w:val="22"/>
          <w:szCs w:val="22"/>
        </w:rPr>
        <w:t xml:space="preserve">Parties </w:t>
      </w:r>
      <w:r w:rsidRPr="002811C8">
        <w:rPr>
          <w:rFonts w:ascii="Times New Roman" w:hAnsi="Times New Roman"/>
          <w:iCs/>
          <w:color w:val="000000"/>
          <w:sz w:val="22"/>
          <w:szCs w:val="22"/>
        </w:rPr>
        <w:t xml:space="preserve">that produced </w:t>
      </w:r>
      <w:r>
        <w:rPr>
          <w:rFonts w:ascii="Times New Roman" w:hAnsi="Times New Roman"/>
          <w:iCs/>
          <w:color w:val="000000"/>
          <w:sz w:val="22"/>
          <w:szCs w:val="22"/>
        </w:rPr>
        <w:t>the most</w:t>
      </w:r>
      <w:r w:rsidRPr="002811C8">
        <w:rPr>
          <w:rFonts w:ascii="Times New Roman" w:hAnsi="Times New Roman"/>
          <w:iCs/>
          <w:color w:val="000000"/>
          <w:sz w:val="22"/>
          <w:szCs w:val="22"/>
        </w:rPr>
        <w:t xml:space="preserve"> ATCM papers were Chile (21%), </w:t>
      </w:r>
      <w:r>
        <w:rPr>
          <w:rFonts w:ascii="Times New Roman" w:hAnsi="Times New Roman"/>
          <w:iCs/>
          <w:color w:val="000000"/>
          <w:sz w:val="22"/>
          <w:szCs w:val="22"/>
        </w:rPr>
        <w:t xml:space="preserve">the </w:t>
      </w:r>
      <w:r w:rsidRPr="002811C8">
        <w:rPr>
          <w:rFonts w:ascii="Times New Roman" w:hAnsi="Times New Roman"/>
          <w:iCs/>
          <w:color w:val="000000"/>
          <w:sz w:val="22"/>
          <w:szCs w:val="22"/>
        </w:rPr>
        <w:t>United Kingdom (10.5%), Bulgaria (9.5%), Brazil (9.0%), Portugal (9.0%) and Belgium (7.5%). The topic</w:t>
      </w:r>
      <w:r>
        <w:rPr>
          <w:rFonts w:ascii="Times New Roman" w:hAnsi="Times New Roman"/>
          <w:iCs/>
          <w:color w:val="000000"/>
          <w:sz w:val="22"/>
          <w:szCs w:val="22"/>
        </w:rPr>
        <w:t xml:space="preserve"> most commonly </w:t>
      </w:r>
      <w:r w:rsidRPr="002811C8">
        <w:rPr>
          <w:rFonts w:ascii="Times New Roman" w:hAnsi="Times New Roman"/>
          <w:iCs/>
          <w:color w:val="000000"/>
          <w:sz w:val="22"/>
          <w:szCs w:val="22"/>
        </w:rPr>
        <w:t xml:space="preserve">addressed in the ATCM papers was “science” (75.5%) and “wildlife/biodiversity/environment” (74.0%). Only 57% of the ATCM papers aimed to provide information </w:t>
      </w:r>
      <w:r>
        <w:rPr>
          <w:rFonts w:ascii="Times New Roman" w:hAnsi="Times New Roman"/>
          <w:iCs/>
          <w:color w:val="000000"/>
          <w:sz w:val="22"/>
          <w:szCs w:val="22"/>
        </w:rPr>
        <w:t>concerning</w:t>
      </w:r>
      <w:r w:rsidRPr="002811C8">
        <w:rPr>
          <w:rFonts w:ascii="Times New Roman" w:hAnsi="Times New Roman"/>
          <w:iCs/>
          <w:color w:val="000000"/>
          <w:sz w:val="22"/>
          <w:szCs w:val="22"/>
        </w:rPr>
        <w:t xml:space="preserve"> “ATS/protocol legislation” (Table 1). “</w:t>
      </w:r>
      <w:r w:rsidRPr="002811C8">
        <w:rPr>
          <w:rFonts w:asciiTheme="majorBidi" w:hAnsiTheme="majorBidi" w:cstheme="majorBidi"/>
          <w:iCs/>
          <w:color w:val="000000" w:themeColor="text1"/>
          <w:sz w:val="22"/>
          <w:szCs w:val="22"/>
        </w:rPr>
        <w:t>Equity, Diversity and Inclusion”</w:t>
      </w:r>
      <w:r w:rsidRPr="002811C8">
        <w:rPr>
          <w:rFonts w:ascii="Times New Roman" w:hAnsi="Times New Roman"/>
          <w:iCs/>
          <w:color w:val="000000"/>
          <w:sz w:val="22"/>
          <w:szCs w:val="22"/>
        </w:rPr>
        <w:t xml:space="preserve"> seem</w:t>
      </w:r>
      <w:r>
        <w:rPr>
          <w:rFonts w:ascii="Times New Roman" w:hAnsi="Times New Roman"/>
          <w:iCs/>
          <w:color w:val="000000"/>
          <w:sz w:val="22"/>
          <w:szCs w:val="22"/>
        </w:rPr>
        <w:t>ed</w:t>
      </w:r>
      <w:r w:rsidRPr="002811C8">
        <w:rPr>
          <w:rFonts w:ascii="Times New Roman" w:hAnsi="Times New Roman"/>
          <w:iCs/>
          <w:color w:val="000000"/>
          <w:sz w:val="22"/>
          <w:szCs w:val="22"/>
        </w:rPr>
        <w:t xml:space="preserve"> to be</w:t>
      </w:r>
      <w:r>
        <w:rPr>
          <w:rFonts w:ascii="Times New Roman" w:hAnsi="Times New Roman"/>
          <w:iCs/>
          <w:color w:val="000000"/>
          <w:sz w:val="22"/>
          <w:szCs w:val="22"/>
        </w:rPr>
        <w:t xml:space="preserve"> little</w:t>
      </w:r>
      <w:r w:rsidRPr="002811C8">
        <w:rPr>
          <w:rFonts w:ascii="Times New Roman" w:hAnsi="Times New Roman"/>
          <w:iCs/>
          <w:color w:val="000000"/>
          <w:sz w:val="22"/>
          <w:szCs w:val="22"/>
        </w:rPr>
        <w:t xml:space="preserve"> addressed, being mentioned in </w:t>
      </w:r>
      <w:r>
        <w:rPr>
          <w:rFonts w:ascii="Times New Roman" w:hAnsi="Times New Roman"/>
          <w:iCs/>
          <w:color w:val="000000"/>
          <w:sz w:val="22"/>
          <w:szCs w:val="22"/>
        </w:rPr>
        <w:t xml:space="preserve">only </w:t>
      </w:r>
      <w:r w:rsidRPr="002811C8">
        <w:rPr>
          <w:rFonts w:ascii="Times New Roman" w:hAnsi="Times New Roman"/>
          <w:iCs/>
          <w:color w:val="000000"/>
          <w:sz w:val="22"/>
          <w:szCs w:val="22"/>
        </w:rPr>
        <w:t>2% of all ATCM papers.</w:t>
      </w:r>
    </w:p>
    <w:p w14:paraId="71F06C65" w14:textId="77777777" w:rsidR="00000F03" w:rsidRPr="002811C8" w:rsidRDefault="00000F03" w:rsidP="00000F03">
      <w:pPr>
        <w:pStyle w:val="p1"/>
        <w:rPr>
          <w:rFonts w:ascii="Times New Roman" w:hAnsi="Times New Roman"/>
          <w:iCs/>
          <w:color w:val="000000"/>
          <w:sz w:val="22"/>
          <w:szCs w:val="22"/>
        </w:rPr>
      </w:pPr>
    </w:p>
    <w:p w14:paraId="2F7B55FB" w14:textId="77777777" w:rsidR="00000F03" w:rsidRPr="002811C8" w:rsidRDefault="00000F03" w:rsidP="00000F03">
      <w:pPr>
        <w:pStyle w:val="p1"/>
        <w:rPr>
          <w:rFonts w:ascii="Times New Roman" w:hAnsi="Times New Roman"/>
          <w:color w:val="000000" w:themeColor="text1"/>
          <w:sz w:val="22"/>
          <w:szCs w:val="24"/>
        </w:rPr>
      </w:pPr>
      <w:r w:rsidRPr="002811C8">
        <w:rPr>
          <w:rFonts w:ascii="Times New Roman" w:hAnsi="Times New Roman"/>
          <w:iCs/>
          <w:color w:val="000000"/>
          <w:sz w:val="22"/>
          <w:szCs w:val="22"/>
        </w:rPr>
        <w:t xml:space="preserve">In terms of targeted </w:t>
      </w:r>
      <w:r w:rsidRPr="002811C8">
        <w:rPr>
          <w:rFonts w:ascii="Times New Roman" w:hAnsi="Times New Roman"/>
          <w:iCs/>
          <w:color w:val="000000" w:themeColor="text1"/>
          <w:sz w:val="22"/>
          <w:szCs w:val="22"/>
        </w:rPr>
        <w:t>audiences, most ATCM papers included activities directed to the “public” (80.0%) and to schools</w:t>
      </w:r>
      <w:r>
        <w:rPr>
          <w:rFonts w:ascii="Times New Roman" w:hAnsi="Times New Roman"/>
          <w:iCs/>
          <w:color w:val="000000" w:themeColor="text1"/>
          <w:sz w:val="22"/>
          <w:szCs w:val="22"/>
        </w:rPr>
        <w:t xml:space="preserve">, </w:t>
      </w:r>
      <w:r w:rsidRPr="002811C8">
        <w:rPr>
          <w:rFonts w:ascii="Times New Roman" w:hAnsi="Times New Roman"/>
          <w:iCs/>
          <w:color w:val="000000" w:themeColor="text1"/>
          <w:sz w:val="22"/>
          <w:szCs w:val="22"/>
        </w:rPr>
        <w:t>incl</w:t>
      </w:r>
      <w:r>
        <w:rPr>
          <w:rFonts w:ascii="Times New Roman" w:hAnsi="Times New Roman"/>
          <w:iCs/>
          <w:color w:val="000000" w:themeColor="text1"/>
          <w:sz w:val="22"/>
          <w:szCs w:val="22"/>
        </w:rPr>
        <w:t>uding</w:t>
      </w:r>
      <w:r w:rsidRPr="002811C8">
        <w:rPr>
          <w:rFonts w:ascii="Times New Roman" w:hAnsi="Times New Roman"/>
          <w:iCs/>
          <w:color w:val="000000" w:themeColor="text1"/>
          <w:sz w:val="22"/>
          <w:szCs w:val="22"/>
        </w:rPr>
        <w:t xml:space="preserve"> Universities (68.5%). When comparing the periods 1961-2014 (pre-establishment of the </w:t>
      </w:r>
      <w:r>
        <w:rPr>
          <w:rFonts w:ascii="Times New Roman" w:hAnsi="Times New Roman"/>
          <w:iCs/>
          <w:color w:val="000000" w:themeColor="text1"/>
          <w:sz w:val="22"/>
          <w:szCs w:val="22"/>
        </w:rPr>
        <w:t xml:space="preserve">ICG </w:t>
      </w:r>
      <w:r w:rsidRPr="002811C8">
        <w:rPr>
          <w:rFonts w:ascii="Times New Roman" w:hAnsi="Times New Roman"/>
          <w:color w:val="000000" w:themeColor="text1"/>
          <w:sz w:val="22"/>
          <w:szCs w:val="22"/>
        </w:rPr>
        <w:t xml:space="preserve">on Education and Outreach) and 2015-2022 (post-establishment of the </w:t>
      </w:r>
      <w:r>
        <w:rPr>
          <w:rFonts w:ascii="Times New Roman" w:hAnsi="Times New Roman"/>
          <w:color w:val="000000" w:themeColor="text1"/>
          <w:sz w:val="22"/>
          <w:szCs w:val="22"/>
        </w:rPr>
        <w:t xml:space="preserve">ICG </w:t>
      </w:r>
      <w:r w:rsidRPr="002811C8">
        <w:rPr>
          <w:rFonts w:ascii="Times New Roman" w:hAnsi="Times New Roman"/>
          <w:color w:val="000000" w:themeColor="text1"/>
          <w:sz w:val="22"/>
          <w:szCs w:val="24"/>
        </w:rPr>
        <w:t xml:space="preserve">on Education and Outreach), ATCM papers </w:t>
      </w:r>
      <w:r>
        <w:rPr>
          <w:rFonts w:ascii="Times New Roman" w:hAnsi="Times New Roman"/>
          <w:color w:val="000000" w:themeColor="text1"/>
          <w:sz w:val="22"/>
          <w:szCs w:val="24"/>
        </w:rPr>
        <w:t>on</w:t>
      </w:r>
      <w:r w:rsidRPr="002811C8">
        <w:rPr>
          <w:rFonts w:ascii="Times New Roman" w:hAnsi="Times New Roman"/>
          <w:color w:val="000000" w:themeColor="text1"/>
          <w:sz w:val="22"/>
          <w:szCs w:val="24"/>
        </w:rPr>
        <w:t xml:space="preserve"> educat</w:t>
      </w:r>
      <w:r>
        <w:rPr>
          <w:rFonts w:ascii="Times New Roman" w:hAnsi="Times New Roman"/>
          <w:color w:val="000000" w:themeColor="text1"/>
          <w:sz w:val="22"/>
          <w:szCs w:val="24"/>
        </w:rPr>
        <w:t xml:space="preserve">ion and </w:t>
      </w:r>
      <w:r w:rsidRPr="002811C8">
        <w:rPr>
          <w:rFonts w:ascii="Times New Roman" w:hAnsi="Times New Roman"/>
          <w:color w:val="000000" w:themeColor="text1"/>
          <w:sz w:val="22"/>
          <w:szCs w:val="24"/>
        </w:rPr>
        <w:t xml:space="preserve">outreach </w:t>
      </w:r>
      <w:r>
        <w:rPr>
          <w:rFonts w:ascii="Times New Roman" w:hAnsi="Times New Roman"/>
          <w:color w:val="000000" w:themeColor="text1"/>
          <w:sz w:val="22"/>
          <w:szCs w:val="24"/>
        </w:rPr>
        <w:t xml:space="preserve">focused more </w:t>
      </w:r>
      <w:r w:rsidRPr="002811C8">
        <w:rPr>
          <w:rFonts w:ascii="Times New Roman" w:hAnsi="Times New Roman"/>
          <w:color w:val="000000" w:themeColor="text1"/>
          <w:sz w:val="22"/>
          <w:szCs w:val="24"/>
        </w:rPr>
        <w:t>on “research”</w:t>
      </w:r>
      <w:r>
        <w:rPr>
          <w:rFonts w:ascii="Times New Roman" w:hAnsi="Times New Roman"/>
          <w:color w:val="000000" w:themeColor="text1"/>
          <w:sz w:val="22"/>
          <w:szCs w:val="24"/>
        </w:rPr>
        <w:t xml:space="preserve"> </w:t>
      </w:r>
      <w:r w:rsidRPr="002811C8">
        <w:rPr>
          <w:rFonts w:ascii="Times New Roman" w:hAnsi="Times New Roman"/>
          <w:color w:val="000000" w:themeColor="text1"/>
          <w:sz w:val="22"/>
          <w:szCs w:val="24"/>
        </w:rPr>
        <w:t xml:space="preserve">(+16.5%), “ATS/protocol legislation” (+ 11.0%) , “cooperation” (+8.5%) and “climate change” (+8.0%) in the later period (Table 1). APECS (+10.5%) and PEI (+4.5%) were also mentioned </w:t>
      </w:r>
      <w:r>
        <w:rPr>
          <w:rFonts w:ascii="Times New Roman" w:hAnsi="Times New Roman"/>
          <w:color w:val="000000" w:themeColor="text1"/>
          <w:sz w:val="22"/>
          <w:szCs w:val="24"/>
        </w:rPr>
        <w:t xml:space="preserve">more </w:t>
      </w:r>
      <w:r w:rsidRPr="002811C8">
        <w:rPr>
          <w:rFonts w:ascii="Times New Roman" w:hAnsi="Times New Roman"/>
          <w:color w:val="000000" w:themeColor="text1"/>
          <w:sz w:val="22"/>
          <w:szCs w:val="24"/>
        </w:rPr>
        <w:t xml:space="preserve">in the later period </w:t>
      </w:r>
      <w:r>
        <w:rPr>
          <w:rFonts w:ascii="Times New Roman" w:hAnsi="Times New Roman"/>
          <w:color w:val="000000" w:themeColor="text1"/>
          <w:sz w:val="22"/>
          <w:szCs w:val="24"/>
        </w:rPr>
        <w:t xml:space="preserve">as organizations did not exist until recently (I.e. APECS was founded in 2007 and PEI in 2012) </w:t>
      </w:r>
      <w:r w:rsidRPr="002811C8">
        <w:rPr>
          <w:rFonts w:ascii="Times New Roman" w:hAnsi="Times New Roman"/>
          <w:color w:val="000000" w:themeColor="text1"/>
          <w:sz w:val="22"/>
          <w:szCs w:val="24"/>
        </w:rPr>
        <w:t>(Table 1).</w:t>
      </w:r>
    </w:p>
    <w:p w14:paraId="299E3841" w14:textId="77777777" w:rsidR="00000F03" w:rsidRDefault="00000F03" w:rsidP="00000F03">
      <w:pPr>
        <w:pStyle w:val="p1"/>
        <w:rPr>
          <w:rFonts w:ascii="Times New Roman" w:hAnsi="Times New Roman"/>
          <w:color w:val="000000" w:themeColor="text1"/>
          <w:sz w:val="24"/>
        </w:rPr>
      </w:pPr>
    </w:p>
    <w:p w14:paraId="35E0E6B0" w14:textId="77777777" w:rsidR="00000F03" w:rsidRPr="00161252" w:rsidRDefault="00000F03" w:rsidP="00000F03">
      <w:pPr>
        <w:pStyle w:val="p1"/>
        <w:rPr>
          <w:rFonts w:ascii="Times New Roman" w:hAnsi="Times New Roman"/>
          <w:color w:val="000000" w:themeColor="text1"/>
          <w:sz w:val="24"/>
        </w:rPr>
      </w:pPr>
      <w:r w:rsidRPr="00161252">
        <w:rPr>
          <w:rFonts w:ascii="Times New Roman" w:hAnsi="Times New Roman"/>
          <w:color w:val="000000" w:themeColor="text1"/>
          <w:sz w:val="22"/>
          <w:szCs w:val="22"/>
        </w:rPr>
        <w:t xml:space="preserve">The importance of sharing information related to education and outreach is now recognized by most ATCM Parties, Observers and Experts, as illustrated in the ATCM/CEP multi-year strategic work plans. The number of papers submitted to the ATCM on education and outreach </w:t>
      </w:r>
      <w:r w:rsidRPr="00161252">
        <w:rPr>
          <w:rFonts w:ascii="Times New Roman" w:hAnsi="Times New Roman"/>
          <w:color w:val="000000" w:themeColor="text1"/>
          <w:sz w:val="22"/>
          <w:szCs w:val="22"/>
        </w:rPr>
        <w:lastRenderedPageBreak/>
        <w:t>has greatly increased, particularly in recent years, due to the increased priority given to these issues by Parties and by the contribution of the ATCM ICG on Education and Outreach.</w:t>
      </w:r>
    </w:p>
    <w:p w14:paraId="0FFEB5F2" w14:textId="77777777" w:rsidR="00000F03" w:rsidRDefault="00000F03" w:rsidP="00000F03">
      <w:pPr>
        <w:pStyle w:val="p1"/>
        <w:rPr>
          <w:rFonts w:ascii="Times New Roman" w:hAnsi="Times New Roman"/>
          <w:b/>
          <w:i/>
          <w:color w:val="000000"/>
          <w:sz w:val="22"/>
          <w:szCs w:val="22"/>
        </w:rPr>
      </w:pPr>
    </w:p>
    <w:p w14:paraId="3996CDBF" w14:textId="77777777" w:rsidR="00000F03" w:rsidRDefault="00000F03" w:rsidP="00000F03">
      <w:pPr>
        <w:pStyle w:val="p1"/>
        <w:rPr>
          <w:rFonts w:ascii="Times New Roman" w:hAnsi="Times New Roman"/>
          <w:b/>
          <w:i/>
          <w:color w:val="000000"/>
          <w:sz w:val="22"/>
          <w:szCs w:val="22"/>
        </w:rPr>
      </w:pPr>
    </w:p>
    <w:p w14:paraId="695FE124" w14:textId="77777777" w:rsidR="00000F03" w:rsidRDefault="00000F03" w:rsidP="00000F03">
      <w:pPr>
        <w:pStyle w:val="p1"/>
        <w:rPr>
          <w:rFonts w:ascii="Times New Roman" w:hAnsi="Times New Roman"/>
          <w:b/>
          <w:i/>
          <w:color w:val="000000"/>
          <w:sz w:val="22"/>
          <w:szCs w:val="22"/>
        </w:rPr>
      </w:pPr>
    </w:p>
    <w:p w14:paraId="1E4D0A3B" w14:textId="77777777" w:rsidR="00000F03" w:rsidRDefault="00000F03" w:rsidP="00000F03">
      <w:pPr>
        <w:pStyle w:val="p1"/>
        <w:rPr>
          <w:rFonts w:ascii="Times New Roman" w:hAnsi="Times New Roman"/>
          <w:b/>
          <w:i/>
          <w:color w:val="000000"/>
          <w:sz w:val="22"/>
          <w:szCs w:val="22"/>
        </w:rPr>
      </w:pPr>
    </w:p>
    <w:p w14:paraId="0C8E3F58" w14:textId="77777777" w:rsidR="00000F03" w:rsidRDefault="00000F03" w:rsidP="00000F03">
      <w:pPr>
        <w:pStyle w:val="p1"/>
        <w:rPr>
          <w:rFonts w:ascii="Times New Roman" w:hAnsi="Times New Roman"/>
          <w:b/>
          <w:i/>
          <w:color w:val="000000"/>
          <w:sz w:val="22"/>
          <w:szCs w:val="22"/>
        </w:rPr>
      </w:pPr>
    </w:p>
    <w:p w14:paraId="4820D881" w14:textId="77777777" w:rsidR="00000F03" w:rsidRDefault="00000F03" w:rsidP="00000F03">
      <w:pPr>
        <w:pStyle w:val="p1"/>
        <w:rPr>
          <w:rFonts w:ascii="Times New Roman" w:hAnsi="Times New Roman"/>
          <w:b/>
          <w:i/>
          <w:color w:val="000000"/>
          <w:sz w:val="22"/>
          <w:szCs w:val="22"/>
        </w:rPr>
      </w:pPr>
    </w:p>
    <w:p w14:paraId="2F1E95EB" w14:textId="77777777" w:rsidR="00000F03" w:rsidRDefault="00000F03" w:rsidP="00000F03">
      <w:pPr>
        <w:pStyle w:val="p1"/>
        <w:rPr>
          <w:rFonts w:ascii="Times New Roman" w:hAnsi="Times New Roman"/>
          <w:b/>
          <w:i/>
          <w:color w:val="000000"/>
          <w:sz w:val="22"/>
          <w:szCs w:val="22"/>
        </w:rPr>
      </w:pPr>
    </w:p>
    <w:p w14:paraId="436A3608" w14:textId="77777777" w:rsidR="00000F03" w:rsidRDefault="00000F03" w:rsidP="00000F03">
      <w:pPr>
        <w:pStyle w:val="p1"/>
        <w:rPr>
          <w:rFonts w:ascii="Times New Roman" w:hAnsi="Times New Roman"/>
          <w:b/>
          <w:i/>
          <w:color w:val="000000"/>
          <w:sz w:val="22"/>
          <w:szCs w:val="22"/>
        </w:rPr>
      </w:pPr>
    </w:p>
    <w:p w14:paraId="5CA7ACB1" w14:textId="77777777" w:rsidR="00000F03" w:rsidRDefault="00000F03" w:rsidP="00000F03">
      <w:pPr>
        <w:pStyle w:val="p1"/>
        <w:rPr>
          <w:rFonts w:ascii="Times New Roman" w:hAnsi="Times New Roman"/>
          <w:b/>
          <w:i/>
          <w:color w:val="000000"/>
          <w:sz w:val="22"/>
          <w:szCs w:val="22"/>
        </w:rPr>
      </w:pPr>
    </w:p>
    <w:p w14:paraId="2798EFB3" w14:textId="77777777" w:rsidR="00000F03" w:rsidRPr="00016BF5" w:rsidRDefault="00000F03" w:rsidP="00000F03">
      <w:pPr>
        <w:pStyle w:val="p1"/>
        <w:rPr>
          <w:rFonts w:ascii="Times New Roman" w:hAnsi="Times New Roman"/>
          <w:i/>
          <w:color w:val="000000"/>
          <w:sz w:val="22"/>
          <w:szCs w:val="22"/>
        </w:rPr>
      </w:pPr>
      <w:r>
        <w:rPr>
          <w:rFonts w:ascii="Times New Roman" w:hAnsi="Times New Roman"/>
          <w:b/>
          <w:i/>
          <w:color w:val="000000"/>
          <w:sz w:val="22"/>
          <w:szCs w:val="22"/>
        </w:rPr>
        <w:t>Table</w:t>
      </w:r>
      <w:r w:rsidRPr="000B3903">
        <w:rPr>
          <w:rFonts w:ascii="Times New Roman" w:hAnsi="Times New Roman"/>
          <w:b/>
          <w:i/>
          <w:color w:val="000000"/>
          <w:sz w:val="22"/>
          <w:szCs w:val="22"/>
        </w:rPr>
        <w:t xml:space="preserve"> 1. </w:t>
      </w:r>
      <w:r w:rsidRPr="003D3A64">
        <w:rPr>
          <w:rFonts w:ascii="Times New Roman" w:hAnsi="Times New Roman"/>
          <w:bCs/>
          <w:i/>
          <w:color w:val="000000"/>
          <w:sz w:val="22"/>
          <w:szCs w:val="22"/>
        </w:rPr>
        <w:t xml:space="preserve">Percentage of the </w:t>
      </w:r>
      <w:r>
        <w:rPr>
          <w:rFonts w:ascii="Times New Roman" w:hAnsi="Times New Roman"/>
          <w:bCs/>
          <w:i/>
          <w:color w:val="000000"/>
          <w:sz w:val="22"/>
          <w:szCs w:val="22"/>
        </w:rPr>
        <w:t xml:space="preserve">total number </w:t>
      </w:r>
      <w:r w:rsidRPr="003D3A64">
        <w:rPr>
          <w:rFonts w:ascii="Times New Roman" w:hAnsi="Times New Roman"/>
          <w:bCs/>
          <w:i/>
          <w:color w:val="000000"/>
          <w:sz w:val="22"/>
          <w:szCs w:val="22"/>
        </w:rPr>
        <w:t>of ATCM papers</w:t>
      </w:r>
      <w:r>
        <w:rPr>
          <w:rFonts w:ascii="Times New Roman" w:hAnsi="Times New Roman"/>
          <w:i/>
          <w:color w:val="000000"/>
          <w:sz w:val="22"/>
          <w:szCs w:val="22"/>
        </w:rPr>
        <w:t xml:space="preserve"> </w:t>
      </w:r>
      <w:r w:rsidRPr="000B3903">
        <w:rPr>
          <w:rFonts w:ascii="Times New Roman" w:hAnsi="Times New Roman"/>
          <w:i/>
          <w:color w:val="000000"/>
          <w:sz w:val="22"/>
          <w:szCs w:val="22"/>
        </w:rPr>
        <w:t xml:space="preserve">submitted to the Antarctic Treaty Consultative </w:t>
      </w:r>
      <w:r w:rsidRPr="00016BF5">
        <w:rPr>
          <w:rFonts w:ascii="Times New Roman" w:hAnsi="Times New Roman"/>
          <w:i/>
          <w:color w:val="000000"/>
          <w:sz w:val="22"/>
          <w:szCs w:val="22"/>
        </w:rPr>
        <w:t>Meetings between 1961 and 2022 (n=200) that mentioned a range of topics targeting determined audiences.</w:t>
      </w:r>
    </w:p>
    <w:tbl>
      <w:tblPr>
        <w:tblStyle w:val="Tablaconcuadrcula"/>
        <w:tblpPr w:leftFromText="180" w:rightFromText="180" w:vertAnchor="text" w:horzAnchor="margin" w:tblpX="-15" w:tblpY="96"/>
        <w:tblW w:w="9634" w:type="dxa"/>
        <w:tblLook w:val="04A0" w:firstRow="1" w:lastRow="0" w:firstColumn="1" w:lastColumn="0" w:noHBand="0" w:noVBand="1"/>
      </w:tblPr>
      <w:tblGrid>
        <w:gridCol w:w="1194"/>
        <w:gridCol w:w="1327"/>
        <w:gridCol w:w="2201"/>
        <w:gridCol w:w="916"/>
        <w:gridCol w:w="1178"/>
        <w:gridCol w:w="1465"/>
        <w:gridCol w:w="1353"/>
      </w:tblGrid>
      <w:tr w:rsidR="00000F03" w:rsidRPr="00016BF5" w14:paraId="069F6D3B" w14:textId="77777777" w:rsidTr="004808B6">
        <w:trPr>
          <w:trHeight w:val="269"/>
        </w:trPr>
        <w:tc>
          <w:tcPr>
            <w:tcW w:w="1194" w:type="dxa"/>
            <w:shd w:val="clear" w:color="auto" w:fill="D9D9D9" w:themeFill="background1" w:themeFillShade="D9"/>
          </w:tcPr>
          <w:p w14:paraId="313060FF" w14:textId="77777777" w:rsidR="00000F03" w:rsidRPr="00DF2A4E" w:rsidRDefault="00000F03" w:rsidP="004808B6">
            <w:pPr>
              <w:pStyle w:val="p1"/>
              <w:rPr>
                <w:rFonts w:ascii="Times New Roman" w:hAnsi="Times New Roman"/>
                <w:iCs/>
                <w:color w:val="000000"/>
                <w:sz w:val="22"/>
                <w:szCs w:val="22"/>
              </w:rPr>
            </w:pPr>
            <w:r w:rsidRPr="00DF2A4E">
              <w:rPr>
                <w:rFonts w:ascii="Times New Roman" w:hAnsi="Times New Roman"/>
                <w:iCs/>
                <w:color w:val="000000"/>
                <w:sz w:val="22"/>
                <w:szCs w:val="22"/>
              </w:rPr>
              <w:t>Period</w:t>
            </w:r>
          </w:p>
        </w:tc>
        <w:tc>
          <w:tcPr>
            <w:tcW w:w="8440" w:type="dxa"/>
            <w:gridSpan w:val="6"/>
            <w:shd w:val="clear" w:color="auto" w:fill="D9D9D9" w:themeFill="background1" w:themeFillShade="D9"/>
          </w:tcPr>
          <w:p w14:paraId="2805EE9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Topics</w:t>
            </w:r>
          </w:p>
        </w:tc>
      </w:tr>
      <w:tr w:rsidR="00000F03" w:rsidRPr="00016BF5" w14:paraId="1958D20E" w14:textId="77777777" w:rsidTr="004808B6">
        <w:trPr>
          <w:trHeight w:val="569"/>
        </w:trPr>
        <w:tc>
          <w:tcPr>
            <w:tcW w:w="1194" w:type="dxa"/>
          </w:tcPr>
          <w:p w14:paraId="2D2E1766" w14:textId="77777777" w:rsidR="00000F03" w:rsidRPr="00DF2A4E" w:rsidRDefault="00000F03" w:rsidP="004808B6">
            <w:pPr>
              <w:pStyle w:val="p1"/>
              <w:rPr>
                <w:rFonts w:ascii="Times New Roman" w:hAnsi="Times New Roman"/>
                <w:iCs/>
                <w:color w:val="000000"/>
                <w:sz w:val="22"/>
                <w:szCs w:val="22"/>
              </w:rPr>
            </w:pPr>
          </w:p>
        </w:tc>
        <w:tc>
          <w:tcPr>
            <w:tcW w:w="1373" w:type="dxa"/>
          </w:tcPr>
          <w:p w14:paraId="5C4468E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Cooperation</w:t>
            </w:r>
          </w:p>
        </w:tc>
        <w:tc>
          <w:tcPr>
            <w:tcW w:w="2285" w:type="dxa"/>
          </w:tcPr>
          <w:p w14:paraId="4779B013"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Wildlife/Biodiversity/</w:t>
            </w:r>
          </w:p>
          <w:p w14:paraId="2264A54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Environment</w:t>
            </w:r>
          </w:p>
        </w:tc>
        <w:tc>
          <w:tcPr>
            <w:tcW w:w="945" w:type="dxa"/>
          </w:tcPr>
          <w:p w14:paraId="0A25E04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Science</w:t>
            </w:r>
          </w:p>
        </w:tc>
        <w:tc>
          <w:tcPr>
            <w:tcW w:w="1218" w:type="dxa"/>
          </w:tcPr>
          <w:p w14:paraId="6A1AAA55"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Climate Change</w:t>
            </w:r>
          </w:p>
        </w:tc>
        <w:tc>
          <w:tcPr>
            <w:tcW w:w="1518" w:type="dxa"/>
          </w:tcPr>
          <w:p w14:paraId="1C058035"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ATS/Protocol legislation</w:t>
            </w:r>
          </w:p>
        </w:tc>
        <w:tc>
          <w:tcPr>
            <w:tcW w:w="1101" w:type="dxa"/>
          </w:tcPr>
          <w:p w14:paraId="1A14385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Equity, Diversity</w:t>
            </w:r>
          </w:p>
          <w:p w14:paraId="14C309B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and inclusion</w:t>
            </w:r>
          </w:p>
        </w:tc>
      </w:tr>
      <w:tr w:rsidR="00000F03" w:rsidRPr="00016BF5" w14:paraId="10BF370E" w14:textId="77777777" w:rsidTr="004808B6">
        <w:trPr>
          <w:trHeight w:val="269"/>
        </w:trPr>
        <w:tc>
          <w:tcPr>
            <w:tcW w:w="1194" w:type="dxa"/>
          </w:tcPr>
          <w:p w14:paraId="7F7F2060" w14:textId="77777777" w:rsidR="00000F03" w:rsidRPr="00DF2A4E" w:rsidRDefault="00000F03" w:rsidP="004808B6">
            <w:pPr>
              <w:pStyle w:val="p1"/>
              <w:rPr>
                <w:rFonts w:ascii="Times New Roman" w:hAnsi="Times New Roman"/>
                <w:iCs/>
                <w:color w:val="000000"/>
                <w:sz w:val="22"/>
                <w:szCs w:val="22"/>
              </w:rPr>
            </w:pPr>
            <w:r w:rsidRPr="00DF2A4E">
              <w:rPr>
                <w:rFonts w:ascii="Times New Roman" w:hAnsi="Times New Roman"/>
                <w:iCs/>
                <w:color w:val="000000"/>
                <w:sz w:val="22"/>
                <w:szCs w:val="22"/>
              </w:rPr>
              <w:t>Overall</w:t>
            </w:r>
          </w:p>
        </w:tc>
        <w:tc>
          <w:tcPr>
            <w:tcW w:w="1373" w:type="dxa"/>
          </w:tcPr>
          <w:p w14:paraId="4B09F30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51.5</w:t>
            </w:r>
          </w:p>
        </w:tc>
        <w:tc>
          <w:tcPr>
            <w:tcW w:w="2285" w:type="dxa"/>
          </w:tcPr>
          <w:p w14:paraId="57BDC3B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74.0</w:t>
            </w:r>
          </w:p>
        </w:tc>
        <w:tc>
          <w:tcPr>
            <w:tcW w:w="945" w:type="dxa"/>
          </w:tcPr>
          <w:p w14:paraId="260916D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75.5</w:t>
            </w:r>
          </w:p>
        </w:tc>
        <w:tc>
          <w:tcPr>
            <w:tcW w:w="1218" w:type="dxa"/>
          </w:tcPr>
          <w:p w14:paraId="45BE497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31.0</w:t>
            </w:r>
          </w:p>
        </w:tc>
        <w:tc>
          <w:tcPr>
            <w:tcW w:w="1518" w:type="dxa"/>
          </w:tcPr>
          <w:p w14:paraId="30162544"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57.0</w:t>
            </w:r>
          </w:p>
        </w:tc>
        <w:tc>
          <w:tcPr>
            <w:tcW w:w="1101" w:type="dxa"/>
          </w:tcPr>
          <w:p w14:paraId="5CA067E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2.0</w:t>
            </w:r>
          </w:p>
        </w:tc>
      </w:tr>
      <w:tr w:rsidR="00000F03" w:rsidRPr="00016BF5" w14:paraId="6FBBC25B" w14:textId="77777777" w:rsidTr="004808B6">
        <w:trPr>
          <w:trHeight w:val="285"/>
        </w:trPr>
        <w:tc>
          <w:tcPr>
            <w:tcW w:w="1194" w:type="dxa"/>
          </w:tcPr>
          <w:p w14:paraId="12AFCCA9" w14:textId="77777777" w:rsidR="00000F03" w:rsidRPr="00DF2A4E" w:rsidRDefault="00000F03" w:rsidP="004808B6">
            <w:pPr>
              <w:pStyle w:val="p1"/>
              <w:jc w:val="both"/>
              <w:rPr>
                <w:rFonts w:ascii="Times New Roman" w:hAnsi="Times New Roman"/>
                <w:iCs/>
                <w:color w:val="000000"/>
                <w:sz w:val="22"/>
                <w:szCs w:val="22"/>
              </w:rPr>
            </w:pPr>
            <w:r w:rsidRPr="00DF2A4E">
              <w:rPr>
                <w:rFonts w:ascii="Times New Roman" w:hAnsi="Times New Roman"/>
                <w:iCs/>
                <w:color w:val="000000"/>
                <w:sz w:val="22"/>
                <w:szCs w:val="22"/>
              </w:rPr>
              <w:t>1961-2014</w:t>
            </w:r>
          </w:p>
        </w:tc>
        <w:tc>
          <w:tcPr>
            <w:tcW w:w="1373" w:type="dxa"/>
          </w:tcPr>
          <w:p w14:paraId="7D4B283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21.5</w:t>
            </w:r>
          </w:p>
        </w:tc>
        <w:tc>
          <w:tcPr>
            <w:tcW w:w="2285" w:type="dxa"/>
          </w:tcPr>
          <w:p w14:paraId="4751AD8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37.5</w:t>
            </w:r>
          </w:p>
        </w:tc>
        <w:tc>
          <w:tcPr>
            <w:tcW w:w="945" w:type="dxa"/>
          </w:tcPr>
          <w:p w14:paraId="2379EF47"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29.5</w:t>
            </w:r>
          </w:p>
        </w:tc>
        <w:tc>
          <w:tcPr>
            <w:tcW w:w="1218" w:type="dxa"/>
          </w:tcPr>
          <w:p w14:paraId="17DD403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11.5</w:t>
            </w:r>
          </w:p>
        </w:tc>
        <w:tc>
          <w:tcPr>
            <w:tcW w:w="1518" w:type="dxa"/>
          </w:tcPr>
          <w:p w14:paraId="1DF5A4D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23.9</w:t>
            </w:r>
          </w:p>
        </w:tc>
        <w:tc>
          <w:tcPr>
            <w:tcW w:w="1101" w:type="dxa"/>
          </w:tcPr>
          <w:p w14:paraId="73C1E003"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0.5</w:t>
            </w:r>
          </w:p>
        </w:tc>
      </w:tr>
      <w:tr w:rsidR="00000F03" w:rsidRPr="00016BF5" w14:paraId="7EF2CD8F" w14:textId="77777777" w:rsidTr="004808B6">
        <w:trPr>
          <w:trHeight w:val="269"/>
        </w:trPr>
        <w:tc>
          <w:tcPr>
            <w:tcW w:w="1194" w:type="dxa"/>
          </w:tcPr>
          <w:p w14:paraId="111C1339" w14:textId="77777777" w:rsidR="00000F03" w:rsidRPr="00DF2A4E" w:rsidRDefault="00000F03" w:rsidP="004808B6">
            <w:pPr>
              <w:pStyle w:val="p1"/>
              <w:jc w:val="both"/>
              <w:rPr>
                <w:rFonts w:ascii="Times New Roman" w:hAnsi="Times New Roman"/>
                <w:iCs/>
                <w:color w:val="000000"/>
                <w:sz w:val="22"/>
                <w:szCs w:val="22"/>
              </w:rPr>
            </w:pPr>
            <w:r w:rsidRPr="00DF2A4E">
              <w:rPr>
                <w:rFonts w:ascii="Times New Roman" w:hAnsi="Times New Roman"/>
                <w:iCs/>
                <w:color w:val="000000"/>
                <w:sz w:val="22"/>
                <w:szCs w:val="22"/>
              </w:rPr>
              <w:t>2015-2022</w:t>
            </w:r>
          </w:p>
        </w:tc>
        <w:tc>
          <w:tcPr>
            <w:tcW w:w="1373" w:type="dxa"/>
          </w:tcPr>
          <w:p w14:paraId="7D1A366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30.0</w:t>
            </w:r>
          </w:p>
        </w:tc>
        <w:tc>
          <w:tcPr>
            <w:tcW w:w="2285" w:type="dxa"/>
          </w:tcPr>
          <w:p w14:paraId="71A6700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36.5</w:t>
            </w:r>
          </w:p>
        </w:tc>
        <w:tc>
          <w:tcPr>
            <w:tcW w:w="945" w:type="dxa"/>
          </w:tcPr>
          <w:p w14:paraId="192394A2"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46.0</w:t>
            </w:r>
          </w:p>
        </w:tc>
        <w:tc>
          <w:tcPr>
            <w:tcW w:w="1218" w:type="dxa"/>
          </w:tcPr>
          <w:p w14:paraId="0509BC3C"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19.5</w:t>
            </w:r>
          </w:p>
        </w:tc>
        <w:tc>
          <w:tcPr>
            <w:tcW w:w="1518" w:type="dxa"/>
          </w:tcPr>
          <w:p w14:paraId="6186F1CF"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34.0</w:t>
            </w:r>
          </w:p>
        </w:tc>
        <w:tc>
          <w:tcPr>
            <w:tcW w:w="1101" w:type="dxa"/>
          </w:tcPr>
          <w:p w14:paraId="10F76BE4"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1.5</w:t>
            </w:r>
          </w:p>
        </w:tc>
      </w:tr>
      <w:tr w:rsidR="00000F03" w:rsidRPr="00016BF5" w14:paraId="08ED42B3" w14:textId="77777777" w:rsidTr="004808B6">
        <w:trPr>
          <w:trHeight w:val="269"/>
        </w:trPr>
        <w:tc>
          <w:tcPr>
            <w:tcW w:w="1194" w:type="dxa"/>
          </w:tcPr>
          <w:p w14:paraId="43C4EEF2"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b/>
                <w:bCs/>
                <w:iCs/>
                <w:color w:val="000000"/>
                <w:sz w:val="22"/>
                <w:szCs w:val="22"/>
              </w:rPr>
              <w:t>Difference</w:t>
            </w:r>
          </w:p>
        </w:tc>
        <w:tc>
          <w:tcPr>
            <w:tcW w:w="1373" w:type="dxa"/>
          </w:tcPr>
          <w:p w14:paraId="750F8776"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+ 8.5</w:t>
            </w:r>
          </w:p>
        </w:tc>
        <w:tc>
          <w:tcPr>
            <w:tcW w:w="2285" w:type="dxa"/>
          </w:tcPr>
          <w:p w14:paraId="6FCCB9FE"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-1.0</w:t>
            </w:r>
          </w:p>
        </w:tc>
        <w:tc>
          <w:tcPr>
            <w:tcW w:w="945" w:type="dxa"/>
          </w:tcPr>
          <w:p w14:paraId="1C08367E"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+16.5</w:t>
            </w:r>
          </w:p>
        </w:tc>
        <w:tc>
          <w:tcPr>
            <w:tcW w:w="1218" w:type="dxa"/>
          </w:tcPr>
          <w:p w14:paraId="021F44F0"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+8.0</w:t>
            </w:r>
          </w:p>
        </w:tc>
        <w:tc>
          <w:tcPr>
            <w:tcW w:w="1518" w:type="dxa"/>
          </w:tcPr>
          <w:p w14:paraId="04A45168"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+11.0</w:t>
            </w:r>
          </w:p>
        </w:tc>
        <w:tc>
          <w:tcPr>
            <w:tcW w:w="1101" w:type="dxa"/>
          </w:tcPr>
          <w:p w14:paraId="2ED3A853"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+1.0</w:t>
            </w:r>
          </w:p>
        </w:tc>
      </w:tr>
      <w:tr w:rsidR="00000F03" w:rsidRPr="00016BF5" w14:paraId="03C79F69" w14:textId="77777777" w:rsidTr="004808B6">
        <w:trPr>
          <w:trHeight w:val="269"/>
        </w:trPr>
        <w:tc>
          <w:tcPr>
            <w:tcW w:w="1194" w:type="dxa"/>
            <w:shd w:val="clear" w:color="auto" w:fill="D9D9D9" w:themeFill="background1" w:themeFillShade="D9"/>
          </w:tcPr>
          <w:p w14:paraId="11248D5B" w14:textId="77777777" w:rsidR="00000F03" w:rsidRPr="00DF2A4E" w:rsidRDefault="00000F03" w:rsidP="004808B6">
            <w:pPr>
              <w:pStyle w:val="p1"/>
              <w:rPr>
                <w:rFonts w:ascii="Times New Roman" w:hAnsi="Times New Roman"/>
                <w:iCs/>
                <w:color w:val="000000"/>
                <w:sz w:val="22"/>
                <w:szCs w:val="22"/>
              </w:rPr>
            </w:pPr>
          </w:p>
        </w:tc>
        <w:tc>
          <w:tcPr>
            <w:tcW w:w="8440" w:type="dxa"/>
            <w:gridSpan w:val="6"/>
            <w:shd w:val="clear" w:color="auto" w:fill="D9D9D9" w:themeFill="background1" w:themeFillShade="D9"/>
          </w:tcPr>
          <w:p w14:paraId="424FA05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Target audience</w:t>
            </w:r>
          </w:p>
        </w:tc>
      </w:tr>
      <w:tr w:rsidR="00000F03" w:rsidRPr="00016BF5" w14:paraId="17D89FB3" w14:textId="77777777" w:rsidTr="004808B6">
        <w:trPr>
          <w:trHeight w:val="269"/>
        </w:trPr>
        <w:tc>
          <w:tcPr>
            <w:tcW w:w="1194" w:type="dxa"/>
          </w:tcPr>
          <w:p w14:paraId="1C3B40EF" w14:textId="77777777" w:rsidR="00000F03" w:rsidRPr="00DF2A4E" w:rsidRDefault="00000F03" w:rsidP="004808B6">
            <w:pPr>
              <w:pStyle w:val="p1"/>
              <w:rPr>
                <w:rFonts w:ascii="Times New Roman" w:hAnsi="Times New Roman"/>
                <w:iCs/>
                <w:color w:val="000000"/>
                <w:sz w:val="22"/>
                <w:szCs w:val="22"/>
              </w:rPr>
            </w:pPr>
          </w:p>
        </w:tc>
        <w:tc>
          <w:tcPr>
            <w:tcW w:w="1373" w:type="dxa"/>
          </w:tcPr>
          <w:p w14:paraId="2836D6BC"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Policy makers</w:t>
            </w:r>
          </w:p>
        </w:tc>
        <w:tc>
          <w:tcPr>
            <w:tcW w:w="2285" w:type="dxa"/>
          </w:tcPr>
          <w:p w14:paraId="5AD8AFD4"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Antarctic personnel</w:t>
            </w:r>
          </w:p>
        </w:tc>
        <w:tc>
          <w:tcPr>
            <w:tcW w:w="945" w:type="dxa"/>
          </w:tcPr>
          <w:p w14:paraId="45DE476F"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Artists</w:t>
            </w:r>
          </w:p>
        </w:tc>
        <w:tc>
          <w:tcPr>
            <w:tcW w:w="1218" w:type="dxa"/>
          </w:tcPr>
          <w:p w14:paraId="7B674AF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Journalists</w:t>
            </w:r>
          </w:p>
        </w:tc>
        <w:tc>
          <w:tcPr>
            <w:tcW w:w="1518" w:type="dxa"/>
          </w:tcPr>
          <w:p w14:paraId="44B48156"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Public</w:t>
            </w:r>
          </w:p>
        </w:tc>
        <w:tc>
          <w:tcPr>
            <w:tcW w:w="1101" w:type="dxa"/>
          </w:tcPr>
          <w:p w14:paraId="5BD2875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Schools</w:t>
            </w:r>
          </w:p>
          <w:p w14:paraId="369F49A2"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(incl. Universities)</w:t>
            </w:r>
          </w:p>
        </w:tc>
      </w:tr>
      <w:tr w:rsidR="00000F03" w:rsidRPr="00016BF5" w14:paraId="6DFFC3D2" w14:textId="77777777" w:rsidTr="004808B6">
        <w:trPr>
          <w:trHeight w:val="269"/>
        </w:trPr>
        <w:tc>
          <w:tcPr>
            <w:tcW w:w="1194" w:type="dxa"/>
          </w:tcPr>
          <w:p w14:paraId="6C735351" w14:textId="77777777" w:rsidR="00000F03" w:rsidRPr="00DF2A4E" w:rsidRDefault="00000F03" w:rsidP="004808B6">
            <w:pPr>
              <w:pStyle w:val="p1"/>
              <w:rPr>
                <w:rFonts w:ascii="Times New Roman" w:hAnsi="Times New Roman"/>
                <w:iCs/>
                <w:color w:val="000000"/>
                <w:sz w:val="22"/>
                <w:szCs w:val="22"/>
              </w:rPr>
            </w:pPr>
            <w:r w:rsidRPr="00DF2A4E">
              <w:rPr>
                <w:rFonts w:ascii="Times New Roman" w:hAnsi="Times New Roman"/>
                <w:iCs/>
                <w:color w:val="000000"/>
                <w:sz w:val="22"/>
                <w:szCs w:val="22"/>
              </w:rPr>
              <w:t>Overall</w:t>
            </w:r>
          </w:p>
        </w:tc>
        <w:tc>
          <w:tcPr>
            <w:tcW w:w="1373" w:type="dxa"/>
          </w:tcPr>
          <w:p w14:paraId="1F503A9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23.0</w:t>
            </w:r>
          </w:p>
        </w:tc>
        <w:tc>
          <w:tcPr>
            <w:tcW w:w="2285" w:type="dxa"/>
          </w:tcPr>
          <w:p w14:paraId="63E4AFE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17.5</w:t>
            </w:r>
          </w:p>
        </w:tc>
        <w:tc>
          <w:tcPr>
            <w:tcW w:w="945" w:type="dxa"/>
          </w:tcPr>
          <w:p w14:paraId="573D5D8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18.0</w:t>
            </w:r>
          </w:p>
        </w:tc>
        <w:tc>
          <w:tcPr>
            <w:tcW w:w="1218" w:type="dxa"/>
          </w:tcPr>
          <w:p w14:paraId="683AD73E"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10.5</w:t>
            </w:r>
          </w:p>
        </w:tc>
        <w:tc>
          <w:tcPr>
            <w:tcW w:w="1518" w:type="dxa"/>
          </w:tcPr>
          <w:p w14:paraId="34604A61"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80.0</w:t>
            </w:r>
          </w:p>
        </w:tc>
        <w:tc>
          <w:tcPr>
            <w:tcW w:w="1101" w:type="dxa"/>
          </w:tcPr>
          <w:p w14:paraId="6D123172"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68.5</w:t>
            </w:r>
          </w:p>
        </w:tc>
      </w:tr>
      <w:tr w:rsidR="00000F03" w:rsidRPr="00016BF5" w14:paraId="4C0B6B0A" w14:textId="77777777" w:rsidTr="004808B6">
        <w:trPr>
          <w:trHeight w:val="269"/>
        </w:trPr>
        <w:tc>
          <w:tcPr>
            <w:tcW w:w="1194" w:type="dxa"/>
          </w:tcPr>
          <w:p w14:paraId="08082E3A" w14:textId="77777777" w:rsidR="00000F03" w:rsidRPr="00DF2A4E" w:rsidRDefault="00000F03" w:rsidP="004808B6">
            <w:pPr>
              <w:pStyle w:val="p1"/>
              <w:rPr>
                <w:rFonts w:ascii="Times New Roman" w:hAnsi="Times New Roman"/>
                <w:iCs/>
                <w:color w:val="000000"/>
                <w:sz w:val="22"/>
                <w:szCs w:val="22"/>
              </w:rPr>
            </w:pPr>
            <w:r w:rsidRPr="00DF2A4E">
              <w:rPr>
                <w:rFonts w:ascii="Times New Roman" w:hAnsi="Times New Roman"/>
                <w:iCs/>
                <w:color w:val="000000"/>
                <w:sz w:val="22"/>
                <w:szCs w:val="22"/>
              </w:rPr>
              <w:t>1961-2014</w:t>
            </w:r>
          </w:p>
        </w:tc>
        <w:tc>
          <w:tcPr>
            <w:tcW w:w="1373" w:type="dxa"/>
          </w:tcPr>
          <w:p w14:paraId="3CE21FF1"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12.0</w:t>
            </w:r>
          </w:p>
        </w:tc>
        <w:tc>
          <w:tcPr>
            <w:tcW w:w="2285" w:type="dxa"/>
          </w:tcPr>
          <w:p w14:paraId="49F03538"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12.5</w:t>
            </w:r>
          </w:p>
        </w:tc>
        <w:tc>
          <w:tcPr>
            <w:tcW w:w="945" w:type="dxa"/>
          </w:tcPr>
          <w:p w14:paraId="1F3688E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9.5</w:t>
            </w:r>
          </w:p>
        </w:tc>
        <w:tc>
          <w:tcPr>
            <w:tcW w:w="1218" w:type="dxa"/>
          </w:tcPr>
          <w:p w14:paraId="0A2FAEF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5.0</w:t>
            </w:r>
          </w:p>
        </w:tc>
        <w:tc>
          <w:tcPr>
            <w:tcW w:w="1518" w:type="dxa"/>
          </w:tcPr>
          <w:p w14:paraId="6256E19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34.5</w:t>
            </w:r>
          </w:p>
        </w:tc>
        <w:tc>
          <w:tcPr>
            <w:tcW w:w="1101" w:type="dxa"/>
          </w:tcPr>
          <w:p w14:paraId="3A1829E1"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30.5</w:t>
            </w:r>
          </w:p>
        </w:tc>
      </w:tr>
      <w:tr w:rsidR="00000F03" w:rsidRPr="00016BF5" w14:paraId="39DDDE06" w14:textId="77777777" w:rsidTr="004808B6">
        <w:trPr>
          <w:trHeight w:val="269"/>
        </w:trPr>
        <w:tc>
          <w:tcPr>
            <w:tcW w:w="1194" w:type="dxa"/>
          </w:tcPr>
          <w:p w14:paraId="6D16315A" w14:textId="77777777" w:rsidR="00000F03" w:rsidRPr="00DF2A4E" w:rsidRDefault="00000F03" w:rsidP="004808B6">
            <w:pPr>
              <w:pStyle w:val="p1"/>
              <w:rPr>
                <w:rFonts w:ascii="Times New Roman" w:hAnsi="Times New Roman"/>
                <w:iCs/>
                <w:color w:val="000000"/>
                <w:sz w:val="22"/>
                <w:szCs w:val="22"/>
              </w:rPr>
            </w:pPr>
            <w:r w:rsidRPr="00DF2A4E">
              <w:rPr>
                <w:rFonts w:ascii="Times New Roman" w:hAnsi="Times New Roman"/>
                <w:iCs/>
                <w:color w:val="000000"/>
                <w:sz w:val="22"/>
                <w:szCs w:val="22"/>
              </w:rPr>
              <w:t>2015-2022</w:t>
            </w:r>
          </w:p>
        </w:tc>
        <w:tc>
          <w:tcPr>
            <w:tcW w:w="1373" w:type="dxa"/>
          </w:tcPr>
          <w:p w14:paraId="077037E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11.0</w:t>
            </w:r>
          </w:p>
        </w:tc>
        <w:tc>
          <w:tcPr>
            <w:tcW w:w="2285" w:type="dxa"/>
          </w:tcPr>
          <w:p w14:paraId="771DED56"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5.0</w:t>
            </w:r>
          </w:p>
        </w:tc>
        <w:tc>
          <w:tcPr>
            <w:tcW w:w="945" w:type="dxa"/>
          </w:tcPr>
          <w:p w14:paraId="5226FA92"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8.5</w:t>
            </w:r>
          </w:p>
        </w:tc>
        <w:tc>
          <w:tcPr>
            <w:tcW w:w="1218" w:type="dxa"/>
          </w:tcPr>
          <w:p w14:paraId="3C679678"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5.5</w:t>
            </w:r>
          </w:p>
        </w:tc>
        <w:tc>
          <w:tcPr>
            <w:tcW w:w="1518" w:type="dxa"/>
          </w:tcPr>
          <w:p w14:paraId="6D0454DB"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45.5</w:t>
            </w:r>
          </w:p>
        </w:tc>
        <w:tc>
          <w:tcPr>
            <w:tcW w:w="1101" w:type="dxa"/>
          </w:tcPr>
          <w:p w14:paraId="5A38388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38.0</w:t>
            </w:r>
          </w:p>
        </w:tc>
      </w:tr>
      <w:tr w:rsidR="00000F03" w:rsidRPr="00016BF5" w14:paraId="12B34127" w14:textId="77777777" w:rsidTr="004808B6">
        <w:trPr>
          <w:trHeight w:val="269"/>
        </w:trPr>
        <w:tc>
          <w:tcPr>
            <w:tcW w:w="1194" w:type="dxa"/>
          </w:tcPr>
          <w:p w14:paraId="0F9B687F"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b/>
                <w:bCs/>
                <w:iCs/>
                <w:color w:val="000000"/>
                <w:sz w:val="22"/>
                <w:szCs w:val="22"/>
              </w:rPr>
              <w:t>Difference</w:t>
            </w:r>
          </w:p>
        </w:tc>
        <w:tc>
          <w:tcPr>
            <w:tcW w:w="1373" w:type="dxa"/>
          </w:tcPr>
          <w:p w14:paraId="58047B38"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-1.0</w:t>
            </w:r>
          </w:p>
        </w:tc>
        <w:tc>
          <w:tcPr>
            <w:tcW w:w="2285" w:type="dxa"/>
          </w:tcPr>
          <w:p w14:paraId="3EF7FE31"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-7.5</w:t>
            </w:r>
          </w:p>
        </w:tc>
        <w:tc>
          <w:tcPr>
            <w:tcW w:w="945" w:type="dxa"/>
          </w:tcPr>
          <w:p w14:paraId="4ADF7864"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-1.0</w:t>
            </w:r>
          </w:p>
        </w:tc>
        <w:tc>
          <w:tcPr>
            <w:tcW w:w="1218" w:type="dxa"/>
          </w:tcPr>
          <w:p w14:paraId="7A1A5EF4"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+0.5</w:t>
            </w:r>
          </w:p>
        </w:tc>
        <w:tc>
          <w:tcPr>
            <w:tcW w:w="1518" w:type="dxa"/>
          </w:tcPr>
          <w:p w14:paraId="60B9B38B"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+11.0</w:t>
            </w:r>
          </w:p>
        </w:tc>
        <w:tc>
          <w:tcPr>
            <w:tcW w:w="1101" w:type="dxa"/>
          </w:tcPr>
          <w:p w14:paraId="4F29D3E8"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7.5</w:t>
            </w:r>
          </w:p>
        </w:tc>
      </w:tr>
      <w:tr w:rsidR="00000F03" w:rsidRPr="00016BF5" w14:paraId="26D5681F" w14:textId="77777777" w:rsidTr="004808B6">
        <w:trPr>
          <w:trHeight w:val="269"/>
        </w:trPr>
        <w:tc>
          <w:tcPr>
            <w:tcW w:w="1194" w:type="dxa"/>
          </w:tcPr>
          <w:p w14:paraId="01D72ECB" w14:textId="77777777" w:rsidR="00000F03" w:rsidRPr="00DF2A4E" w:rsidRDefault="00000F03" w:rsidP="004808B6">
            <w:pPr>
              <w:pStyle w:val="p1"/>
              <w:rPr>
                <w:rFonts w:ascii="Times New Roman" w:hAnsi="Times New Roman"/>
                <w:b/>
                <w:bCs/>
                <w:iCs/>
                <w:color w:val="000000"/>
                <w:sz w:val="22"/>
                <w:szCs w:val="22"/>
              </w:rPr>
            </w:pPr>
          </w:p>
        </w:tc>
        <w:tc>
          <w:tcPr>
            <w:tcW w:w="1373" w:type="dxa"/>
          </w:tcPr>
          <w:p w14:paraId="372AC902" w14:textId="77777777" w:rsidR="00000F03" w:rsidRPr="00DF2A4E" w:rsidRDefault="00000F03" w:rsidP="004808B6">
            <w:pPr>
              <w:pStyle w:val="p1"/>
              <w:jc w:val="center"/>
              <w:rPr>
                <w:rFonts w:ascii="Times New Roman" w:hAnsi="Times New Roman"/>
                <w:b/>
                <w:bCs/>
                <w:iCs/>
                <w:color w:val="000000"/>
                <w:sz w:val="22"/>
                <w:szCs w:val="22"/>
              </w:rPr>
            </w:pPr>
          </w:p>
        </w:tc>
        <w:tc>
          <w:tcPr>
            <w:tcW w:w="2285" w:type="dxa"/>
          </w:tcPr>
          <w:p w14:paraId="7F6E3275" w14:textId="77777777" w:rsidR="00000F03" w:rsidRPr="00DF2A4E" w:rsidRDefault="00000F03" w:rsidP="004808B6">
            <w:pPr>
              <w:pStyle w:val="p1"/>
              <w:jc w:val="center"/>
              <w:rPr>
                <w:rFonts w:ascii="Times New Roman" w:hAnsi="Times New Roman"/>
                <w:b/>
                <w:bCs/>
                <w:iCs/>
                <w:color w:val="000000"/>
                <w:sz w:val="22"/>
                <w:szCs w:val="22"/>
              </w:rPr>
            </w:pPr>
          </w:p>
        </w:tc>
        <w:tc>
          <w:tcPr>
            <w:tcW w:w="945" w:type="dxa"/>
          </w:tcPr>
          <w:p w14:paraId="4192B674" w14:textId="77777777" w:rsidR="00000F03" w:rsidRPr="00DF2A4E" w:rsidRDefault="00000F03" w:rsidP="004808B6">
            <w:pPr>
              <w:pStyle w:val="p1"/>
              <w:jc w:val="center"/>
              <w:rPr>
                <w:rFonts w:ascii="Times New Roman" w:hAnsi="Times New Roman"/>
                <w:b/>
                <w:bCs/>
                <w:iCs/>
                <w:color w:val="000000"/>
                <w:sz w:val="22"/>
                <w:szCs w:val="22"/>
              </w:rPr>
            </w:pPr>
          </w:p>
        </w:tc>
        <w:tc>
          <w:tcPr>
            <w:tcW w:w="1218" w:type="dxa"/>
          </w:tcPr>
          <w:p w14:paraId="346E5509" w14:textId="77777777" w:rsidR="00000F03" w:rsidRPr="00DF2A4E" w:rsidRDefault="00000F03" w:rsidP="004808B6">
            <w:pPr>
              <w:pStyle w:val="p1"/>
              <w:jc w:val="center"/>
              <w:rPr>
                <w:rFonts w:ascii="Times New Roman" w:hAnsi="Times New Roman"/>
                <w:b/>
                <w:bCs/>
                <w:iCs/>
                <w:color w:val="000000"/>
                <w:sz w:val="22"/>
                <w:szCs w:val="22"/>
              </w:rPr>
            </w:pPr>
          </w:p>
        </w:tc>
        <w:tc>
          <w:tcPr>
            <w:tcW w:w="1518" w:type="dxa"/>
          </w:tcPr>
          <w:p w14:paraId="07C10C65" w14:textId="77777777" w:rsidR="00000F03" w:rsidRPr="00DF2A4E" w:rsidRDefault="00000F03" w:rsidP="004808B6">
            <w:pPr>
              <w:pStyle w:val="p1"/>
              <w:jc w:val="center"/>
              <w:rPr>
                <w:rFonts w:ascii="Times New Roman" w:hAnsi="Times New Roman"/>
                <w:b/>
                <w:bCs/>
                <w:iCs/>
                <w:color w:val="000000"/>
                <w:sz w:val="22"/>
                <w:szCs w:val="22"/>
              </w:rPr>
            </w:pPr>
          </w:p>
        </w:tc>
        <w:tc>
          <w:tcPr>
            <w:tcW w:w="1101" w:type="dxa"/>
          </w:tcPr>
          <w:p w14:paraId="1405352B" w14:textId="77777777" w:rsidR="00000F03" w:rsidRPr="00DF2A4E" w:rsidRDefault="00000F03" w:rsidP="004808B6">
            <w:pPr>
              <w:pStyle w:val="p1"/>
              <w:jc w:val="center"/>
              <w:rPr>
                <w:rFonts w:ascii="Times New Roman" w:hAnsi="Times New Roman"/>
                <w:b/>
                <w:bCs/>
                <w:iCs/>
                <w:color w:val="000000"/>
                <w:sz w:val="22"/>
                <w:szCs w:val="22"/>
              </w:rPr>
            </w:pPr>
          </w:p>
        </w:tc>
      </w:tr>
      <w:tr w:rsidR="00000F03" w:rsidRPr="00016BF5" w14:paraId="0B376F13" w14:textId="77777777" w:rsidTr="004808B6">
        <w:trPr>
          <w:trHeight w:val="269"/>
        </w:trPr>
        <w:tc>
          <w:tcPr>
            <w:tcW w:w="1194" w:type="dxa"/>
            <w:shd w:val="clear" w:color="auto" w:fill="D9D9D9" w:themeFill="background1" w:themeFillShade="D9"/>
          </w:tcPr>
          <w:p w14:paraId="64083B43" w14:textId="77777777" w:rsidR="00000F03" w:rsidRPr="00DF2A4E" w:rsidRDefault="00000F03" w:rsidP="004808B6">
            <w:pPr>
              <w:pStyle w:val="p1"/>
              <w:rPr>
                <w:rFonts w:ascii="Times New Roman" w:hAnsi="Times New Roman"/>
                <w:b/>
                <w:bCs/>
                <w:iCs/>
                <w:color w:val="000000"/>
                <w:sz w:val="22"/>
                <w:szCs w:val="22"/>
              </w:rPr>
            </w:pPr>
          </w:p>
        </w:tc>
        <w:tc>
          <w:tcPr>
            <w:tcW w:w="4603" w:type="dxa"/>
            <w:gridSpan w:val="3"/>
            <w:shd w:val="clear" w:color="auto" w:fill="D9D9D9" w:themeFill="background1" w:themeFillShade="D9"/>
          </w:tcPr>
          <w:p w14:paraId="2AD6568D"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APECS</w:t>
            </w:r>
          </w:p>
        </w:tc>
        <w:tc>
          <w:tcPr>
            <w:tcW w:w="3837" w:type="dxa"/>
            <w:gridSpan w:val="3"/>
            <w:shd w:val="clear" w:color="auto" w:fill="D9D9D9" w:themeFill="background1" w:themeFillShade="D9"/>
          </w:tcPr>
          <w:p w14:paraId="7BC3378F"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iCs/>
                <w:color w:val="000000"/>
                <w:sz w:val="22"/>
                <w:szCs w:val="22"/>
              </w:rPr>
              <w:t>PEI</w:t>
            </w:r>
          </w:p>
        </w:tc>
      </w:tr>
      <w:tr w:rsidR="00000F03" w:rsidRPr="00016BF5" w14:paraId="067AEF19" w14:textId="77777777" w:rsidTr="004808B6">
        <w:trPr>
          <w:trHeight w:val="269"/>
        </w:trPr>
        <w:tc>
          <w:tcPr>
            <w:tcW w:w="1194" w:type="dxa"/>
          </w:tcPr>
          <w:p w14:paraId="68ACE4C5"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iCs/>
                <w:color w:val="000000"/>
                <w:sz w:val="22"/>
                <w:szCs w:val="22"/>
              </w:rPr>
              <w:t>Overall</w:t>
            </w:r>
          </w:p>
        </w:tc>
        <w:tc>
          <w:tcPr>
            <w:tcW w:w="4603" w:type="dxa"/>
            <w:gridSpan w:val="3"/>
          </w:tcPr>
          <w:p w14:paraId="4BD15499"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16.5</w:t>
            </w:r>
          </w:p>
        </w:tc>
        <w:tc>
          <w:tcPr>
            <w:tcW w:w="3837" w:type="dxa"/>
            <w:gridSpan w:val="3"/>
          </w:tcPr>
          <w:p w14:paraId="38A7552A"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7.5</w:t>
            </w:r>
          </w:p>
        </w:tc>
      </w:tr>
      <w:tr w:rsidR="00000F03" w:rsidRPr="00016BF5" w14:paraId="1EF611D4" w14:textId="77777777" w:rsidTr="004808B6">
        <w:trPr>
          <w:trHeight w:val="269"/>
        </w:trPr>
        <w:tc>
          <w:tcPr>
            <w:tcW w:w="1194" w:type="dxa"/>
          </w:tcPr>
          <w:p w14:paraId="35334675"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iCs/>
                <w:color w:val="000000"/>
                <w:sz w:val="22"/>
                <w:szCs w:val="22"/>
              </w:rPr>
              <w:t>1961-2014</w:t>
            </w:r>
          </w:p>
        </w:tc>
        <w:tc>
          <w:tcPr>
            <w:tcW w:w="4603" w:type="dxa"/>
            <w:gridSpan w:val="3"/>
          </w:tcPr>
          <w:p w14:paraId="0B22CF13"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3.0</w:t>
            </w:r>
          </w:p>
        </w:tc>
        <w:tc>
          <w:tcPr>
            <w:tcW w:w="3837" w:type="dxa"/>
            <w:gridSpan w:val="3"/>
          </w:tcPr>
          <w:p w14:paraId="516EB3D7"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1.5</w:t>
            </w:r>
          </w:p>
        </w:tc>
      </w:tr>
      <w:tr w:rsidR="00000F03" w:rsidRPr="00016BF5" w14:paraId="3CD81E37" w14:textId="77777777" w:rsidTr="004808B6">
        <w:trPr>
          <w:trHeight w:val="269"/>
        </w:trPr>
        <w:tc>
          <w:tcPr>
            <w:tcW w:w="1194" w:type="dxa"/>
          </w:tcPr>
          <w:p w14:paraId="6116B9DF"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iCs/>
                <w:color w:val="000000"/>
                <w:sz w:val="22"/>
                <w:szCs w:val="22"/>
              </w:rPr>
              <w:t>2015-2022</w:t>
            </w:r>
          </w:p>
        </w:tc>
        <w:tc>
          <w:tcPr>
            <w:tcW w:w="4603" w:type="dxa"/>
            <w:gridSpan w:val="3"/>
          </w:tcPr>
          <w:p w14:paraId="3FE58145"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13.5</w:t>
            </w:r>
          </w:p>
        </w:tc>
        <w:tc>
          <w:tcPr>
            <w:tcW w:w="3837" w:type="dxa"/>
            <w:gridSpan w:val="3"/>
          </w:tcPr>
          <w:p w14:paraId="629D0510" w14:textId="77777777" w:rsidR="00000F03" w:rsidRPr="00DF2A4E" w:rsidRDefault="00000F03" w:rsidP="004808B6">
            <w:pPr>
              <w:pStyle w:val="p1"/>
              <w:jc w:val="center"/>
              <w:rPr>
                <w:rFonts w:ascii="Times New Roman" w:hAnsi="Times New Roman"/>
                <w:iCs/>
                <w:color w:val="000000"/>
                <w:sz w:val="22"/>
                <w:szCs w:val="22"/>
              </w:rPr>
            </w:pPr>
            <w:r w:rsidRPr="00DF2A4E">
              <w:rPr>
                <w:rFonts w:ascii="Times New Roman" w:hAnsi="Times New Roman"/>
                <w:iCs/>
                <w:color w:val="000000"/>
                <w:sz w:val="22"/>
                <w:szCs w:val="22"/>
              </w:rPr>
              <w:t>6.0</w:t>
            </w:r>
          </w:p>
        </w:tc>
      </w:tr>
      <w:tr w:rsidR="00000F03" w:rsidRPr="00016BF5" w14:paraId="7B855DD3" w14:textId="77777777" w:rsidTr="004808B6">
        <w:trPr>
          <w:trHeight w:val="269"/>
        </w:trPr>
        <w:tc>
          <w:tcPr>
            <w:tcW w:w="1194" w:type="dxa"/>
          </w:tcPr>
          <w:p w14:paraId="4A0BF0EE" w14:textId="77777777" w:rsidR="00000F03" w:rsidRPr="00DF2A4E" w:rsidRDefault="00000F03" w:rsidP="004808B6">
            <w:pPr>
              <w:pStyle w:val="p1"/>
              <w:rPr>
                <w:rFonts w:ascii="Times New Roman" w:hAnsi="Times New Roman"/>
                <w:b/>
                <w:bCs/>
                <w:iCs/>
                <w:color w:val="000000"/>
                <w:sz w:val="22"/>
                <w:szCs w:val="22"/>
              </w:rPr>
            </w:pPr>
            <w:r w:rsidRPr="00DF2A4E">
              <w:rPr>
                <w:rFonts w:ascii="Times New Roman" w:hAnsi="Times New Roman"/>
                <w:b/>
                <w:bCs/>
                <w:iCs/>
                <w:color w:val="000000"/>
                <w:sz w:val="22"/>
                <w:szCs w:val="22"/>
              </w:rPr>
              <w:t>Difference</w:t>
            </w:r>
          </w:p>
        </w:tc>
        <w:tc>
          <w:tcPr>
            <w:tcW w:w="4603" w:type="dxa"/>
            <w:gridSpan w:val="3"/>
          </w:tcPr>
          <w:p w14:paraId="4726C934"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+10.5</w:t>
            </w:r>
          </w:p>
        </w:tc>
        <w:tc>
          <w:tcPr>
            <w:tcW w:w="3837" w:type="dxa"/>
            <w:gridSpan w:val="3"/>
          </w:tcPr>
          <w:p w14:paraId="3601BB90" w14:textId="77777777" w:rsidR="00000F03" w:rsidRPr="00DF2A4E" w:rsidRDefault="00000F03" w:rsidP="004808B6">
            <w:pPr>
              <w:pStyle w:val="p1"/>
              <w:jc w:val="center"/>
              <w:rPr>
                <w:rFonts w:ascii="Times New Roman" w:hAnsi="Times New Roman"/>
                <w:b/>
                <w:bCs/>
                <w:iCs/>
                <w:color w:val="000000"/>
                <w:sz w:val="22"/>
                <w:szCs w:val="22"/>
              </w:rPr>
            </w:pPr>
            <w:r w:rsidRPr="00DF2A4E">
              <w:rPr>
                <w:rFonts w:ascii="Times New Roman" w:hAnsi="Times New Roman"/>
                <w:b/>
                <w:bCs/>
                <w:iCs/>
                <w:color w:val="000000"/>
                <w:sz w:val="22"/>
                <w:szCs w:val="22"/>
              </w:rPr>
              <w:t>+4.5</w:t>
            </w:r>
          </w:p>
        </w:tc>
      </w:tr>
    </w:tbl>
    <w:p w14:paraId="466D51AD" w14:textId="77777777" w:rsidR="00000F03" w:rsidRPr="002811C8" w:rsidRDefault="00000F03" w:rsidP="00000F03">
      <w:pPr>
        <w:pStyle w:val="ATSTitle"/>
        <w:jc w:val="both"/>
        <w:rPr>
          <w:rFonts w:ascii="Times New Roman" w:hAnsi="Times New Roman"/>
          <w:b w:val="0"/>
          <w:sz w:val="22"/>
          <w:szCs w:val="22"/>
        </w:rPr>
      </w:pPr>
      <w:r w:rsidRPr="002811C8">
        <w:rPr>
          <w:rFonts w:ascii="Times New Roman" w:hAnsi="Times New Roman"/>
          <w:b w:val="0"/>
          <w:sz w:val="22"/>
          <w:szCs w:val="22"/>
        </w:rPr>
        <w:t>We continue to encourage Parties, Observers and Experts to organize, disseminate and collaborate nationally and internationally in education and outreach initiatives related to the Antarctic Treaty, following the Antarctic spirit of cooperation. Future ATCM papers address new relevant topics (</w:t>
      </w:r>
      <w:r>
        <w:rPr>
          <w:rFonts w:ascii="Times New Roman" w:hAnsi="Times New Roman"/>
          <w:b w:val="0"/>
          <w:sz w:val="22"/>
          <w:szCs w:val="22"/>
        </w:rPr>
        <w:t>e</w:t>
      </w:r>
      <w:r w:rsidRPr="002811C8">
        <w:rPr>
          <w:rFonts w:ascii="Times New Roman" w:hAnsi="Times New Roman"/>
          <w:b w:val="0"/>
          <w:sz w:val="22"/>
          <w:szCs w:val="22"/>
        </w:rPr>
        <w:t>.g.</w:t>
      </w:r>
      <w:r>
        <w:rPr>
          <w:rFonts w:ascii="Times New Roman" w:hAnsi="Times New Roman"/>
          <w:b w:val="0"/>
          <w:sz w:val="22"/>
          <w:szCs w:val="22"/>
        </w:rPr>
        <w:t>,</w:t>
      </w:r>
      <w:r w:rsidRPr="002811C8">
        <w:rPr>
          <w:rFonts w:ascii="Times New Roman" w:hAnsi="Times New Roman"/>
          <w:b w:val="0"/>
          <w:sz w:val="22"/>
          <w:szCs w:val="22"/>
        </w:rPr>
        <w:t xml:space="preserve"> “Equity, Diversity and Inclusion”) with the engagement of the n</w:t>
      </w:r>
      <w:r>
        <w:rPr>
          <w:rFonts w:ascii="Times New Roman" w:hAnsi="Times New Roman"/>
          <w:b w:val="0"/>
          <w:sz w:val="22"/>
          <w:szCs w:val="22"/>
        </w:rPr>
        <w:t>ext</w:t>
      </w:r>
      <w:r w:rsidRPr="002811C8">
        <w:rPr>
          <w:rFonts w:ascii="Times New Roman" w:hAnsi="Times New Roman"/>
          <w:b w:val="0"/>
          <w:sz w:val="22"/>
          <w:szCs w:val="22"/>
        </w:rPr>
        <w:t xml:space="preserve"> generations of scientists (via APECS) and educators (via PEI).</w:t>
      </w:r>
    </w:p>
    <w:p w14:paraId="6AE33495" w14:textId="77777777" w:rsidR="00000F03" w:rsidRDefault="00000F03" w:rsidP="00000F03">
      <w:pPr>
        <w:pStyle w:val="ATSTitle"/>
        <w:jc w:val="left"/>
        <w:rPr>
          <w:rFonts w:cs="Arial"/>
          <w:i/>
          <w:sz w:val="24"/>
        </w:rPr>
      </w:pPr>
    </w:p>
    <w:p w14:paraId="2965370F" w14:textId="77777777" w:rsidR="00000F03" w:rsidRDefault="00000F03" w:rsidP="00000F03">
      <w:pPr>
        <w:pStyle w:val="ATSTitle"/>
        <w:jc w:val="left"/>
        <w:rPr>
          <w:rFonts w:cs="Arial"/>
          <w:i/>
          <w:sz w:val="24"/>
        </w:rPr>
      </w:pPr>
      <w:r w:rsidRPr="00F03886">
        <w:rPr>
          <w:rFonts w:cs="Arial"/>
          <w:i/>
          <w:sz w:val="24"/>
        </w:rPr>
        <w:t>Referenc</w:t>
      </w:r>
      <w:r>
        <w:rPr>
          <w:rFonts w:cs="Arial"/>
          <w:i/>
          <w:sz w:val="24"/>
        </w:rPr>
        <w:t>e</w:t>
      </w:r>
    </w:p>
    <w:p w14:paraId="2AFE08E7" w14:textId="77777777" w:rsidR="00000F03" w:rsidRDefault="00000F03" w:rsidP="00000F03">
      <w:pPr>
        <w:pStyle w:val="ATSTitle"/>
        <w:jc w:val="left"/>
        <w:rPr>
          <w:rFonts w:asciiTheme="majorBidi" w:hAnsiTheme="majorBidi" w:cstheme="majorBidi"/>
          <w:b w:val="0"/>
          <w:noProof/>
          <w:sz w:val="22"/>
          <w:szCs w:val="22"/>
        </w:rPr>
      </w:pPr>
      <w:r w:rsidRPr="00976E7A">
        <w:rPr>
          <w:rFonts w:asciiTheme="majorBidi" w:hAnsiTheme="majorBidi" w:cstheme="majorBidi"/>
          <w:b w:val="0"/>
          <w:bCs/>
          <w:i/>
          <w:sz w:val="22"/>
          <w:szCs w:val="22"/>
        </w:rPr>
        <w:fldChar w:fldCharType="begin"/>
      </w:r>
      <w:r w:rsidRPr="00976E7A">
        <w:rPr>
          <w:rFonts w:asciiTheme="majorBidi" w:hAnsiTheme="majorBidi" w:cstheme="majorBidi"/>
          <w:b w:val="0"/>
          <w:bCs/>
          <w:i/>
          <w:sz w:val="22"/>
          <w:szCs w:val="22"/>
        </w:rPr>
        <w:instrText xml:space="preserve"> ADDIN EN.REFLIST </w:instrText>
      </w:r>
      <w:r w:rsidRPr="00976E7A">
        <w:rPr>
          <w:rFonts w:asciiTheme="majorBidi" w:hAnsiTheme="majorBidi" w:cstheme="majorBidi"/>
          <w:b w:val="0"/>
          <w:bCs/>
          <w:i/>
          <w:sz w:val="22"/>
          <w:szCs w:val="22"/>
        </w:rPr>
        <w:fldChar w:fldCharType="separate"/>
      </w:r>
      <w:r w:rsidRPr="00976E7A">
        <w:rPr>
          <w:rFonts w:asciiTheme="majorBidi" w:hAnsiTheme="majorBidi" w:cstheme="majorBidi"/>
          <w:b w:val="0"/>
          <w:bCs/>
          <w:noProof/>
          <w:sz w:val="22"/>
          <w:szCs w:val="22"/>
        </w:rPr>
        <w:t>Xavier JC, Mateev D, Capper L, Wilmotte A, Walton DWH (2019) Education and Outreach by the Antarctic Treaty Parties, Observers and Experts under the framework of the Antarctic Treaty Consultative meetings. Polar Record 55:</w:t>
      </w:r>
      <w:r>
        <w:rPr>
          <w:rFonts w:asciiTheme="majorBidi" w:hAnsiTheme="majorBidi" w:cstheme="majorBidi"/>
          <w:b w:val="0"/>
          <w:bCs/>
          <w:noProof/>
          <w:sz w:val="22"/>
          <w:szCs w:val="22"/>
        </w:rPr>
        <w:t xml:space="preserve"> </w:t>
      </w:r>
      <w:r w:rsidRPr="00976E7A">
        <w:rPr>
          <w:rFonts w:asciiTheme="majorBidi" w:hAnsiTheme="majorBidi" w:cstheme="majorBidi"/>
          <w:b w:val="0"/>
          <w:bCs/>
          <w:noProof/>
          <w:sz w:val="22"/>
          <w:szCs w:val="22"/>
        </w:rPr>
        <w:t>241-244</w:t>
      </w:r>
      <w:r w:rsidRPr="00976E7A">
        <w:rPr>
          <w:rFonts w:asciiTheme="majorBidi" w:hAnsiTheme="majorBidi" w:cstheme="majorBidi"/>
          <w:b w:val="0"/>
          <w:bCs/>
          <w:i/>
          <w:sz w:val="22"/>
          <w:szCs w:val="22"/>
        </w:rPr>
        <w:fldChar w:fldCharType="end"/>
      </w:r>
    </w:p>
    <w:p w14:paraId="6EA84036" w14:textId="77777777" w:rsidR="00000F03" w:rsidRDefault="00000F03" w:rsidP="00000F03">
      <w:pPr>
        <w:rPr>
          <w:noProof/>
        </w:rPr>
      </w:pPr>
      <w:r w:rsidRPr="009E60FA">
        <w:rPr>
          <w:b/>
          <w:noProof/>
        </w:rPr>
        <w:t>Appendix 1.</w:t>
      </w:r>
      <w:r w:rsidRPr="00976E7A">
        <w:rPr>
          <w:noProof/>
        </w:rPr>
        <w:t xml:space="preserve"> Parties, Observers and Experts that published ATCM papers on education and outreach between 1961 and 2022</w:t>
      </w:r>
      <w:r>
        <w:rPr>
          <w:noProof/>
        </w:rPr>
        <w:t>.</w:t>
      </w:r>
      <w:r w:rsidRPr="00976E7A">
        <w:rPr>
          <w:noProof/>
        </w:rPr>
        <w:t xml:space="preserve"> </w:t>
      </w:r>
    </w:p>
    <w:p w14:paraId="47B43D98" w14:textId="77777777" w:rsidR="00000F03" w:rsidRDefault="00000F03" w:rsidP="00000F03">
      <w:pPr>
        <w:pStyle w:val="ATSTitle"/>
        <w:jc w:val="left"/>
        <w:rPr>
          <w:rFonts w:asciiTheme="majorBidi" w:hAnsiTheme="majorBidi" w:cstheme="majorBidi"/>
          <w:b w:val="0"/>
          <w:noProof/>
          <w:sz w:val="22"/>
          <w:szCs w:val="22"/>
        </w:rPr>
      </w:pPr>
      <w:r w:rsidRPr="009E60FA">
        <w:rPr>
          <w:rFonts w:asciiTheme="majorBidi" w:hAnsiTheme="majorBidi" w:cstheme="majorBidi"/>
          <w:b w:val="0"/>
          <w:noProof/>
          <w:sz w:val="22"/>
          <w:szCs w:val="22"/>
          <w:u w:val="single"/>
        </w:rPr>
        <w:lastRenderedPageBreak/>
        <w:t>Consultative Parties</w:t>
      </w:r>
      <w:r>
        <w:rPr>
          <w:rFonts w:asciiTheme="majorBidi" w:hAnsiTheme="majorBidi" w:cstheme="majorBidi"/>
          <w:b w:val="0"/>
          <w:noProof/>
          <w:sz w:val="22"/>
          <w:szCs w:val="22"/>
        </w:rPr>
        <w:t>:</w:t>
      </w:r>
      <w:r w:rsidRPr="00976E7A">
        <w:rPr>
          <w:rFonts w:asciiTheme="majorBidi" w:hAnsiTheme="majorBidi" w:cstheme="majorBidi"/>
          <w:b w:val="0"/>
          <w:noProof/>
          <w:sz w:val="22"/>
          <w:szCs w:val="22"/>
        </w:rPr>
        <w:t xml:space="preserve"> Argentina, Australia, Belgium, Brazil, Bulgaria, Chile, Ecuador, Finland, France, Germany, Italy, Japan, Korea, New Zealand, Norway, Peru, Poland, Russian Federation, South Africa, Spain, Sweden, </w:t>
      </w:r>
      <w:r>
        <w:rPr>
          <w:rFonts w:asciiTheme="majorBidi" w:hAnsiTheme="majorBidi" w:cstheme="majorBidi"/>
          <w:b w:val="0"/>
          <w:noProof/>
          <w:sz w:val="22"/>
          <w:szCs w:val="22"/>
        </w:rPr>
        <w:t xml:space="preserve">the </w:t>
      </w:r>
      <w:r w:rsidRPr="00976E7A">
        <w:rPr>
          <w:rFonts w:asciiTheme="majorBidi" w:hAnsiTheme="majorBidi" w:cstheme="majorBidi"/>
          <w:b w:val="0"/>
          <w:noProof/>
          <w:sz w:val="22"/>
          <w:szCs w:val="22"/>
        </w:rPr>
        <w:t xml:space="preserve">United Kingdom, </w:t>
      </w:r>
      <w:r>
        <w:rPr>
          <w:rFonts w:asciiTheme="majorBidi" w:hAnsiTheme="majorBidi" w:cstheme="majorBidi"/>
          <w:b w:val="0"/>
          <w:noProof/>
          <w:sz w:val="22"/>
          <w:szCs w:val="22"/>
        </w:rPr>
        <w:t xml:space="preserve">the </w:t>
      </w:r>
      <w:r w:rsidRPr="00976E7A">
        <w:rPr>
          <w:rFonts w:asciiTheme="majorBidi" w:hAnsiTheme="majorBidi" w:cstheme="majorBidi"/>
          <w:b w:val="0"/>
          <w:noProof/>
          <w:sz w:val="22"/>
          <w:szCs w:val="22"/>
        </w:rPr>
        <w:t xml:space="preserve">United States and Uruguay; </w:t>
      </w:r>
    </w:p>
    <w:p w14:paraId="68ABD24C" w14:textId="77777777" w:rsidR="00000F03" w:rsidRDefault="00000F03" w:rsidP="00000F03">
      <w:pPr>
        <w:pStyle w:val="ATSTitle"/>
        <w:jc w:val="left"/>
        <w:rPr>
          <w:rFonts w:asciiTheme="majorBidi" w:hAnsiTheme="majorBidi" w:cstheme="majorBidi"/>
          <w:b w:val="0"/>
          <w:noProof/>
          <w:sz w:val="22"/>
          <w:szCs w:val="22"/>
          <w:u w:val="single"/>
        </w:rPr>
      </w:pPr>
    </w:p>
    <w:p w14:paraId="22AFA4E6" w14:textId="77777777" w:rsidR="00000F03" w:rsidRPr="00EE3EEA" w:rsidRDefault="00000F03" w:rsidP="00000F03">
      <w:pPr>
        <w:pStyle w:val="ATSTitle"/>
        <w:jc w:val="left"/>
        <w:rPr>
          <w:rFonts w:cs="Arial"/>
          <w:b w:val="0"/>
          <w:i/>
          <w:sz w:val="22"/>
          <w:szCs w:val="22"/>
        </w:rPr>
      </w:pPr>
      <w:r w:rsidRPr="009E60FA">
        <w:rPr>
          <w:rFonts w:asciiTheme="majorBidi" w:hAnsiTheme="majorBidi" w:cstheme="majorBidi"/>
          <w:b w:val="0"/>
          <w:noProof/>
          <w:sz w:val="22"/>
          <w:szCs w:val="22"/>
          <w:u w:val="single"/>
        </w:rPr>
        <w:t>Non-Consultative Parties</w:t>
      </w:r>
      <w:r>
        <w:rPr>
          <w:rFonts w:asciiTheme="majorBidi" w:hAnsiTheme="majorBidi" w:cstheme="majorBidi"/>
          <w:b w:val="0"/>
          <w:noProof/>
          <w:sz w:val="22"/>
          <w:szCs w:val="22"/>
        </w:rPr>
        <w:t>:</w:t>
      </w:r>
      <w:r w:rsidRPr="00976E7A">
        <w:rPr>
          <w:rFonts w:asciiTheme="majorBidi" w:hAnsiTheme="majorBidi" w:cstheme="majorBidi"/>
          <w:b w:val="0"/>
          <w:noProof/>
          <w:sz w:val="22"/>
          <w:szCs w:val="22"/>
        </w:rPr>
        <w:t xml:space="preserve"> Belarus, Canada, Colombia, Estonia, Portugal, Romania, Turkey and Venezuela; Observers: SCAR, CCAMLR and COMNAP; Experts - ASOC, IAATO, IUCN, UNEP and WMO</w:t>
      </w:r>
      <w:r>
        <w:rPr>
          <w:rFonts w:asciiTheme="majorBidi" w:hAnsiTheme="majorBidi" w:cstheme="majorBidi"/>
          <w:b w:val="0"/>
          <w:noProof/>
          <w:sz w:val="22"/>
          <w:szCs w:val="22"/>
        </w:rPr>
        <w:t>.</w:t>
      </w:r>
    </w:p>
    <w:p w14:paraId="42CB69AF" w14:textId="77777777" w:rsidR="00000F03" w:rsidRDefault="00000F03" w:rsidP="00952E9F"/>
    <w:sectPr w:rsidR="00000F03" w:rsidSect="00283F0F">
      <w:headerReference w:type="default" r:id="rId17"/>
      <w:footerReference w:type="default" r:id="rId18"/>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EEAA1" w14:textId="77777777" w:rsidR="00000000" w:rsidRDefault="00000F03">
      <w:r>
        <w:separator/>
      </w:r>
    </w:p>
  </w:endnote>
  <w:endnote w:type="continuationSeparator" w:id="0">
    <w:p w14:paraId="3DA577C1" w14:textId="77777777" w:rsidR="00000000" w:rsidRDefault="0000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DACC" w14:textId="77777777" w:rsidR="00FA0B9F" w:rsidRDefault="00000F03" w:rsidP="00CF5C82">
    <w:pPr>
      <w:framePr w:wrap="around" w:vAnchor="text" w:hAnchor="margin" w:xAlign="right" w:y="1"/>
    </w:pPr>
    <w:r>
      <w:fldChar w:fldCharType="begin"/>
    </w:r>
    <w:r>
      <w:instrText xml:space="preserve">PAGE  </w:instrText>
    </w:r>
    <w:r>
      <w:fldChar w:fldCharType="separate"/>
    </w:r>
    <w:r>
      <w:fldChar w:fldCharType="end"/>
    </w:r>
  </w:p>
  <w:p w14:paraId="6795AA29" w14:textId="77777777" w:rsidR="00FA0B9F" w:rsidRDefault="00000F0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63D8" w14:textId="77777777" w:rsidR="00FA0B9F" w:rsidRDefault="00000F0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C5F3A65" w14:textId="1F49BDFA" w:rsidR="00FA0B9F" w:rsidRDefault="00000F0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387C9" w14:textId="77777777" w:rsidR="00000F03" w:rsidRDefault="00000F0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FBF35" w14:textId="77777777" w:rsidR="00E311C9" w:rsidRDefault="00000F0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B72327" w14:textId="77777777" w:rsidR="00E311C9" w:rsidRDefault="00000F0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C7066" w14:textId="77777777" w:rsidR="00000000" w:rsidRDefault="00000F03">
      <w:r>
        <w:separator/>
      </w:r>
    </w:p>
  </w:footnote>
  <w:footnote w:type="continuationSeparator" w:id="0">
    <w:p w14:paraId="7469FBDD" w14:textId="77777777" w:rsidR="00000000" w:rsidRDefault="00000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58C2" w14:textId="77777777" w:rsidR="00000F03" w:rsidRDefault="00000F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33B24" w14:paraId="09B57749" w14:textId="77777777" w:rsidTr="002E12EC">
      <w:trPr>
        <w:trHeight w:val="344"/>
        <w:jc w:val="center"/>
      </w:trPr>
      <w:tc>
        <w:tcPr>
          <w:tcW w:w="5495" w:type="dxa"/>
        </w:tcPr>
        <w:p w14:paraId="44E05F80" w14:textId="77777777" w:rsidR="00DB7C09" w:rsidRDefault="00000F03" w:rsidP="00F968D4"/>
      </w:tc>
      <w:tc>
        <w:tcPr>
          <w:tcW w:w="4253" w:type="dxa"/>
          <w:gridSpan w:val="2"/>
        </w:tcPr>
        <w:p w14:paraId="6EBC98F9" w14:textId="77777777" w:rsidR="00DB7C09" w:rsidRPr="00BD47E4" w:rsidRDefault="00000F03" w:rsidP="002A07BC">
          <w:pPr>
            <w:jc w:val="right"/>
            <w:rPr>
              <w:b/>
              <w:sz w:val="32"/>
              <w:szCs w:val="32"/>
            </w:rPr>
          </w:pPr>
          <w:bookmarkStart w:id="2" w:name="type"/>
          <w:r w:rsidRPr="00BD47E4">
            <w:rPr>
              <w:b/>
              <w:sz w:val="32"/>
              <w:szCs w:val="32"/>
            </w:rPr>
            <w:t>IP</w:t>
          </w:r>
          <w:bookmarkEnd w:id="2"/>
        </w:p>
      </w:tc>
      <w:tc>
        <w:tcPr>
          <w:tcW w:w="1524" w:type="dxa"/>
          <w:gridSpan w:val="2"/>
        </w:tcPr>
        <w:p w14:paraId="544582BD" w14:textId="77777777" w:rsidR="00DB7C09" w:rsidRPr="00BD47E4" w:rsidRDefault="00000F03" w:rsidP="00DB7C09">
          <w:pPr>
            <w:rPr>
              <w:b/>
              <w:sz w:val="32"/>
              <w:szCs w:val="32"/>
            </w:rPr>
          </w:pPr>
          <w:bookmarkStart w:id="3" w:name="number"/>
          <w:r w:rsidRPr="00BD47E4">
            <w:rPr>
              <w:b/>
              <w:sz w:val="32"/>
              <w:szCs w:val="32"/>
            </w:rPr>
            <w:t>34</w:t>
          </w:r>
          <w:bookmarkEnd w:id="3"/>
        </w:p>
      </w:tc>
    </w:tr>
    <w:tr w:rsidR="00433B24" w14:paraId="1D126986" w14:textId="77777777" w:rsidTr="002E12EC">
      <w:trPr>
        <w:trHeight w:val="2165"/>
        <w:jc w:val="center"/>
      </w:trPr>
      <w:tc>
        <w:tcPr>
          <w:tcW w:w="5495" w:type="dxa"/>
        </w:tcPr>
        <w:p w14:paraId="11ADF135" w14:textId="77777777" w:rsidR="00490760" w:rsidRPr="00EE4D48" w:rsidRDefault="00000F03" w:rsidP="002A07BC">
          <w:pPr>
            <w:rPr>
              <w:b/>
              <w:sz w:val="28"/>
              <w:szCs w:val="28"/>
            </w:rPr>
          </w:pPr>
          <w:r>
            <w:rPr>
              <w:noProof/>
            </w:rPr>
            <w:drawing>
              <wp:inline distT="0" distB="0" distL="0" distR="0" wp14:anchorId="7C062476" wp14:editId="12B1C492">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5921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90B2EE2" w14:textId="77777777" w:rsidR="00490760" w:rsidRPr="00FE5146" w:rsidRDefault="00000F03" w:rsidP="00490760">
          <w:pPr>
            <w:jc w:val="right"/>
            <w:rPr>
              <w:sz w:val="144"/>
              <w:szCs w:val="144"/>
            </w:rPr>
          </w:pPr>
          <w:r w:rsidRPr="00FE5146">
            <w:rPr>
              <w:sz w:val="144"/>
              <w:szCs w:val="144"/>
            </w:rPr>
            <w:t>ENG</w:t>
          </w:r>
        </w:p>
      </w:tc>
    </w:tr>
    <w:tr w:rsidR="00433B24" w14:paraId="0E2A64AF" w14:textId="77777777" w:rsidTr="002E12EC">
      <w:trPr>
        <w:trHeight w:val="409"/>
        <w:jc w:val="center"/>
      </w:trPr>
      <w:tc>
        <w:tcPr>
          <w:tcW w:w="8500" w:type="dxa"/>
          <w:gridSpan w:val="2"/>
        </w:tcPr>
        <w:p w14:paraId="6666EFDA" w14:textId="77777777" w:rsidR="00BD47E4" w:rsidRDefault="00000F03" w:rsidP="002C30DA">
          <w:pPr>
            <w:jc w:val="right"/>
          </w:pPr>
          <w:r>
            <w:t>Agenda Item:</w:t>
          </w:r>
        </w:p>
      </w:tc>
      <w:tc>
        <w:tcPr>
          <w:tcW w:w="2382" w:type="dxa"/>
          <w:gridSpan w:val="2"/>
        </w:tcPr>
        <w:p w14:paraId="160C648D" w14:textId="77777777" w:rsidR="00BD47E4" w:rsidRDefault="00000F03" w:rsidP="002C30DA">
          <w:pPr>
            <w:jc w:val="right"/>
          </w:pPr>
          <w:bookmarkStart w:id="4" w:name="agenda"/>
          <w:r>
            <w:t>ATCM 11, CEP 13</w:t>
          </w:r>
          <w:bookmarkEnd w:id="4"/>
        </w:p>
      </w:tc>
      <w:tc>
        <w:tcPr>
          <w:tcW w:w="390" w:type="dxa"/>
        </w:tcPr>
        <w:p w14:paraId="747A2D57" w14:textId="77777777" w:rsidR="00BD47E4" w:rsidRDefault="00000F03" w:rsidP="00387A65">
          <w:pPr>
            <w:jc w:val="right"/>
          </w:pPr>
        </w:p>
      </w:tc>
    </w:tr>
    <w:tr w:rsidR="00433B24" w14:paraId="0DC54AEC" w14:textId="77777777" w:rsidTr="002E12EC">
      <w:trPr>
        <w:trHeight w:val="397"/>
        <w:jc w:val="center"/>
      </w:trPr>
      <w:tc>
        <w:tcPr>
          <w:tcW w:w="8500" w:type="dxa"/>
          <w:gridSpan w:val="2"/>
        </w:tcPr>
        <w:p w14:paraId="0B654DA4" w14:textId="77777777" w:rsidR="00BD47E4" w:rsidRDefault="00000F03" w:rsidP="002C30DA">
          <w:pPr>
            <w:jc w:val="right"/>
          </w:pPr>
          <w:r>
            <w:t>Presented by:</w:t>
          </w:r>
        </w:p>
      </w:tc>
      <w:tc>
        <w:tcPr>
          <w:tcW w:w="2382" w:type="dxa"/>
          <w:gridSpan w:val="2"/>
        </w:tcPr>
        <w:p w14:paraId="48604BAB" w14:textId="69A07659" w:rsidR="00BD47E4" w:rsidRDefault="00000F03" w:rsidP="002C30DA">
          <w:pPr>
            <w:jc w:val="right"/>
          </w:pPr>
          <w:bookmarkStart w:id="5" w:name="party"/>
          <w:r>
            <w:t>Portugal, Belgium, Bulgaria, Chile, Spain</w:t>
          </w:r>
          <w:r>
            <w:t xml:space="preserve">, </w:t>
          </w:r>
          <w:r>
            <w:t>United Kingdom, WMO</w:t>
          </w:r>
          <w:bookmarkEnd w:id="5"/>
        </w:p>
      </w:tc>
      <w:tc>
        <w:tcPr>
          <w:tcW w:w="390" w:type="dxa"/>
        </w:tcPr>
        <w:p w14:paraId="3143B6B7" w14:textId="77777777" w:rsidR="00BD47E4" w:rsidRDefault="00000F03" w:rsidP="00387A65">
          <w:pPr>
            <w:jc w:val="right"/>
          </w:pPr>
        </w:p>
      </w:tc>
    </w:tr>
    <w:tr w:rsidR="00433B24" w14:paraId="661B018D" w14:textId="77777777" w:rsidTr="002E12EC">
      <w:trPr>
        <w:trHeight w:val="409"/>
        <w:jc w:val="center"/>
      </w:trPr>
      <w:tc>
        <w:tcPr>
          <w:tcW w:w="8500" w:type="dxa"/>
          <w:gridSpan w:val="2"/>
        </w:tcPr>
        <w:p w14:paraId="64D7FB4D" w14:textId="77777777" w:rsidR="00BD47E4" w:rsidRDefault="00000F03" w:rsidP="002C30DA">
          <w:pPr>
            <w:jc w:val="right"/>
          </w:pPr>
          <w:r>
            <w:t>Original:</w:t>
          </w:r>
        </w:p>
      </w:tc>
      <w:tc>
        <w:tcPr>
          <w:tcW w:w="2382" w:type="dxa"/>
          <w:gridSpan w:val="2"/>
        </w:tcPr>
        <w:p w14:paraId="4CD0A252" w14:textId="77777777" w:rsidR="00BD47E4" w:rsidRDefault="00000F03" w:rsidP="002C30DA">
          <w:pPr>
            <w:jc w:val="right"/>
          </w:pPr>
          <w:bookmarkStart w:id="6" w:name="language"/>
          <w:r>
            <w:t>English</w:t>
          </w:r>
          <w:bookmarkEnd w:id="6"/>
        </w:p>
      </w:tc>
      <w:tc>
        <w:tcPr>
          <w:tcW w:w="390" w:type="dxa"/>
        </w:tcPr>
        <w:p w14:paraId="7AF00C76" w14:textId="77777777" w:rsidR="00BD47E4" w:rsidRDefault="00000F03" w:rsidP="00387A65">
          <w:pPr>
            <w:jc w:val="right"/>
          </w:pPr>
        </w:p>
      </w:tc>
    </w:tr>
    <w:tr w:rsidR="00433B24" w14:paraId="2F51BE88" w14:textId="77777777" w:rsidTr="002E12EC">
      <w:trPr>
        <w:trHeight w:val="409"/>
        <w:jc w:val="center"/>
      </w:trPr>
      <w:tc>
        <w:tcPr>
          <w:tcW w:w="8500" w:type="dxa"/>
          <w:gridSpan w:val="2"/>
        </w:tcPr>
        <w:p w14:paraId="351773A3" w14:textId="77777777" w:rsidR="0097629D" w:rsidRDefault="00000F03" w:rsidP="002C30DA">
          <w:pPr>
            <w:jc w:val="right"/>
          </w:pPr>
          <w:r>
            <w:t>Submitted:</w:t>
          </w:r>
        </w:p>
      </w:tc>
      <w:tc>
        <w:tcPr>
          <w:tcW w:w="2382" w:type="dxa"/>
          <w:gridSpan w:val="2"/>
        </w:tcPr>
        <w:p w14:paraId="5FBBFFE4" w14:textId="77777777" w:rsidR="0097629D" w:rsidRDefault="00000F03" w:rsidP="0097629D">
          <w:pPr>
            <w:jc w:val="right"/>
          </w:pPr>
          <w:bookmarkStart w:id="7" w:name="date_submission"/>
          <w:r>
            <w:t>20 Apr 2023</w:t>
          </w:r>
          <w:bookmarkEnd w:id="7"/>
        </w:p>
      </w:tc>
      <w:tc>
        <w:tcPr>
          <w:tcW w:w="390" w:type="dxa"/>
        </w:tcPr>
        <w:p w14:paraId="4A54B933" w14:textId="77777777" w:rsidR="0097629D" w:rsidRDefault="00000F03" w:rsidP="00387A65">
          <w:pPr>
            <w:jc w:val="right"/>
          </w:pPr>
        </w:p>
      </w:tc>
    </w:tr>
  </w:tbl>
  <w:p w14:paraId="6E073B8C" w14:textId="77777777" w:rsidR="00AE5DD0" w:rsidRDefault="00000F0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BFCA" w14:textId="77777777" w:rsidR="00000F03" w:rsidRDefault="00000F0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33B24" w14:paraId="45227444" w14:textId="77777777">
      <w:trPr>
        <w:trHeight w:val="354"/>
        <w:jc w:val="center"/>
      </w:trPr>
      <w:tc>
        <w:tcPr>
          <w:tcW w:w="9694" w:type="dxa"/>
        </w:tcPr>
        <w:p w14:paraId="16A00819" w14:textId="30AB2DD7" w:rsidR="00AE5DD0" w:rsidRPr="00BD47E4" w:rsidRDefault="00000F03" w:rsidP="00C26F2D">
          <w:pPr>
            <w:jc w:val="right"/>
            <w:rPr>
              <w:b/>
              <w:sz w:val="32"/>
              <w:szCs w:val="32"/>
            </w:rPr>
          </w:pPr>
          <w:r>
            <w:rPr>
              <w:b/>
              <w:sz w:val="32"/>
              <w:szCs w:val="32"/>
            </w:rPr>
            <w:t>IP</w:t>
          </w:r>
        </w:p>
      </w:tc>
      <w:tc>
        <w:tcPr>
          <w:tcW w:w="1332" w:type="dxa"/>
        </w:tcPr>
        <w:p w14:paraId="14636B92" w14:textId="014E9A00" w:rsidR="00AE5DD0" w:rsidRPr="00BD47E4" w:rsidRDefault="00000F03" w:rsidP="00080F4C">
          <w:pPr>
            <w:rPr>
              <w:b/>
              <w:sz w:val="32"/>
              <w:szCs w:val="32"/>
            </w:rPr>
          </w:pPr>
          <w:r>
            <w:rPr>
              <w:b/>
              <w:sz w:val="32"/>
              <w:szCs w:val="32"/>
            </w:rPr>
            <w:t>34</w:t>
          </w:r>
        </w:p>
      </w:tc>
    </w:tr>
  </w:tbl>
  <w:p w14:paraId="55D31F55" w14:textId="77777777" w:rsidR="00AE5DD0" w:rsidRDefault="00000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0E666C2">
      <w:start w:val="1"/>
      <w:numFmt w:val="bullet"/>
      <w:pStyle w:val="ATSBullet1"/>
      <w:lvlText w:val=""/>
      <w:lvlJc w:val="left"/>
      <w:pPr>
        <w:tabs>
          <w:tab w:val="num" w:pos="360"/>
        </w:tabs>
        <w:ind w:left="360" w:hanging="360"/>
      </w:pPr>
      <w:rPr>
        <w:rFonts w:ascii="Symbol" w:hAnsi="Symbol" w:hint="default"/>
        <w:color w:val="auto"/>
      </w:rPr>
    </w:lvl>
    <w:lvl w:ilvl="1" w:tplc="97CAA56C" w:tentative="1">
      <w:start w:val="1"/>
      <w:numFmt w:val="bullet"/>
      <w:lvlText w:val="o"/>
      <w:lvlJc w:val="left"/>
      <w:pPr>
        <w:tabs>
          <w:tab w:val="num" w:pos="1440"/>
        </w:tabs>
        <w:ind w:left="1440" w:hanging="360"/>
      </w:pPr>
      <w:rPr>
        <w:rFonts w:ascii="Courier New" w:hAnsi="Courier New" w:cs="Courier New" w:hint="default"/>
      </w:rPr>
    </w:lvl>
    <w:lvl w:ilvl="2" w:tplc="C5E22D20" w:tentative="1">
      <w:start w:val="1"/>
      <w:numFmt w:val="bullet"/>
      <w:lvlText w:val=""/>
      <w:lvlJc w:val="left"/>
      <w:pPr>
        <w:tabs>
          <w:tab w:val="num" w:pos="2160"/>
        </w:tabs>
        <w:ind w:left="2160" w:hanging="360"/>
      </w:pPr>
      <w:rPr>
        <w:rFonts w:ascii="Wingdings" w:hAnsi="Wingdings" w:hint="default"/>
      </w:rPr>
    </w:lvl>
    <w:lvl w:ilvl="3" w:tplc="AAD2AF42" w:tentative="1">
      <w:start w:val="1"/>
      <w:numFmt w:val="bullet"/>
      <w:lvlText w:val=""/>
      <w:lvlJc w:val="left"/>
      <w:pPr>
        <w:tabs>
          <w:tab w:val="num" w:pos="2880"/>
        </w:tabs>
        <w:ind w:left="2880" w:hanging="360"/>
      </w:pPr>
      <w:rPr>
        <w:rFonts w:ascii="Symbol" w:hAnsi="Symbol" w:hint="default"/>
      </w:rPr>
    </w:lvl>
    <w:lvl w:ilvl="4" w:tplc="106448F6" w:tentative="1">
      <w:start w:val="1"/>
      <w:numFmt w:val="bullet"/>
      <w:lvlText w:val="o"/>
      <w:lvlJc w:val="left"/>
      <w:pPr>
        <w:tabs>
          <w:tab w:val="num" w:pos="3600"/>
        </w:tabs>
        <w:ind w:left="3600" w:hanging="360"/>
      </w:pPr>
      <w:rPr>
        <w:rFonts w:ascii="Courier New" w:hAnsi="Courier New" w:cs="Courier New" w:hint="default"/>
      </w:rPr>
    </w:lvl>
    <w:lvl w:ilvl="5" w:tplc="82545BA0" w:tentative="1">
      <w:start w:val="1"/>
      <w:numFmt w:val="bullet"/>
      <w:lvlText w:val=""/>
      <w:lvlJc w:val="left"/>
      <w:pPr>
        <w:tabs>
          <w:tab w:val="num" w:pos="4320"/>
        </w:tabs>
        <w:ind w:left="4320" w:hanging="360"/>
      </w:pPr>
      <w:rPr>
        <w:rFonts w:ascii="Wingdings" w:hAnsi="Wingdings" w:hint="default"/>
      </w:rPr>
    </w:lvl>
    <w:lvl w:ilvl="6" w:tplc="5FAEEF0A" w:tentative="1">
      <w:start w:val="1"/>
      <w:numFmt w:val="bullet"/>
      <w:lvlText w:val=""/>
      <w:lvlJc w:val="left"/>
      <w:pPr>
        <w:tabs>
          <w:tab w:val="num" w:pos="5040"/>
        </w:tabs>
        <w:ind w:left="5040" w:hanging="360"/>
      </w:pPr>
      <w:rPr>
        <w:rFonts w:ascii="Symbol" w:hAnsi="Symbol" w:hint="default"/>
      </w:rPr>
    </w:lvl>
    <w:lvl w:ilvl="7" w:tplc="EC3C4BFA" w:tentative="1">
      <w:start w:val="1"/>
      <w:numFmt w:val="bullet"/>
      <w:lvlText w:val="o"/>
      <w:lvlJc w:val="left"/>
      <w:pPr>
        <w:tabs>
          <w:tab w:val="num" w:pos="5760"/>
        </w:tabs>
        <w:ind w:left="5760" w:hanging="360"/>
      </w:pPr>
      <w:rPr>
        <w:rFonts w:ascii="Courier New" w:hAnsi="Courier New" w:cs="Courier New" w:hint="default"/>
      </w:rPr>
    </w:lvl>
    <w:lvl w:ilvl="8" w:tplc="4D0049D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DC07EC2">
      <w:start w:val="1"/>
      <w:numFmt w:val="decimal"/>
      <w:lvlText w:val="%1)"/>
      <w:lvlJc w:val="left"/>
      <w:pPr>
        <w:tabs>
          <w:tab w:val="num" w:pos="340"/>
        </w:tabs>
        <w:ind w:left="340" w:hanging="340"/>
      </w:pPr>
      <w:rPr>
        <w:rFonts w:hint="default"/>
      </w:rPr>
    </w:lvl>
    <w:lvl w:ilvl="1" w:tplc="71D6BB94" w:tentative="1">
      <w:start w:val="1"/>
      <w:numFmt w:val="lowerLetter"/>
      <w:lvlText w:val="%2."/>
      <w:lvlJc w:val="left"/>
      <w:pPr>
        <w:tabs>
          <w:tab w:val="num" w:pos="1440"/>
        </w:tabs>
        <w:ind w:left="1440" w:hanging="360"/>
      </w:pPr>
    </w:lvl>
    <w:lvl w:ilvl="2" w:tplc="C854FB68" w:tentative="1">
      <w:start w:val="1"/>
      <w:numFmt w:val="lowerRoman"/>
      <w:lvlText w:val="%3."/>
      <w:lvlJc w:val="right"/>
      <w:pPr>
        <w:tabs>
          <w:tab w:val="num" w:pos="2160"/>
        </w:tabs>
        <w:ind w:left="2160" w:hanging="180"/>
      </w:pPr>
    </w:lvl>
    <w:lvl w:ilvl="3" w:tplc="46EAE94A" w:tentative="1">
      <w:start w:val="1"/>
      <w:numFmt w:val="decimal"/>
      <w:lvlText w:val="%4."/>
      <w:lvlJc w:val="left"/>
      <w:pPr>
        <w:tabs>
          <w:tab w:val="num" w:pos="2880"/>
        </w:tabs>
        <w:ind w:left="2880" w:hanging="360"/>
      </w:pPr>
    </w:lvl>
    <w:lvl w:ilvl="4" w:tplc="691CDAC6" w:tentative="1">
      <w:start w:val="1"/>
      <w:numFmt w:val="lowerLetter"/>
      <w:lvlText w:val="%5."/>
      <w:lvlJc w:val="left"/>
      <w:pPr>
        <w:tabs>
          <w:tab w:val="num" w:pos="3600"/>
        </w:tabs>
        <w:ind w:left="3600" w:hanging="360"/>
      </w:pPr>
    </w:lvl>
    <w:lvl w:ilvl="5" w:tplc="88849588" w:tentative="1">
      <w:start w:val="1"/>
      <w:numFmt w:val="lowerRoman"/>
      <w:lvlText w:val="%6."/>
      <w:lvlJc w:val="right"/>
      <w:pPr>
        <w:tabs>
          <w:tab w:val="num" w:pos="4320"/>
        </w:tabs>
        <w:ind w:left="4320" w:hanging="180"/>
      </w:pPr>
    </w:lvl>
    <w:lvl w:ilvl="6" w:tplc="0B60DB1C" w:tentative="1">
      <w:start w:val="1"/>
      <w:numFmt w:val="decimal"/>
      <w:lvlText w:val="%7."/>
      <w:lvlJc w:val="left"/>
      <w:pPr>
        <w:tabs>
          <w:tab w:val="num" w:pos="5040"/>
        </w:tabs>
        <w:ind w:left="5040" w:hanging="360"/>
      </w:pPr>
    </w:lvl>
    <w:lvl w:ilvl="7" w:tplc="4B4C250A" w:tentative="1">
      <w:start w:val="1"/>
      <w:numFmt w:val="lowerLetter"/>
      <w:lvlText w:val="%8."/>
      <w:lvlJc w:val="left"/>
      <w:pPr>
        <w:tabs>
          <w:tab w:val="num" w:pos="5760"/>
        </w:tabs>
        <w:ind w:left="5760" w:hanging="360"/>
      </w:pPr>
    </w:lvl>
    <w:lvl w:ilvl="8" w:tplc="3566FE3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ECC3E7C">
      <w:start w:val="1"/>
      <w:numFmt w:val="decimal"/>
      <w:lvlText w:val="%1."/>
      <w:lvlJc w:val="left"/>
      <w:pPr>
        <w:tabs>
          <w:tab w:val="num" w:pos="1057"/>
        </w:tabs>
        <w:ind w:left="1057" w:hanging="360"/>
      </w:pPr>
      <w:rPr>
        <w:rFonts w:hint="default"/>
      </w:rPr>
    </w:lvl>
    <w:lvl w:ilvl="1" w:tplc="87786BA8" w:tentative="1">
      <w:start w:val="1"/>
      <w:numFmt w:val="lowerLetter"/>
      <w:lvlText w:val="%2."/>
      <w:lvlJc w:val="left"/>
      <w:pPr>
        <w:tabs>
          <w:tab w:val="num" w:pos="2137"/>
        </w:tabs>
        <w:ind w:left="2137" w:hanging="360"/>
      </w:pPr>
    </w:lvl>
    <w:lvl w:ilvl="2" w:tplc="8242C444" w:tentative="1">
      <w:start w:val="1"/>
      <w:numFmt w:val="lowerRoman"/>
      <w:lvlText w:val="%3."/>
      <w:lvlJc w:val="right"/>
      <w:pPr>
        <w:tabs>
          <w:tab w:val="num" w:pos="2857"/>
        </w:tabs>
        <w:ind w:left="2857" w:hanging="180"/>
      </w:pPr>
    </w:lvl>
    <w:lvl w:ilvl="3" w:tplc="E71834DC" w:tentative="1">
      <w:start w:val="1"/>
      <w:numFmt w:val="decimal"/>
      <w:lvlText w:val="%4."/>
      <w:lvlJc w:val="left"/>
      <w:pPr>
        <w:tabs>
          <w:tab w:val="num" w:pos="3577"/>
        </w:tabs>
        <w:ind w:left="3577" w:hanging="360"/>
      </w:pPr>
    </w:lvl>
    <w:lvl w:ilvl="4" w:tplc="6862E4F2" w:tentative="1">
      <w:start w:val="1"/>
      <w:numFmt w:val="lowerLetter"/>
      <w:lvlText w:val="%5."/>
      <w:lvlJc w:val="left"/>
      <w:pPr>
        <w:tabs>
          <w:tab w:val="num" w:pos="4297"/>
        </w:tabs>
        <w:ind w:left="4297" w:hanging="360"/>
      </w:pPr>
    </w:lvl>
    <w:lvl w:ilvl="5" w:tplc="BE9E581E" w:tentative="1">
      <w:start w:val="1"/>
      <w:numFmt w:val="lowerRoman"/>
      <w:lvlText w:val="%6."/>
      <w:lvlJc w:val="right"/>
      <w:pPr>
        <w:tabs>
          <w:tab w:val="num" w:pos="5017"/>
        </w:tabs>
        <w:ind w:left="5017" w:hanging="180"/>
      </w:pPr>
    </w:lvl>
    <w:lvl w:ilvl="6" w:tplc="C82CCD10" w:tentative="1">
      <w:start w:val="1"/>
      <w:numFmt w:val="decimal"/>
      <w:lvlText w:val="%7."/>
      <w:lvlJc w:val="left"/>
      <w:pPr>
        <w:tabs>
          <w:tab w:val="num" w:pos="5737"/>
        </w:tabs>
        <w:ind w:left="5737" w:hanging="360"/>
      </w:pPr>
    </w:lvl>
    <w:lvl w:ilvl="7" w:tplc="9CA8731E" w:tentative="1">
      <w:start w:val="1"/>
      <w:numFmt w:val="lowerLetter"/>
      <w:lvlText w:val="%8."/>
      <w:lvlJc w:val="left"/>
      <w:pPr>
        <w:tabs>
          <w:tab w:val="num" w:pos="6457"/>
        </w:tabs>
        <w:ind w:left="6457" w:hanging="360"/>
      </w:pPr>
    </w:lvl>
    <w:lvl w:ilvl="8" w:tplc="CE147CC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BA25E4C">
      <w:start w:val="1"/>
      <w:numFmt w:val="decimal"/>
      <w:pStyle w:val="ATSNumber1"/>
      <w:lvlText w:val="%1)"/>
      <w:lvlJc w:val="left"/>
      <w:pPr>
        <w:tabs>
          <w:tab w:val="num" w:pos="720"/>
        </w:tabs>
        <w:ind w:left="720" w:hanging="360"/>
      </w:pPr>
    </w:lvl>
    <w:lvl w:ilvl="1" w:tplc="FC223F50" w:tentative="1">
      <w:start w:val="1"/>
      <w:numFmt w:val="lowerLetter"/>
      <w:lvlText w:val="%2."/>
      <w:lvlJc w:val="left"/>
      <w:pPr>
        <w:tabs>
          <w:tab w:val="num" w:pos="1440"/>
        </w:tabs>
        <w:ind w:left="1440" w:hanging="360"/>
      </w:pPr>
    </w:lvl>
    <w:lvl w:ilvl="2" w:tplc="62966ACA" w:tentative="1">
      <w:start w:val="1"/>
      <w:numFmt w:val="lowerRoman"/>
      <w:lvlText w:val="%3."/>
      <w:lvlJc w:val="right"/>
      <w:pPr>
        <w:tabs>
          <w:tab w:val="num" w:pos="2160"/>
        </w:tabs>
        <w:ind w:left="2160" w:hanging="180"/>
      </w:pPr>
    </w:lvl>
    <w:lvl w:ilvl="3" w:tplc="59B88474" w:tentative="1">
      <w:start w:val="1"/>
      <w:numFmt w:val="decimal"/>
      <w:lvlText w:val="%4."/>
      <w:lvlJc w:val="left"/>
      <w:pPr>
        <w:tabs>
          <w:tab w:val="num" w:pos="2880"/>
        </w:tabs>
        <w:ind w:left="2880" w:hanging="360"/>
      </w:pPr>
    </w:lvl>
    <w:lvl w:ilvl="4" w:tplc="D59688C2" w:tentative="1">
      <w:start w:val="1"/>
      <w:numFmt w:val="lowerLetter"/>
      <w:lvlText w:val="%5."/>
      <w:lvlJc w:val="left"/>
      <w:pPr>
        <w:tabs>
          <w:tab w:val="num" w:pos="3600"/>
        </w:tabs>
        <w:ind w:left="3600" w:hanging="360"/>
      </w:pPr>
    </w:lvl>
    <w:lvl w:ilvl="5" w:tplc="ED0809F0" w:tentative="1">
      <w:start w:val="1"/>
      <w:numFmt w:val="lowerRoman"/>
      <w:lvlText w:val="%6."/>
      <w:lvlJc w:val="right"/>
      <w:pPr>
        <w:tabs>
          <w:tab w:val="num" w:pos="4320"/>
        </w:tabs>
        <w:ind w:left="4320" w:hanging="180"/>
      </w:pPr>
    </w:lvl>
    <w:lvl w:ilvl="6" w:tplc="AFE8EE06" w:tentative="1">
      <w:start w:val="1"/>
      <w:numFmt w:val="decimal"/>
      <w:lvlText w:val="%7."/>
      <w:lvlJc w:val="left"/>
      <w:pPr>
        <w:tabs>
          <w:tab w:val="num" w:pos="5040"/>
        </w:tabs>
        <w:ind w:left="5040" w:hanging="360"/>
      </w:pPr>
    </w:lvl>
    <w:lvl w:ilvl="7" w:tplc="E00CCFE2" w:tentative="1">
      <w:start w:val="1"/>
      <w:numFmt w:val="lowerLetter"/>
      <w:lvlText w:val="%8."/>
      <w:lvlJc w:val="left"/>
      <w:pPr>
        <w:tabs>
          <w:tab w:val="num" w:pos="5760"/>
        </w:tabs>
        <w:ind w:left="5760" w:hanging="360"/>
      </w:pPr>
    </w:lvl>
    <w:lvl w:ilvl="8" w:tplc="87F89A6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40A3B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ACAFC2C" w:tentative="1">
      <w:start w:val="1"/>
      <w:numFmt w:val="bullet"/>
      <w:lvlText w:val="o"/>
      <w:lvlJc w:val="left"/>
      <w:pPr>
        <w:tabs>
          <w:tab w:val="num" w:pos="2517"/>
        </w:tabs>
        <w:ind w:left="2517" w:hanging="360"/>
      </w:pPr>
      <w:rPr>
        <w:rFonts w:ascii="Courier New" w:hAnsi="Courier New" w:cs="Courier New" w:hint="default"/>
      </w:rPr>
    </w:lvl>
    <w:lvl w:ilvl="2" w:tplc="B260B678" w:tentative="1">
      <w:start w:val="1"/>
      <w:numFmt w:val="bullet"/>
      <w:lvlText w:val=""/>
      <w:lvlJc w:val="left"/>
      <w:pPr>
        <w:tabs>
          <w:tab w:val="num" w:pos="3237"/>
        </w:tabs>
        <w:ind w:left="3237" w:hanging="360"/>
      </w:pPr>
      <w:rPr>
        <w:rFonts w:ascii="Wingdings" w:hAnsi="Wingdings" w:hint="default"/>
      </w:rPr>
    </w:lvl>
    <w:lvl w:ilvl="3" w:tplc="9604A52C" w:tentative="1">
      <w:start w:val="1"/>
      <w:numFmt w:val="bullet"/>
      <w:lvlText w:val=""/>
      <w:lvlJc w:val="left"/>
      <w:pPr>
        <w:tabs>
          <w:tab w:val="num" w:pos="3957"/>
        </w:tabs>
        <w:ind w:left="3957" w:hanging="360"/>
      </w:pPr>
      <w:rPr>
        <w:rFonts w:ascii="Symbol" w:hAnsi="Symbol" w:hint="default"/>
      </w:rPr>
    </w:lvl>
    <w:lvl w:ilvl="4" w:tplc="122A54BC" w:tentative="1">
      <w:start w:val="1"/>
      <w:numFmt w:val="bullet"/>
      <w:lvlText w:val="o"/>
      <w:lvlJc w:val="left"/>
      <w:pPr>
        <w:tabs>
          <w:tab w:val="num" w:pos="4677"/>
        </w:tabs>
        <w:ind w:left="4677" w:hanging="360"/>
      </w:pPr>
      <w:rPr>
        <w:rFonts w:ascii="Courier New" w:hAnsi="Courier New" w:cs="Courier New" w:hint="default"/>
      </w:rPr>
    </w:lvl>
    <w:lvl w:ilvl="5" w:tplc="14A8F5B2" w:tentative="1">
      <w:start w:val="1"/>
      <w:numFmt w:val="bullet"/>
      <w:lvlText w:val=""/>
      <w:lvlJc w:val="left"/>
      <w:pPr>
        <w:tabs>
          <w:tab w:val="num" w:pos="5397"/>
        </w:tabs>
        <w:ind w:left="5397" w:hanging="360"/>
      </w:pPr>
      <w:rPr>
        <w:rFonts w:ascii="Wingdings" w:hAnsi="Wingdings" w:hint="default"/>
      </w:rPr>
    </w:lvl>
    <w:lvl w:ilvl="6" w:tplc="71DC65CA" w:tentative="1">
      <w:start w:val="1"/>
      <w:numFmt w:val="bullet"/>
      <w:lvlText w:val=""/>
      <w:lvlJc w:val="left"/>
      <w:pPr>
        <w:tabs>
          <w:tab w:val="num" w:pos="6117"/>
        </w:tabs>
        <w:ind w:left="6117" w:hanging="360"/>
      </w:pPr>
      <w:rPr>
        <w:rFonts w:ascii="Symbol" w:hAnsi="Symbol" w:hint="default"/>
      </w:rPr>
    </w:lvl>
    <w:lvl w:ilvl="7" w:tplc="5C466798" w:tentative="1">
      <w:start w:val="1"/>
      <w:numFmt w:val="bullet"/>
      <w:lvlText w:val="o"/>
      <w:lvlJc w:val="left"/>
      <w:pPr>
        <w:tabs>
          <w:tab w:val="num" w:pos="6837"/>
        </w:tabs>
        <w:ind w:left="6837" w:hanging="360"/>
      </w:pPr>
      <w:rPr>
        <w:rFonts w:ascii="Courier New" w:hAnsi="Courier New" w:cs="Courier New" w:hint="default"/>
      </w:rPr>
    </w:lvl>
    <w:lvl w:ilvl="8" w:tplc="C4A20D6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A0809BC">
      <w:start w:val="1"/>
      <w:numFmt w:val="decimal"/>
      <w:pStyle w:val="ATSNumber2"/>
      <w:lvlText w:val="%1."/>
      <w:lvlJc w:val="left"/>
      <w:pPr>
        <w:tabs>
          <w:tab w:val="num" w:pos="720"/>
        </w:tabs>
        <w:ind w:left="720" w:hanging="360"/>
      </w:pPr>
      <w:rPr>
        <w:rFonts w:hint="default"/>
      </w:rPr>
    </w:lvl>
    <w:lvl w:ilvl="1" w:tplc="B504131A" w:tentative="1">
      <w:start w:val="1"/>
      <w:numFmt w:val="lowerLetter"/>
      <w:lvlText w:val="%2."/>
      <w:lvlJc w:val="left"/>
      <w:pPr>
        <w:tabs>
          <w:tab w:val="num" w:pos="1440"/>
        </w:tabs>
        <w:ind w:left="1440" w:hanging="360"/>
      </w:pPr>
    </w:lvl>
    <w:lvl w:ilvl="2" w:tplc="0D62EA70" w:tentative="1">
      <w:start w:val="1"/>
      <w:numFmt w:val="lowerRoman"/>
      <w:lvlText w:val="%3."/>
      <w:lvlJc w:val="right"/>
      <w:pPr>
        <w:tabs>
          <w:tab w:val="num" w:pos="2160"/>
        </w:tabs>
        <w:ind w:left="2160" w:hanging="180"/>
      </w:pPr>
    </w:lvl>
    <w:lvl w:ilvl="3" w:tplc="79E4965E" w:tentative="1">
      <w:start w:val="1"/>
      <w:numFmt w:val="decimal"/>
      <w:lvlText w:val="%4."/>
      <w:lvlJc w:val="left"/>
      <w:pPr>
        <w:tabs>
          <w:tab w:val="num" w:pos="2880"/>
        </w:tabs>
        <w:ind w:left="2880" w:hanging="360"/>
      </w:pPr>
    </w:lvl>
    <w:lvl w:ilvl="4" w:tplc="0E2290AC" w:tentative="1">
      <w:start w:val="1"/>
      <w:numFmt w:val="lowerLetter"/>
      <w:lvlText w:val="%5."/>
      <w:lvlJc w:val="left"/>
      <w:pPr>
        <w:tabs>
          <w:tab w:val="num" w:pos="3600"/>
        </w:tabs>
        <w:ind w:left="3600" w:hanging="360"/>
      </w:pPr>
    </w:lvl>
    <w:lvl w:ilvl="5" w:tplc="784C6AF0" w:tentative="1">
      <w:start w:val="1"/>
      <w:numFmt w:val="lowerRoman"/>
      <w:lvlText w:val="%6."/>
      <w:lvlJc w:val="right"/>
      <w:pPr>
        <w:tabs>
          <w:tab w:val="num" w:pos="4320"/>
        </w:tabs>
        <w:ind w:left="4320" w:hanging="180"/>
      </w:pPr>
    </w:lvl>
    <w:lvl w:ilvl="6" w:tplc="0FB27E4E" w:tentative="1">
      <w:start w:val="1"/>
      <w:numFmt w:val="decimal"/>
      <w:lvlText w:val="%7."/>
      <w:lvlJc w:val="left"/>
      <w:pPr>
        <w:tabs>
          <w:tab w:val="num" w:pos="5040"/>
        </w:tabs>
        <w:ind w:left="5040" w:hanging="360"/>
      </w:pPr>
    </w:lvl>
    <w:lvl w:ilvl="7" w:tplc="D624B7EA" w:tentative="1">
      <w:start w:val="1"/>
      <w:numFmt w:val="lowerLetter"/>
      <w:lvlText w:val="%8."/>
      <w:lvlJc w:val="left"/>
      <w:pPr>
        <w:tabs>
          <w:tab w:val="num" w:pos="5760"/>
        </w:tabs>
        <w:ind w:left="5760" w:hanging="360"/>
      </w:pPr>
    </w:lvl>
    <w:lvl w:ilvl="8" w:tplc="34B21C66" w:tentative="1">
      <w:start w:val="1"/>
      <w:numFmt w:val="lowerRoman"/>
      <w:lvlText w:val="%9."/>
      <w:lvlJc w:val="right"/>
      <w:pPr>
        <w:tabs>
          <w:tab w:val="num" w:pos="6480"/>
        </w:tabs>
        <w:ind w:left="6480" w:hanging="180"/>
      </w:pPr>
    </w:lvl>
  </w:abstractNum>
  <w:num w:numId="1" w16cid:durableId="2098013246">
    <w:abstractNumId w:val="9"/>
  </w:num>
  <w:num w:numId="2" w16cid:durableId="1841656583">
    <w:abstractNumId w:val="7"/>
  </w:num>
  <w:num w:numId="3" w16cid:durableId="574323124">
    <w:abstractNumId w:val="6"/>
  </w:num>
  <w:num w:numId="4" w16cid:durableId="447087320">
    <w:abstractNumId w:val="5"/>
  </w:num>
  <w:num w:numId="5" w16cid:durableId="1584292256">
    <w:abstractNumId w:val="4"/>
  </w:num>
  <w:num w:numId="6" w16cid:durableId="1825312019">
    <w:abstractNumId w:val="8"/>
  </w:num>
  <w:num w:numId="7" w16cid:durableId="2110853889">
    <w:abstractNumId w:val="3"/>
  </w:num>
  <w:num w:numId="8" w16cid:durableId="1253051682">
    <w:abstractNumId w:val="2"/>
  </w:num>
  <w:num w:numId="9" w16cid:durableId="2058121092">
    <w:abstractNumId w:val="1"/>
  </w:num>
  <w:num w:numId="10" w16cid:durableId="933131377">
    <w:abstractNumId w:val="0"/>
  </w:num>
  <w:num w:numId="11" w16cid:durableId="2075003280">
    <w:abstractNumId w:val="11"/>
  </w:num>
  <w:num w:numId="12" w16cid:durableId="726342212">
    <w:abstractNumId w:val="15"/>
  </w:num>
  <w:num w:numId="13" w16cid:durableId="1028260232">
    <w:abstractNumId w:val="14"/>
  </w:num>
  <w:num w:numId="14" w16cid:durableId="842092353">
    <w:abstractNumId w:val="12"/>
  </w:num>
  <w:num w:numId="15" w16cid:durableId="1955743115">
    <w:abstractNumId w:val="13"/>
  </w:num>
  <w:num w:numId="16" w16cid:durableId="1670674880">
    <w:abstractNumId w:val="10"/>
  </w:num>
  <w:num w:numId="17" w16cid:durableId="469247690">
    <w:abstractNumId w:val="11"/>
  </w:num>
  <w:num w:numId="18" w16cid:durableId="521357214">
    <w:abstractNumId w:val="15"/>
  </w:num>
  <w:num w:numId="19" w16cid:durableId="1748533083">
    <w:abstractNumId w:val="14"/>
  </w:num>
  <w:num w:numId="20" w16cid:durableId="17984055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24"/>
    <w:rsid w:val="00000F03"/>
    <w:rsid w:val="00433B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C25B1"/>
  <w15:chartTrackingRefBased/>
  <w15:docId w15:val="{8F29331C-9337-4D05-976C-828495E3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link w:val="ATSTitleChar"/>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1">
    <w:name w:val="p1"/>
    <w:basedOn w:val="Normal"/>
    <w:rsid w:val="00000F03"/>
    <w:rPr>
      <w:rFonts w:ascii="Helvetica" w:hAnsi="Helvetica"/>
      <w:color w:val="84A8BD"/>
      <w:sz w:val="27"/>
      <w:szCs w:val="27"/>
      <w:lang w:val="en-US"/>
    </w:rPr>
  </w:style>
  <w:style w:type="character" w:customStyle="1" w:styleId="ATSTitleChar">
    <w:name w:val="ATS Title Char"/>
    <w:basedOn w:val="Fuentedeprrafopredeter"/>
    <w:link w:val="ATSTitle"/>
    <w:rsid w:val="00000F03"/>
    <w:rPr>
      <w:rFonts w:ascii="Arial" w:hAnsi="Arial"/>
      <w:b/>
      <w:sz w:val="4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ats.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ts.a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Jose\Documents\Jose%20NEW%20XXI\ATCM\ATCM%202023%20Finland\Papers%20ATCM%20PT\3%20YES%20Jose%20Xavier%20E%20&amp;%20O\Paper%20ATCM%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tx1"/>
            </a:solidFill>
            <a:ln>
              <a:solidFill>
                <a:schemeClr val="tx1"/>
              </a:solidFill>
            </a:ln>
            <a:effectLst/>
          </c:spPr>
          <c:invertIfNegative val="0"/>
          <c:dPt>
            <c:idx val="12"/>
            <c:invertIfNegative val="0"/>
            <c:bubble3D val="0"/>
            <c:spPr>
              <a:solidFill>
                <a:srgbClr val="FF0000"/>
              </a:solidFill>
              <a:ln>
                <a:solidFill>
                  <a:schemeClr val="tx1"/>
                </a:solidFill>
              </a:ln>
              <a:effectLst/>
            </c:spPr>
            <c:extLst>
              <c:ext xmlns:c16="http://schemas.microsoft.com/office/drawing/2014/chart" uri="{C3380CC4-5D6E-409C-BE32-E72D297353CC}">
                <c16:uniqueId val="{00000001-EDFD-4CEC-B5A1-FD50664D3B27}"/>
              </c:ext>
            </c:extLst>
          </c:dPt>
          <c:cat>
            <c:numRef>
              <c:f>Figures!$G$5:$G$18</c:f>
              <c:numCache>
                <c:formatCode>General</c:formatCode>
                <c:ptCount val="14"/>
                <c:pt idx="0">
                  <c:v>1960</c:v>
                </c:pt>
                <c:pt idx="1">
                  <c:v>1965</c:v>
                </c:pt>
                <c:pt idx="2">
                  <c:v>1970</c:v>
                </c:pt>
                <c:pt idx="3">
                  <c:v>1975</c:v>
                </c:pt>
                <c:pt idx="4">
                  <c:v>1980</c:v>
                </c:pt>
                <c:pt idx="5">
                  <c:v>1985</c:v>
                </c:pt>
                <c:pt idx="6">
                  <c:v>1990</c:v>
                </c:pt>
                <c:pt idx="7">
                  <c:v>1995</c:v>
                </c:pt>
                <c:pt idx="8">
                  <c:v>2000</c:v>
                </c:pt>
                <c:pt idx="9">
                  <c:v>2005</c:v>
                </c:pt>
                <c:pt idx="10">
                  <c:v>2010</c:v>
                </c:pt>
                <c:pt idx="11">
                  <c:v>2015</c:v>
                </c:pt>
                <c:pt idx="12">
                  <c:v>2020</c:v>
                </c:pt>
                <c:pt idx="13">
                  <c:v>2025</c:v>
                </c:pt>
              </c:numCache>
            </c:numRef>
          </c:cat>
          <c:val>
            <c:numRef>
              <c:f>Figures!$H$5:$H$18</c:f>
              <c:numCache>
                <c:formatCode>General</c:formatCode>
                <c:ptCount val="14"/>
                <c:pt idx="0">
                  <c:v>0</c:v>
                </c:pt>
                <c:pt idx="1">
                  <c:v>0</c:v>
                </c:pt>
                <c:pt idx="2">
                  <c:v>1</c:v>
                </c:pt>
                <c:pt idx="3">
                  <c:v>0</c:v>
                </c:pt>
                <c:pt idx="4">
                  <c:v>0</c:v>
                </c:pt>
                <c:pt idx="5">
                  <c:v>1</c:v>
                </c:pt>
                <c:pt idx="6">
                  <c:v>2</c:v>
                </c:pt>
                <c:pt idx="7">
                  <c:v>22</c:v>
                </c:pt>
                <c:pt idx="8">
                  <c:v>1</c:v>
                </c:pt>
                <c:pt idx="9">
                  <c:v>31</c:v>
                </c:pt>
                <c:pt idx="10">
                  <c:v>32</c:v>
                </c:pt>
                <c:pt idx="11">
                  <c:v>83</c:v>
                </c:pt>
                <c:pt idx="12">
                  <c:v>27</c:v>
                </c:pt>
                <c:pt idx="13">
                  <c:v>0</c:v>
                </c:pt>
              </c:numCache>
            </c:numRef>
          </c:val>
          <c:extLst>
            <c:ext xmlns:c16="http://schemas.microsoft.com/office/drawing/2014/chart" uri="{C3380CC4-5D6E-409C-BE32-E72D297353CC}">
              <c16:uniqueId val="{00000002-EDFD-4CEC-B5A1-FD50664D3B27}"/>
            </c:ext>
          </c:extLst>
        </c:ser>
        <c:dLbls>
          <c:showLegendKey val="0"/>
          <c:showVal val="0"/>
          <c:showCatName val="0"/>
          <c:showSerName val="0"/>
          <c:showPercent val="0"/>
          <c:showBubbleSize val="0"/>
        </c:dLbls>
        <c:gapWidth val="219"/>
        <c:overlap val="-27"/>
        <c:axId val="1249936480"/>
        <c:axId val="1246162240"/>
      </c:barChart>
      <c:catAx>
        <c:axId val="1249936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46162240"/>
        <c:crosses val="autoZero"/>
        <c:auto val="1"/>
        <c:lblAlgn val="ctr"/>
        <c:lblOffset val="100"/>
        <c:noMultiLvlLbl val="0"/>
      </c:catAx>
      <c:valAx>
        <c:axId val="12461622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papers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A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249936480"/>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1265</Words>
  <Characters>8518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2023-04-21T11:04:00Z</dcterms:modified>
</cp:coreProperties>
</file>