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3FBA0" w14:textId="77777777" w:rsidR="00C26F2D" w:rsidRPr="00BF077B" w:rsidRDefault="00AA2AB9" w:rsidP="00BF077B">
      <w:pPr>
        <w:pStyle w:val="ATSNormal"/>
        <w:rPr>
          <w:rStyle w:val="Ttulodellibro"/>
        </w:rPr>
      </w:pPr>
    </w:p>
    <w:p w14:paraId="4728E6F1" w14:textId="77777777" w:rsidR="002F0A13" w:rsidRDefault="00AA2AB9" w:rsidP="004B4A60">
      <w:pPr>
        <w:rPr>
          <w:b/>
          <w:u w:val="single"/>
          <w:lang w:val="es-ES_tradnl"/>
        </w:rPr>
      </w:pPr>
    </w:p>
    <w:p w14:paraId="07307FC6" w14:textId="77777777" w:rsidR="002F0A13" w:rsidRDefault="00AA2AB9" w:rsidP="004B4A60">
      <w:pPr>
        <w:rPr>
          <w:b/>
          <w:u w:val="single"/>
          <w:lang w:val="es-ES_tradnl"/>
        </w:rPr>
      </w:pPr>
    </w:p>
    <w:p w14:paraId="6AA288B2" w14:textId="77777777" w:rsidR="002F0A13" w:rsidRDefault="00AA2AB9" w:rsidP="004B4A60">
      <w:pPr>
        <w:rPr>
          <w:b/>
          <w:u w:val="single"/>
          <w:lang w:val="es-ES_tradnl"/>
        </w:rPr>
      </w:pPr>
    </w:p>
    <w:p w14:paraId="78631696" w14:textId="77777777" w:rsidR="002F0A13" w:rsidRDefault="00AA2AB9" w:rsidP="004B4A60">
      <w:pPr>
        <w:rPr>
          <w:b/>
          <w:u w:val="single"/>
          <w:lang w:val="es-ES_tradnl"/>
        </w:rPr>
      </w:pPr>
    </w:p>
    <w:p w14:paraId="0C667759" w14:textId="77777777" w:rsidR="00C26F2D" w:rsidRDefault="00AA2AB9" w:rsidP="004B4A60">
      <w:pPr>
        <w:rPr>
          <w:b/>
          <w:u w:val="single"/>
          <w:lang w:val="es-ES_tradnl"/>
        </w:rPr>
      </w:pPr>
    </w:p>
    <w:p w14:paraId="51FD58BD" w14:textId="77777777" w:rsidR="004B4A60" w:rsidRPr="0057246E" w:rsidRDefault="00AA2AB9" w:rsidP="001B789F">
      <w:pPr>
        <w:pStyle w:val="ATSTitle"/>
      </w:pPr>
      <w:bookmarkStart w:id="0" w:name="name"/>
      <w:r>
        <w:t>Managing threats to Antarctic terrestrial biodiversity</w:t>
      </w:r>
      <w:bookmarkEnd w:id="0"/>
    </w:p>
    <w:p w14:paraId="7F422878" w14:textId="77777777" w:rsidR="004B4A60" w:rsidRPr="0057246E" w:rsidRDefault="00AA2AB9" w:rsidP="00F75424">
      <w:pPr>
        <w:jc w:val="center"/>
      </w:pPr>
    </w:p>
    <w:p w14:paraId="28176D52" w14:textId="77777777" w:rsidR="004B4A60" w:rsidRPr="002F0A13" w:rsidRDefault="00AA2AB9" w:rsidP="002F0A13"/>
    <w:p w14:paraId="25C9A1A8" w14:textId="77777777" w:rsidR="004B4A60" w:rsidRDefault="00AA2AB9" w:rsidP="00F75424">
      <w:pPr>
        <w:jc w:val="center"/>
      </w:pPr>
      <w:bookmarkStart w:id="1" w:name="memo"/>
      <w:bookmarkEnd w:id="1"/>
    </w:p>
    <w:p w14:paraId="434B6CB8" w14:textId="77777777" w:rsidR="0097629D" w:rsidRDefault="00AA2AB9" w:rsidP="00F75424">
      <w:pPr>
        <w:jc w:val="center"/>
      </w:pPr>
    </w:p>
    <w:p w14:paraId="3F969BA5" w14:textId="77777777" w:rsidR="0097629D" w:rsidRDefault="00AA2AB9" w:rsidP="00F75424">
      <w:pPr>
        <w:jc w:val="center"/>
      </w:pPr>
    </w:p>
    <w:p w14:paraId="0FDDE9C1" w14:textId="77777777" w:rsidR="0097629D" w:rsidRDefault="00AA2AB9" w:rsidP="00F75424">
      <w:pPr>
        <w:jc w:val="center"/>
      </w:pPr>
    </w:p>
    <w:p w14:paraId="4F5D384D" w14:textId="77777777" w:rsidR="0097629D" w:rsidRPr="00C26F2D" w:rsidRDefault="00AA2AB9" w:rsidP="00F75424">
      <w:pPr>
        <w:jc w:val="center"/>
      </w:pPr>
    </w:p>
    <w:p w14:paraId="4645BBBD" w14:textId="77777777" w:rsidR="004B4A60" w:rsidRPr="0057246E" w:rsidRDefault="00AA2AB9" w:rsidP="004B4A60"/>
    <w:p w14:paraId="7C400C5C" w14:textId="77777777" w:rsidR="00C26F2D" w:rsidRDefault="00AA2AB9"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6D952F04" w14:textId="77777777" w:rsidR="00AA2AB9" w:rsidRPr="00883B1E" w:rsidRDefault="00AA2AB9" w:rsidP="00AA2AB9">
      <w:pPr>
        <w:pStyle w:val="ATSHeading1"/>
        <w:rPr>
          <w:rFonts w:cs="Arial"/>
          <w:b w:val="0"/>
          <w:bCs/>
          <w:szCs w:val="32"/>
        </w:rPr>
      </w:pPr>
      <w:r>
        <w:rPr>
          <w:rFonts w:cs="Arial"/>
          <w:bCs/>
          <w:szCs w:val="32"/>
        </w:rPr>
        <w:lastRenderedPageBreak/>
        <w:t>M</w:t>
      </w:r>
      <w:r w:rsidRPr="00C143CC">
        <w:t>anaging</w:t>
      </w:r>
      <w:r>
        <w:rPr>
          <w:rFonts w:cs="Arial"/>
          <w:bCs/>
          <w:szCs w:val="32"/>
        </w:rPr>
        <w:t xml:space="preserve"> threats to </w:t>
      </w:r>
      <w:r w:rsidRPr="00883B1E">
        <w:rPr>
          <w:rFonts w:cs="Arial"/>
          <w:bCs/>
          <w:szCs w:val="32"/>
        </w:rPr>
        <w:t>Antarctic terrestrial biodiversity</w:t>
      </w:r>
    </w:p>
    <w:p w14:paraId="0F399A60" w14:textId="77777777" w:rsidR="00AA2AB9" w:rsidRPr="00C143CC" w:rsidRDefault="00AA2AB9" w:rsidP="00AA2AB9">
      <w:pPr>
        <w:pStyle w:val="ATSNormal"/>
        <w:jc w:val="center"/>
        <w:rPr>
          <w:b/>
        </w:rPr>
      </w:pPr>
      <w:r w:rsidRPr="00C143CC">
        <w:rPr>
          <w:b/>
        </w:rPr>
        <w:t xml:space="preserve">Information </w:t>
      </w:r>
      <w:r>
        <w:rPr>
          <w:b/>
        </w:rPr>
        <w:t>P</w:t>
      </w:r>
      <w:r w:rsidRPr="00C143CC">
        <w:rPr>
          <w:b/>
        </w:rPr>
        <w:t>aper submitted by Australia</w:t>
      </w:r>
      <w:r>
        <w:rPr>
          <w:b/>
        </w:rPr>
        <w:t>, Belgium, France, Japan, New Zealand, Norway, Spain, United Kingdom, United States, SCAR, ASOC, IAATO</w:t>
      </w:r>
    </w:p>
    <w:p w14:paraId="2FE41A56" w14:textId="77777777" w:rsidR="00AA2AB9" w:rsidRPr="00DC6C01" w:rsidRDefault="00AA2AB9" w:rsidP="00AA2AB9">
      <w:pPr>
        <w:pStyle w:val="ATSHeading2"/>
        <w:rPr>
          <w:rFonts w:cs="Arial"/>
          <w:b w:val="0"/>
          <w:bCs/>
          <w:i w:val="0"/>
          <w:iCs/>
          <w:szCs w:val="24"/>
        </w:rPr>
      </w:pPr>
      <w:r w:rsidRPr="00C143CC">
        <w:rPr>
          <w:rFonts w:cs="Arial"/>
          <w:bCs/>
          <w:iCs/>
          <w:szCs w:val="24"/>
        </w:rPr>
        <w:t>Summary</w:t>
      </w:r>
    </w:p>
    <w:p w14:paraId="5CD31754" w14:textId="77777777" w:rsidR="00AA2AB9" w:rsidRDefault="00AA2AB9" w:rsidP="00AA2AB9">
      <w:pPr>
        <w:pStyle w:val="ATSNormal"/>
      </w:pPr>
      <w:r>
        <w:t xml:space="preserve">Recent research published in </w:t>
      </w:r>
      <w:r w:rsidRPr="0078283E">
        <w:rPr>
          <w:i/>
          <w:iCs/>
        </w:rPr>
        <w:t>P</w:t>
      </w:r>
      <w:r>
        <w:rPr>
          <w:i/>
          <w:iCs/>
        </w:rPr>
        <w:t>LOS</w:t>
      </w:r>
      <w:r w:rsidRPr="0078283E">
        <w:rPr>
          <w:i/>
          <w:iCs/>
        </w:rPr>
        <w:t xml:space="preserve"> Biology</w:t>
      </w:r>
      <w:r>
        <w:t xml:space="preserve"> by Lee et al. (2022), on strategies for managing threats to Antarctic terrestrial biodiversity, found that an estimated 65% of terrestrial species groups and land-associated seabirds are likely to decline by 2100 under current trajectories. In assessing the benefits of several possible threat management strategies, it found that influencing global policy to effectively mitigate climate change would deliver the greatest benefits, while a range of actions to minimise threats from activities within the Antarctic region would also be highly beneficial. The study concluded that simultaneously pursuing global and regional efforts would provide the best chance of protecting Antarctica’s terrestrial biodiversity into the future. These findings are relevant to the Committee’s work on several priority issues, including to maintain awareness of threats to biodiversity, and to prepare for, and build resilience to the environmental impacts of a changing climate. </w:t>
      </w:r>
    </w:p>
    <w:p w14:paraId="2932D34C" w14:textId="77777777" w:rsidR="00AA2AB9" w:rsidRPr="004078A3" w:rsidRDefault="00AA2AB9" w:rsidP="00AA2AB9">
      <w:pPr>
        <w:pStyle w:val="ATSHeading2"/>
      </w:pPr>
      <w:r>
        <w:t>Background</w:t>
      </w:r>
    </w:p>
    <w:p w14:paraId="1DE0E606" w14:textId="77777777" w:rsidR="00AA2AB9" w:rsidRDefault="00AA2AB9" w:rsidP="00AA2AB9">
      <w:pPr>
        <w:pStyle w:val="ATSNormal"/>
      </w:pPr>
      <w:r>
        <w:t xml:space="preserve">There is substantial information available to the CEP on threats to Antarctic terrestrial ecosystems, such as non-native species, pollution, human activities, and climate change. However, as identified in the CEP Five-Year Work Plan and Climate Change Response Work Program (CCRWP), there is a need for greater understanding of how vulnerable terrestrial species are to such threats. For example, science, knowledge and information needs identified in the Five-Year Work Plan include to ‘improve understanding of current and future changes to the terrestrial biotic and abiotic environment due to climate change’, as well as to ‘understand population status, trends, vulnerability and distribution of key Antarctic species’. A recent publication in the journal </w:t>
      </w:r>
      <w:r w:rsidRPr="0078283E">
        <w:rPr>
          <w:i/>
          <w:iCs/>
        </w:rPr>
        <w:t>P</w:t>
      </w:r>
      <w:r>
        <w:rPr>
          <w:i/>
          <w:iCs/>
        </w:rPr>
        <w:t>LOS</w:t>
      </w:r>
      <w:r w:rsidRPr="0078283E">
        <w:rPr>
          <w:i/>
          <w:iCs/>
        </w:rPr>
        <w:t xml:space="preserve"> Biology</w:t>
      </w:r>
      <w:r>
        <w:t xml:space="preserve"> by Lee et al. (2022) on ‘</w:t>
      </w:r>
      <w:r w:rsidRPr="00126C2C">
        <w:rPr>
          <w:iCs/>
        </w:rPr>
        <w:t>Threat management priorities for conserving Antarctic biodiversity</w:t>
      </w:r>
      <w:r>
        <w:rPr>
          <w:iCs/>
        </w:rPr>
        <w:t xml:space="preserve">’ </w:t>
      </w:r>
      <w:r>
        <w:t xml:space="preserve">assesses the vulnerability of Antarctic </w:t>
      </w:r>
      <w:r w:rsidRPr="007E7E53">
        <w:t xml:space="preserve">terrestrial </w:t>
      </w:r>
      <w:r w:rsidRPr="00C55111">
        <w:t>species</w:t>
      </w:r>
      <w:r w:rsidRPr="007E7E53">
        <w:t xml:space="preserve"> to</w:t>
      </w:r>
      <w:r>
        <w:t xml:space="preserve"> multiple threats. This paper summarises the research and key findings likely to be of interest to the CEP.</w:t>
      </w:r>
    </w:p>
    <w:p w14:paraId="57E53EBB" w14:textId="77777777" w:rsidR="00AA2AB9" w:rsidRDefault="00AA2AB9" w:rsidP="00AA2AB9">
      <w:pPr>
        <w:pStyle w:val="ATSHeading2"/>
      </w:pPr>
      <w:r>
        <w:t>Research approach</w:t>
      </w:r>
    </w:p>
    <w:p w14:paraId="10A481E0" w14:textId="77777777" w:rsidR="00AA2AB9" w:rsidRDefault="00AA2AB9" w:rsidP="00AA2AB9">
      <w:pPr>
        <w:pStyle w:val="ATSNormal"/>
      </w:pPr>
      <w:r>
        <w:t xml:space="preserve">The study used a participatory decision-science approach that incorporated expert knowledge and available empirical data, involving 29 diverse experts from 12 countries. Each expert had comprehensive knowledge of at least one of the following: biodiversity, policymaking, logistics, tourism, or conservation. </w:t>
      </w:r>
    </w:p>
    <w:p w14:paraId="12171E1C" w14:textId="77777777" w:rsidR="00AA2AB9" w:rsidRDefault="00AA2AB9" w:rsidP="00AA2AB9">
      <w:pPr>
        <w:pStyle w:val="ATSNormal"/>
      </w:pPr>
      <w:r>
        <w:t xml:space="preserve">Terrestrial species were considered in 38 groups, representing species expected to respond similarly to threats and management actions. Experts in each species group </w:t>
      </w:r>
      <w:r w:rsidRPr="00A90D43">
        <w:t xml:space="preserve">assessed the future (2100) status of </w:t>
      </w:r>
      <w:r>
        <w:t xml:space="preserve">that group </w:t>
      </w:r>
      <w:r w:rsidRPr="00A90D43">
        <w:t xml:space="preserve">compared to the current (2017) status </w:t>
      </w:r>
      <w:r>
        <w:t xml:space="preserve">under </w:t>
      </w:r>
      <w:r w:rsidRPr="00A90D43">
        <w:t xml:space="preserve">existing management mechanisms </w:t>
      </w:r>
      <w:r>
        <w:t xml:space="preserve">and </w:t>
      </w:r>
      <w:r w:rsidRPr="00A90D43">
        <w:t xml:space="preserve">under two Intergovernmental Panel on Climate Change (IPCC) Representative Concentration Pathway (RCP) climate forcing scenarios (RCP4.5 </w:t>
      </w:r>
      <w:r>
        <w:t>and</w:t>
      </w:r>
      <w:r w:rsidRPr="00A90D43">
        <w:t xml:space="preserve"> RCP8.5)</w:t>
      </w:r>
      <w:r>
        <w:t>. They then assessed the future status of each group when applying 13 management strategies that could be undertaken by the Antarctic community (Table 1), each of which consisted of a number of independent actions</w:t>
      </w:r>
      <w:r>
        <w:rPr>
          <w:rStyle w:val="Refdenotaalpie"/>
        </w:rPr>
        <w:footnoteReference w:id="1"/>
      </w:r>
      <w:r>
        <w:t xml:space="preserve"> to meet the strategy’s objectives. The difference between the current and future status gave the benefit of each strategy for each group. </w:t>
      </w:r>
    </w:p>
    <w:p w14:paraId="1BEAC056" w14:textId="77777777" w:rsidR="00AA2AB9" w:rsidRPr="004078A3" w:rsidRDefault="00AA2AB9" w:rsidP="00AA2AB9">
      <w:pPr>
        <w:pStyle w:val="ATSHeading2"/>
      </w:pPr>
      <w:r w:rsidRPr="000F555A">
        <w:lastRenderedPageBreak/>
        <w:t>Key findings</w:t>
      </w:r>
    </w:p>
    <w:p w14:paraId="17E16482" w14:textId="77777777" w:rsidR="00AA2AB9" w:rsidRDefault="00AA2AB9" w:rsidP="00AA2AB9">
      <w:pPr>
        <w:pStyle w:val="ATSNormal"/>
      </w:pPr>
      <w:r>
        <w:t>The study estimated that 65% of the species groups (at best 37%, at worst 97%) are likely to decline by 2100 under current management efforts and climate trajectories, with the degree of decline varying for each group (see Figure 1).</w:t>
      </w:r>
      <w:r w:rsidRPr="00D73DC2">
        <w:t xml:space="preserve"> </w:t>
      </w:r>
      <w:r>
        <w:t>Groups of highly adapted, endemic species (e.g. emperor penguins, Adélie penguins and dry soil nematodes) were identified as the most vulnerable, with emperor penguins being the only group at risk of extinction by 2100.</w:t>
      </w:r>
    </w:p>
    <w:p w14:paraId="3CD98AB8" w14:textId="77777777" w:rsidR="00AA2AB9" w:rsidRDefault="00AA2AB9" w:rsidP="00AA2AB9">
      <w:pPr>
        <w:pStyle w:val="ATSNormal"/>
      </w:pPr>
      <w:r>
        <w:t>Some groups, such as bank-forming moss and the two native vascular plants (</w:t>
      </w:r>
      <w:r w:rsidRPr="004556E7">
        <w:rPr>
          <w:i/>
          <w:iCs/>
        </w:rPr>
        <w:t>Colobanthus quitensis</w:t>
      </w:r>
      <w:r>
        <w:t xml:space="preserve"> and </w:t>
      </w:r>
      <w:r w:rsidRPr="004556E7">
        <w:rPr>
          <w:i/>
          <w:iCs/>
        </w:rPr>
        <w:t>Deschampsia antarctica</w:t>
      </w:r>
      <w:r>
        <w:t>) were predicted to benefit from climate change, and may expand their populations or ranges, at least initially. Gentoo penguins were the only land-associated seabird predicted to benefit from climate change. The study noted these species would not continue expanding indefinitely and the longer-term impacts of environmental change for all species remained uncertain and complex.</w:t>
      </w:r>
    </w:p>
    <w:p w14:paraId="00AB973B" w14:textId="77777777" w:rsidR="00AA2AB9" w:rsidRDefault="00AA2AB9" w:rsidP="00AA2AB9">
      <w:pPr>
        <w:pStyle w:val="ATSNormal"/>
      </w:pPr>
      <w:r>
        <w:t>The study found implementing ten key management strategies in parallel could benefit up to 84% of species groups. Influencing global policy to effectively mitigate climate change would provide the highest benefit to all groups, while minimising threats from activities within the Antarctic region is also highly beneficial, including managing non-native species and disease, managing and protecting species, and managing transport and new infrastructure (see Figure 2).</w:t>
      </w:r>
    </w:p>
    <w:p w14:paraId="51D55281" w14:textId="77777777" w:rsidR="00AA2AB9" w:rsidRPr="00C143CC" w:rsidRDefault="00AA2AB9" w:rsidP="00AA2AB9">
      <w:pPr>
        <w:pStyle w:val="ATSHeading2"/>
      </w:pPr>
      <w:r w:rsidRPr="00C143CC">
        <w:t>Conclusions</w:t>
      </w:r>
    </w:p>
    <w:p w14:paraId="7FCAEECF" w14:textId="77777777" w:rsidR="00AA2AB9" w:rsidRPr="00883B1E" w:rsidRDefault="00AA2AB9" w:rsidP="00AA2AB9">
      <w:pPr>
        <w:pStyle w:val="ATSNormal"/>
      </w:pPr>
      <w:r>
        <w:t xml:space="preserve">This research is </w:t>
      </w:r>
      <w:r w:rsidRPr="005E3830">
        <w:t xml:space="preserve">relevant to the </w:t>
      </w:r>
      <w:r w:rsidRPr="00D73DC2">
        <w:t xml:space="preserve">Committee’s work on </w:t>
      </w:r>
      <w:r>
        <w:t>several</w:t>
      </w:r>
      <w:r w:rsidRPr="00D73DC2">
        <w:t xml:space="preserve"> priority issues, including </w:t>
      </w:r>
      <w:r w:rsidRPr="00042163">
        <w:t xml:space="preserve">to </w:t>
      </w:r>
      <w:r>
        <w:t>‘</w:t>
      </w:r>
      <w:r w:rsidRPr="00042163">
        <w:t>maintain awareness of threats to existing biodiversity</w:t>
      </w:r>
      <w:r>
        <w:t>’</w:t>
      </w:r>
      <w:r w:rsidRPr="00042163">
        <w:t xml:space="preserve">, and </w:t>
      </w:r>
      <w:r w:rsidRPr="00126C2C">
        <w:t xml:space="preserve">to </w:t>
      </w:r>
      <w:r>
        <w:t>‘</w:t>
      </w:r>
      <w:r w:rsidRPr="00126C2C">
        <w:t xml:space="preserve">prepare for, and build resilience to </w:t>
      </w:r>
      <w:r>
        <w:t xml:space="preserve">the environmental impacts of a changing </w:t>
      </w:r>
      <w:r w:rsidRPr="00126C2C">
        <w:t>climate</w:t>
      </w:r>
      <w:r>
        <w:t xml:space="preserve">’ </w:t>
      </w:r>
      <w:r w:rsidRPr="00126C2C">
        <w:t>through implementation and review of the CCRWP. It is a</w:t>
      </w:r>
      <w:r w:rsidRPr="00191832">
        <w:t xml:space="preserve">lso likely to be valuable for work in other priority areas, including management of non-native species, tourism and non-governmental activities, and repair or remediation of environmental damage, as well as discussions on reviewing the </w:t>
      </w:r>
      <w:r>
        <w:t xml:space="preserve">Committee’s </w:t>
      </w:r>
      <w:r w:rsidRPr="00191832">
        <w:t xml:space="preserve">strategic priorities and associated actions. </w:t>
      </w:r>
      <w:r w:rsidRPr="00C55111">
        <w:t xml:space="preserve">Consistent with ATCM Resolution 8 (2021) on Antarctica in a Changing Climate, the findings reaffirm the importance </w:t>
      </w:r>
      <w:r>
        <w:t xml:space="preserve">of simultaneously pursuing global and regional efforts </w:t>
      </w:r>
      <w:r w:rsidRPr="00C55111">
        <w:t xml:space="preserve">to </w:t>
      </w:r>
      <w:r>
        <w:t>protect Antarctica’s terrestrial biodiversity into the future</w:t>
      </w:r>
    </w:p>
    <w:p w14:paraId="27387F99" w14:textId="77777777" w:rsidR="00AA2AB9" w:rsidRPr="00C423D0" w:rsidRDefault="00AA2AB9" w:rsidP="00AA2AB9">
      <w:pPr>
        <w:pStyle w:val="ATSHeading2"/>
      </w:pPr>
      <w:r>
        <w:t>References</w:t>
      </w:r>
    </w:p>
    <w:p w14:paraId="3D83E8EC" w14:textId="77777777" w:rsidR="00AA2AB9" w:rsidRDefault="00AA2AB9" w:rsidP="00AA2AB9">
      <w:pPr>
        <w:pStyle w:val="ATSNormal"/>
      </w:pPr>
      <w:r w:rsidRPr="00C423D0">
        <w:t xml:space="preserve">Lee J.R., Terauds A., Carwardine J., Shaw J.D., Fuller R.A., Possingham H.P., Chown S.L., Convey, P., Gilbert, N., Hughes, K.A., McIvor, E., Robinson, S.A., Ropert-Coudert, Y., Bergstrom, D.M., Biersma, E.M., Christian, C., Cowan, D.A., Frenot, Y., Jenouvrier, S., Kelley, L., Lee, M.J., Lynch, H., Njåstad, B., Quesada, A., Roura, R., Shaw, E.A., Stanwell-Smith, D., Tsujimoto, M., Wall, D.H., Wilmotte, A., Chadès, I. (2022) Threat management priorities for conserving Antarctic biodiversity. </w:t>
      </w:r>
      <w:r w:rsidRPr="00C423D0">
        <w:rPr>
          <w:i/>
          <w:iCs/>
        </w:rPr>
        <w:t>PLOS Biology</w:t>
      </w:r>
      <w:r w:rsidRPr="00C423D0">
        <w:t xml:space="preserve"> 20(12):e3001921. </w:t>
      </w:r>
      <w:hyperlink r:id="rId11" w:history="1">
        <w:r w:rsidRPr="00C423D0">
          <w:rPr>
            <w:rStyle w:val="Hipervnculo"/>
          </w:rPr>
          <w:t>doi:10.1371/journal.pbio.3001921</w:t>
        </w:r>
      </w:hyperlink>
    </w:p>
    <w:p w14:paraId="088B857F" w14:textId="77777777" w:rsidR="00AA2AB9" w:rsidRDefault="00AA2AB9" w:rsidP="00AA2AB9">
      <w:pPr>
        <w:pStyle w:val="ATSNormal"/>
      </w:pPr>
      <w:r>
        <w:t>The actions underlying each of the management strategies are available on the journal website in the supplementary material (</w:t>
      </w:r>
      <w:hyperlink r:id="rId12" w:history="1">
        <w:r w:rsidRPr="006A79F5">
          <w:rPr>
            <w:rStyle w:val="Hipervnculo"/>
          </w:rPr>
          <w:t>S1 Data</w:t>
        </w:r>
      </w:hyperlink>
      <w:r>
        <w:t>).</w:t>
      </w:r>
    </w:p>
    <w:p w14:paraId="6B8D11DB" w14:textId="77777777" w:rsidR="00AA2AB9" w:rsidRPr="00B81734" w:rsidRDefault="00AA2AB9" w:rsidP="00AA2AB9">
      <w:pPr>
        <w:pStyle w:val="ATSNormal"/>
        <w:rPr>
          <w:bCs/>
        </w:rPr>
      </w:pPr>
      <w:r>
        <w:t xml:space="preserve">The intactness values representing how vulnerable species groups are, and how much each management strategy benefits them, are publicly available for download from the Australian Antarctic Data Centre: </w:t>
      </w:r>
      <w:hyperlink r:id="rId13" w:history="1">
        <w:r w:rsidRPr="00516703">
          <w:rPr>
            <w:rStyle w:val="Hipervnculo"/>
          </w:rPr>
          <w:t>https://doi.org/10.26179/5da8f8e7a2256</w:t>
        </w:r>
      </w:hyperlink>
    </w:p>
    <w:p w14:paraId="1DF2EBA8" w14:textId="77777777" w:rsidR="00AA2AB9" w:rsidRDefault="00AA2AB9" w:rsidP="00AA2AB9">
      <w:r>
        <w:rPr>
          <w:b/>
        </w:rPr>
        <w:br w:type="page"/>
      </w:r>
      <w:r w:rsidRPr="008E1E32">
        <w:rPr>
          <w:b/>
        </w:rPr>
        <w:lastRenderedPageBreak/>
        <w:t xml:space="preserve">Table 1. </w:t>
      </w:r>
      <w:r w:rsidRPr="00315938">
        <w:t>Overview of proposed strategies for managing threats to terrestrial Antarctic biodiversity. Shorthand</w:t>
      </w:r>
      <w:r w:rsidRPr="008E1E32">
        <w:t xml:space="preserve"> strategy names are given in brackets. ‘Current’ refers to the state of the Antarctic environment and associated management actions in 2017. Grey shading identifies global strategies or a combination of regional and global strategies. More details on each strategy are provided in S1 Data.</w:t>
      </w:r>
    </w:p>
    <w:p w14:paraId="0B47517E" w14:textId="77777777" w:rsidR="00AA2AB9" w:rsidRPr="008E1E32" w:rsidRDefault="00AA2AB9" w:rsidP="00AA2AB9">
      <w:pPr>
        <w:pStyle w:val="ATSNormal"/>
      </w:pPr>
    </w:p>
    <w:tbl>
      <w:tblPr>
        <w:tblStyle w:val="Tablaconcuadrcula"/>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499"/>
        <w:gridCol w:w="6006"/>
      </w:tblGrid>
      <w:tr w:rsidR="00AA2AB9" w:rsidRPr="00315938" w14:paraId="3FE039CE" w14:textId="77777777" w:rsidTr="00972A89">
        <w:tc>
          <w:tcPr>
            <w:tcW w:w="1469" w:type="pct"/>
          </w:tcPr>
          <w:p w14:paraId="4A0E10DC" w14:textId="77777777" w:rsidR="00AA2AB9" w:rsidRPr="00315938" w:rsidRDefault="00AA2AB9" w:rsidP="00972A89">
            <w:pPr>
              <w:rPr>
                <w:b/>
                <w:sz w:val="18"/>
                <w:szCs w:val="18"/>
              </w:rPr>
            </w:pPr>
            <w:bookmarkStart w:id="8" w:name="_Hlk30085165"/>
            <w:r w:rsidRPr="00315938">
              <w:rPr>
                <w:b/>
                <w:sz w:val="18"/>
                <w:szCs w:val="18"/>
              </w:rPr>
              <w:t>Strategy Name</w:t>
            </w:r>
          </w:p>
        </w:tc>
        <w:tc>
          <w:tcPr>
            <w:tcW w:w="3531" w:type="pct"/>
          </w:tcPr>
          <w:p w14:paraId="18A9A9B5" w14:textId="77777777" w:rsidR="00AA2AB9" w:rsidRPr="00315938" w:rsidRDefault="00AA2AB9" w:rsidP="00972A89">
            <w:pPr>
              <w:jc w:val="both"/>
              <w:rPr>
                <w:b/>
                <w:sz w:val="18"/>
                <w:szCs w:val="18"/>
              </w:rPr>
            </w:pPr>
            <w:r w:rsidRPr="00315938">
              <w:rPr>
                <w:b/>
                <w:sz w:val="18"/>
                <w:szCs w:val="18"/>
              </w:rPr>
              <w:t>Objectives and details</w:t>
            </w:r>
          </w:p>
        </w:tc>
      </w:tr>
      <w:tr w:rsidR="00AA2AB9" w:rsidRPr="00315938" w14:paraId="23600103" w14:textId="77777777" w:rsidTr="00972A89">
        <w:tc>
          <w:tcPr>
            <w:tcW w:w="1469" w:type="pct"/>
          </w:tcPr>
          <w:p w14:paraId="18165E64" w14:textId="77777777" w:rsidR="00AA2AB9" w:rsidRPr="00315938" w:rsidRDefault="00AA2AB9" w:rsidP="00972A89">
            <w:pPr>
              <w:rPr>
                <w:sz w:val="18"/>
                <w:szCs w:val="18"/>
              </w:rPr>
            </w:pPr>
            <w:r w:rsidRPr="00315938">
              <w:rPr>
                <w:sz w:val="18"/>
                <w:szCs w:val="18"/>
              </w:rPr>
              <w:t xml:space="preserve">Business as usual </w:t>
            </w:r>
            <w:r w:rsidRPr="00315938">
              <w:rPr>
                <w:i/>
                <w:sz w:val="18"/>
                <w:szCs w:val="18"/>
              </w:rPr>
              <w:t>(Baseline)</w:t>
            </w:r>
          </w:p>
        </w:tc>
        <w:tc>
          <w:tcPr>
            <w:tcW w:w="3531" w:type="pct"/>
          </w:tcPr>
          <w:p w14:paraId="2D2FF1E7" w14:textId="77777777" w:rsidR="00AA2AB9" w:rsidRPr="00315938" w:rsidRDefault="00AA2AB9" w:rsidP="00972A89">
            <w:pPr>
              <w:jc w:val="both"/>
              <w:rPr>
                <w:iCs/>
                <w:sz w:val="18"/>
                <w:szCs w:val="18"/>
              </w:rPr>
            </w:pPr>
            <w:r w:rsidRPr="00315938">
              <w:rPr>
                <w:i/>
                <w:sz w:val="18"/>
                <w:szCs w:val="18"/>
              </w:rPr>
              <w:t>Continue with actions and strategies currently in use, but neither expand on these strategies nor employ new strategies</w:t>
            </w:r>
            <w:r w:rsidRPr="00315938">
              <w:rPr>
                <w:iCs/>
                <w:sz w:val="18"/>
                <w:szCs w:val="18"/>
              </w:rPr>
              <w:t>. Baseline against which to measure other strategies.</w:t>
            </w:r>
          </w:p>
        </w:tc>
      </w:tr>
      <w:tr w:rsidR="00AA2AB9" w:rsidRPr="00315938" w14:paraId="69C33940" w14:textId="77777777" w:rsidTr="00972A89">
        <w:tc>
          <w:tcPr>
            <w:tcW w:w="1469" w:type="pct"/>
          </w:tcPr>
          <w:p w14:paraId="35139E9E" w14:textId="77777777" w:rsidR="00AA2AB9" w:rsidRPr="00315938" w:rsidRDefault="00AA2AB9" w:rsidP="00972A89">
            <w:pPr>
              <w:rPr>
                <w:sz w:val="18"/>
                <w:szCs w:val="18"/>
              </w:rPr>
            </w:pPr>
            <w:r w:rsidRPr="00315938">
              <w:rPr>
                <w:sz w:val="18"/>
                <w:szCs w:val="18"/>
              </w:rPr>
              <w:t xml:space="preserve">Remediation </w:t>
            </w:r>
            <w:r w:rsidRPr="00315938">
              <w:rPr>
                <w:i/>
                <w:sz w:val="18"/>
                <w:szCs w:val="18"/>
              </w:rPr>
              <w:t>(Remediate)</w:t>
            </w:r>
          </w:p>
        </w:tc>
        <w:tc>
          <w:tcPr>
            <w:tcW w:w="3531" w:type="pct"/>
          </w:tcPr>
          <w:p w14:paraId="4CB8D4A9" w14:textId="77777777" w:rsidR="00AA2AB9" w:rsidRPr="00315938" w:rsidRDefault="00AA2AB9" w:rsidP="00972A89">
            <w:pPr>
              <w:jc w:val="both"/>
              <w:rPr>
                <w:iCs/>
                <w:sz w:val="18"/>
                <w:szCs w:val="18"/>
              </w:rPr>
            </w:pPr>
            <w:r w:rsidRPr="00315938">
              <w:rPr>
                <w:i/>
                <w:sz w:val="18"/>
                <w:szCs w:val="18"/>
              </w:rPr>
              <w:t>Increase amount of, or improve, quality of habitat available to biodiversity in comparison to habitat currently available</w:t>
            </w:r>
            <w:r w:rsidRPr="00315938">
              <w:rPr>
                <w:iCs/>
                <w:sz w:val="18"/>
                <w:szCs w:val="18"/>
              </w:rPr>
              <w:t>. By remediating 20 environmentally damaged (physically, chemically, biologically) sites (including freshwater) that will provide the greatest benefit to biodiversity, including remediation of legacy waste sites if necessary.</w:t>
            </w:r>
          </w:p>
        </w:tc>
      </w:tr>
      <w:tr w:rsidR="00AA2AB9" w:rsidRPr="00315938" w14:paraId="2ACD9779" w14:textId="77777777" w:rsidTr="00972A89">
        <w:tc>
          <w:tcPr>
            <w:tcW w:w="1469" w:type="pct"/>
          </w:tcPr>
          <w:p w14:paraId="01782EA3" w14:textId="77777777" w:rsidR="00AA2AB9" w:rsidRPr="00315938" w:rsidRDefault="00AA2AB9" w:rsidP="00972A89">
            <w:pPr>
              <w:rPr>
                <w:sz w:val="18"/>
                <w:szCs w:val="18"/>
                <w:lang w:val="fr-FR"/>
              </w:rPr>
            </w:pPr>
            <w:r w:rsidRPr="00315938">
              <w:rPr>
                <w:sz w:val="18"/>
                <w:szCs w:val="18"/>
                <w:lang w:val="fr-FR"/>
              </w:rPr>
              <w:t xml:space="preserve">Manage </w:t>
            </w:r>
            <w:r>
              <w:rPr>
                <w:sz w:val="18"/>
                <w:szCs w:val="18"/>
                <w:lang w:val="fr-FR"/>
              </w:rPr>
              <w:t>existing</w:t>
            </w:r>
            <w:r w:rsidRPr="00315938">
              <w:rPr>
                <w:sz w:val="18"/>
                <w:szCs w:val="18"/>
                <w:lang w:val="fr-FR"/>
              </w:rPr>
              <w:t xml:space="preserve"> infrastructure </w:t>
            </w:r>
            <w:r w:rsidRPr="00315938">
              <w:rPr>
                <w:i/>
                <w:sz w:val="18"/>
                <w:szCs w:val="18"/>
                <w:lang w:val="fr-FR"/>
              </w:rPr>
              <w:t>(Exist infra.)</w:t>
            </w:r>
          </w:p>
        </w:tc>
        <w:tc>
          <w:tcPr>
            <w:tcW w:w="3531" w:type="pct"/>
          </w:tcPr>
          <w:p w14:paraId="7AA1C348" w14:textId="77777777" w:rsidR="00AA2AB9" w:rsidRPr="00315938" w:rsidRDefault="00AA2AB9" w:rsidP="00972A89">
            <w:pPr>
              <w:jc w:val="both"/>
              <w:rPr>
                <w:i/>
                <w:sz w:val="18"/>
                <w:szCs w:val="18"/>
              </w:rPr>
            </w:pPr>
            <w:r w:rsidRPr="00315938">
              <w:rPr>
                <w:i/>
                <w:sz w:val="18"/>
                <w:szCs w:val="18"/>
              </w:rPr>
              <w:t>Reduce and minimise impacts of existing infrastructure compared to current levels.</w:t>
            </w:r>
          </w:p>
        </w:tc>
      </w:tr>
      <w:tr w:rsidR="00AA2AB9" w:rsidRPr="00315938" w14:paraId="5BE69187" w14:textId="77777777" w:rsidTr="00972A89">
        <w:tc>
          <w:tcPr>
            <w:tcW w:w="1469" w:type="pct"/>
          </w:tcPr>
          <w:p w14:paraId="2C38B4C8" w14:textId="77777777" w:rsidR="00AA2AB9" w:rsidRPr="00315938" w:rsidRDefault="00AA2AB9" w:rsidP="00972A89">
            <w:pPr>
              <w:rPr>
                <w:sz w:val="18"/>
                <w:szCs w:val="18"/>
              </w:rPr>
            </w:pPr>
            <w:r w:rsidRPr="00315938">
              <w:rPr>
                <w:sz w:val="18"/>
                <w:szCs w:val="18"/>
              </w:rPr>
              <w:t xml:space="preserve">Manage new infrastructure </w:t>
            </w:r>
            <w:r w:rsidRPr="00315938">
              <w:rPr>
                <w:i/>
                <w:sz w:val="18"/>
                <w:szCs w:val="18"/>
              </w:rPr>
              <w:t>(New infra.)</w:t>
            </w:r>
          </w:p>
        </w:tc>
        <w:tc>
          <w:tcPr>
            <w:tcW w:w="3531" w:type="pct"/>
          </w:tcPr>
          <w:p w14:paraId="167C1C7F" w14:textId="77777777" w:rsidR="00AA2AB9" w:rsidRPr="00315938" w:rsidRDefault="00AA2AB9" w:rsidP="00972A89">
            <w:pPr>
              <w:jc w:val="both"/>
              <w:rPr>
                <w:i/>
                <w:sz w:val="18"/>
                <w:szCs w:val="18"/>
              </w:rPr>
            </w:pPr>
            <w:r w:rsidRPr="00315938">
              <w:rPr>
                <w:i/>
                <w:sz w:val="18"/>
                <w:szCs w:val="18"/>
              </w:rPr>
              <w:t>Prevent, reduce and minimise impacts of new infrastructure.</w:t>
            </w:r>
          </w:p>
          <w:p w14:paraId="325E04B0" w14:textId="77777777" w:rsidR="00AA2AB9" w:rsidRPr="00315938" w:rsidRDefault="00AA2AB9" w:rsidP="00972A89">
            <w:pPr>
              <w:jc w:val="both"/>
              <w:rPr>
                <w:iCs/>
                <w:sz w:val="18"/>
                <w:szCs w:val="18"/>
              </w:rPr>
            </w:pPr>
          </w:p>
        </w:tc>
      </w:tr>
      <w:tr w:rsidR="00AA2AB9" w:rsidRPr="00315938" w14:paraId="0D14FC0C" w14:textId="77777777" w:rsidTr="00972A89">
        <w:tc>
          <w:tcPr>
            <w:tcW w:w="1469" w:type="pct"/>
          </w:tcPr>
          <w:p w14:paraId="3769CDB9" w14:textId="77777777" w:rsidR="00AA2AB9" w:rsidRPr="00315938" w:rsidRDefault="00AA2AB9" w:rsidP="00972A89">
            <w:pPr>
              <w:rPr>
                <w:sz w:val="18"/>
                <w:szCs w:val="18"/>
              </w:rPr>
            </w:pPr>
            <w:r w:rsidRPr="00315938">
              <w:rPr>
                <w:sz w:val="18"/>
                <w:szCs w:val="18"/>
              </w:rPr>
              <w:t xml:space="preserve">Transport management </w:t>
            </w:r>
            <w:r w:rsidRPr="00315938">
              <w:rPr>
                <w:i/>
                <w:sz w:val="18"/>
                <w:szCs w:val="18"/>
              </w:rPr>
              <w:t>(Transport)</w:t>
            </w:r>
          </w:p>
        </w:tc>
        <w:tc>
          <w:tcPr>
            <w:tcW w:w="3531" w:type="pct"/>
          </w:tcPr>
          <w:p w14:paraId="7105F856" w14:textId="77777777" w:rsidR="00AA2AB9" w:rsidRPr="00315938" w:rsidRDefault="00AA2AB9" w:rsidP="00972A89">
            <w:pPr>
              <w:jc w:val="both"/>
              <w:rPr>
                <w:i/>
                <w:sz w:val="18"/>
                <w:szCs w:val="18"/>
              </w:rPr>
            </w:pPr>
            <w:r w:rsidRPr="00315938">
              <w:rPr>
                <w:i/>
                <w:sz w:val="18"/>
                <w:szCs w:val="18"/>
              </w:rPr>
              <w:t>Reduce and minimise impacts of transport compared to current levels.</w:t>
            </w:r>
          </w:p>
        </w:tc>
      </w:tr>
      <w:tr w:rsidR="00AA2AB9" w:rsidRPr="00315938" w14:paraId="4F393FAA" w14:textId="77777777" w:rsidTr="00972A89">
        <w:tc>
          <w:tcPr>
            <w:tcW w:w="1469" w:type="pct"/>
          </w:tcPr>
          <w:p w14:paraId="79161520" w14:textId="77777777" w:rsidR="00AA2AB9" w:rsidRPr="00315938" w:rsidRDefault="00AA2AB9" w:rsidP="00972A89">
            <w:pPr>
              <w:rPr>
                <w:sz w:val="18"/>
                <w:szCs w:val="18"/>
              </w:rPr>
            </w:pPr>
            <w:r w:rsidRPr="00315938">
              <w:rPr>
                <w:sz w:val="18"/>
                <w:szCs w:val="18"/>
              </w:rPr>
              <w:t xml:space="preserve">Manage non-native species and disease </w:t>
            </w:r>
            <w:r w:rsidRPr="00315938">
              <w:rPr>
                <w:i/>
                <w:sz w:val="18"/>
                <w:szCs w:val="18"/>
              </w:rPr>
              <w:t>(Non-native)</w:t>
            </w:r>
          </w:p>
        </w:tc>
        <w:tc>
          <w:tcPr>
            <w:tcW w:w="3531" w:type="pct"/>
          </w:tcPr>
          <w:p w14:paraId="5F355260" w14:textId="77777777" w:rsidR="00AA2AB9" w:rsidRPr="00315938" w:rsidRDefault="00AA2AB9" w:rsidP="00972A89">
            <w:pPr>
              <w:jc w:val="both"/>
              <w:rPr>
                <w:iCs/>
                <w:sz w:val="18"/>
                <w:szCs w:val="18"/>
              </w:rPr>
            </w:pPr>
            <w:r w:rsidRPr="00315938">
              <w:rPr>
                <w:i/>
                <w:sz w:val="18"/>
                <w:szCs w:val="18"/>
              </w:rPr>
              <w:t>Reduce impacts of non-native species and disease on native biodiversity.</w:t>
            </w:r>
            <w:r w:rsidRPr="00315938">
              <w:rPr>
                <w:iCs/>
                <w:sz w:val="18"/>
                <w:szCs w:val="18"/>
              </w:rPr>
              <w:t xml:space="preserve"> </w:t>
            </w:r>
          </w:p>
          <w:p w14:paraId="1BA6207E" w14:textId="77777777" w:rsidR="00AA2AB9" w:rsidRPr="00315938" w:rsidRDefault="00AA2AB9" w:rsidP="00972A89">
            <w:pPr>
              <w:jc w:val="both"/>
              <w:rPr>
                <w:iCs/>
                <w:sz w:val="18"/>
                <w:szCs w:val="18"/>
              </w:rPr>
            </w:pPr>
            <w:r w:rsidRPr="00315938">
              <w:rPr>
                <w:iCs/>
                <w:sz w:val="18"/>
                <w:szCs w:val="18"/>
              </w:rPr>
              <w:t>Where possible prevent establishment of new populations of non-native species. Eradicate or, if not possible, minimise impacts of established non-native species.</w:t>
            </w:r>
          </w:p>
        </w:tc>
      </w:tr>
      <w:tr w:rsidR="00AA2AB9" w:rsidRPr="00315938" w14:paraId="33CA783D" w14:textId="77777777" w:rsidTr="00972A89">
        <w:tc>
          <w:tcPr>
            <w:tcW w:w="1469" w:type="pct"/>
          </w:tcPr>
          <w:p w14:paraId="624C37F2" w14:textId="77777777" w:rsidR="00AA2AB9" w:rsidRPr="00315938" w:rsidRDefault="00AA2AB9" w:rsidP="00972A89">
            <w:pPr>
              <w:rPr>
                <w:sz w:val="18"/>
                <w:szCs w:val="18"/>
              </w:rPr>
            </w:pPr>
            <w:r w:rsidRPr="00315938">
              <w:rPr>
                <w:sz w:val="18"/>
                <w:szCs w:val="18"/>
              </w:rPr>
              <w:t xml:space="preserve">Protect vegetation from physical impacts </w:t>
            </w:r>
            <w:r w:rsidRPr="00315938">
              <w:rPr>
                <w:i/>
                <w:sz w:val="18"/>
                <w:szCs w:val="18"/>
              </w:rPr>
              <w:t>(Protect vegetation)</w:t>
            </w:r>
          </w:p>
        </w:tc>
        <w:tc>
          <w:tcPr>
            <w:tcW w:w="3531" w:type="pct"/>
          </w:tcPr>
          <w:p w14:paraId="210B1AEE" w14:textId="77777777" w:rsidR="00AA2AB9" w:rsidRPr="00315938" w:rsidRDefault="00AA2AB9" w:rsidP="00972A89">
            <w:pPr>
              <w:jc w:val="both"/>
              <w:rPr>
                <w:iCs/>
                <w:sz w:val="18"/>
                <w:szCs w:val="18"/>
              </w:rPr>
            </w:pPr>
            <w:r w:rsidRPr="00315938">
              <w:rPr>
                <w:i/>
                <w:sz w:val="18"/>
                <w:szCs w:val="18"/>
              </w:rPr>
              <w:t>Reduce physical impacts of human activities and native vertebrate activities on vegetation</w:t>
            </w:r>
            <w:r w:rsidRPr="00315938">
              <w:rPr>
                <w:iCs/>
                <w:sz w:val="18"/>
                <w:szCs w:val="18"/>
              </w:rPr>
              <w:t xml:space="preserve">. </w:t>
            </w:r>
          </w:p>
          <w:p w14:paraId="4214D209" w14:textId="77777777" w:rsidR="00AA2AB9" w:rsidRPr="00315938" w:rsidRDefault="00AA2AB9" w:rsidP="00972A89">
            <w:pPr>
              <w:jc w:val="both"/>
              <w:rPr>
                <w:iCs/>
                <w:sz w:val="18"/>
                <w:szCs w:val="18"/>
              </w:rPr>
            </w:pPr>
            <w:r w:rsidRPr="00315938">
              <w:rPr>
                <w:iCs/>
                <w:sz w:val="18"/>
                <w:szCs w:val="18"/>
              </w:rPr>
              <w:t>Halt the decline (or loss) of vegetation and associated species due to direct physical damage/impact at key sites in the Antarctic Peninsula (e.g. animal damage).</w:t>
            </w:r>
          </w:p>
        </w:tc>
      </w:tr>
      <w:tr w:rsidR="00AA2AB9" w:rsidRPr="00315938" w14:paraId="03A40794" w14:textId="77777777" w:rsidTr="00972A89">
        <w:tc>
          <w:tcPr>
            <w:tcW w:w="1469" w:type="pct"/>
          </w:tcPr>
          <w:p w14:paraId="7973953F" w14:textId="77777777" w:rsidR="00AA2AB9" w:rsidRPr="00315938" w:rsidRDefault="00AA2AB9" w:rsidP="00972A89">
            <w:pPr>
              <w:rPr>
                <w:sz w:val="18"/>
                <w:szCs w:val="18"/>
              </w:rPr>
            </w:pPr>
            <w:r w:rsidRPr="00315938">
              <w:rPr>
                <w:sz w:val="18"/>
                <w:szCs w:val="18"/>
              </w:rPr>
              <w:t xml:space="preserve">Protecting areas </w:t>
            </w:r>
            <w:r w:rsidRPr="00315938">
              <w:rPr>
                <w:i/>
                <w:sz w:val="18"/>
                <w:szCs w:val="18"/>
              </w:rPr>
              <w:t>(Protecting areas)</w:t>
            </w:r>
          </w:p>
        </w:tc>
        <w:tc>
          <w:tcPr>
            <w:tcW w:w="3531" w:type="pct"/>
          </w:tcPr>
          <w:p w14:paraId="623190F7" w14:textId="77777777" w:rsidR="00AA2AB9" w:rsidRPr="00315938" w:rsidRDefault="00AA2AB9" w:rsidP="00972A89">
            <w:pPr>
              <w:jc w:val="both"/>
              <w:rPr>
                <w:i/>
                <w:sz w:val="18"/>
                <w:szCs w:val="18"/>
              </w:rPr>
            </w:pPr>
            <w:r w:rsidRPr="00315938">
              <w:rPr>
                <w:i/>
                <w:sz w:val="18"/>
                <w:szCs w:val="18"/>
              </w:rPr>
              <w:t>Reduce impacts of human activities on biodiversity by increasing the amount and representation of habitat in protected areas.</w:t>
            </w:r>
          </w:p>
          <w:p w14:paraId="22932FF8" w14:textId="77777777" w:rsidR="00AA2AB9" w:rsidRPr="00315938" w:rsidRDefault="00AA2AB9" w:rsidP="00972A89">
            <w:pPr>
              <w:jc w:val="both"/>
              <w:rPr>
                <w:iCs/>
                <w:sz w:val="18"/>
                <w:szCs w:val="18"/>
              </w:rPr>
            </w:pPr>
            <w:r w:rsidRPr="00315938">
              <w:rPr>
                <w:iCs/>
                <w:sz w:val="18"/>
                <w:szCs w:val="18"/>
              </w:rPr>
              <w:t>Develop the Antarctic Specially Protected Area (ASPA) system to improve representation of the values specified in the Environmental Protocol and ensure the network incorporates contemporary systematic conservation planning pillars.</w:t>
            </w:r>
          </w:p>
        </w:tc>
      </w:tr>
      <w:tr w:rsidR="00AA2AB9" w:rsidRPr="00315938" w14:paraId="08AB2073" w14:textId="77777777" w:rsidTr="00972A89">
        <w:tc>
          <w:tcPr>
            <w:tcW w:w="1469" w:type="pct"/>
          </w:tcPr>
          <w:p w14:paraId="46C35B02" w14:textId="77777777" w:rsidR="00AA2AB9" w:rsidRPr="00315938" w:rsidRDefault="00AA2AB9" w:rsidP="00972A89">
            <w:pPr>
              <w:rPr>
                <w:sz w:val="18"/>
                <w:szCs w:val="18"/>
              </w:rPr>
            </w:pPr>
            <w:r w:rsidRPr="00315938">
              <w:rPr>
                <w:sz w:val="18"/>
                <w:szCs w:val="18"/>
              </w:rPr>
              <w:t xml:space="preserve">Managing and protecting species </w:t>
            </w:r>
            <w:r w:rsidRPr="00315938">
              <w:rPr>
                <w:i/>
                <w:sz w:val="18"/>
                <w:szCs w:val="18"/>
              </w:rPr>
              <w:t>(Protecting species)</w:t>
            </w:r>
          </w:p>
        </w:tc>
        <w:tc>
          <w:tcPr>
            <w:tcW w:w="3531" w:type="pct"/>
          </w:tcPr>
          <w:p w14:paraId="4F8735F1" w14:textId="77777777" w:rsidR="00AA2AB9" w:rsidRPr="00315938" w:rsidRDefault="00AA2AB9" w:rsidP="00972A89">
            <w:pPr>
              <w:contextualSpacing/>
              <w:jc w:val="both"/>
              <w:rPr>
                <w:iCs/>
                <w:sz w:val="18"/>
                <w:szCs w:val="18"/>
              </w:rPr>
            </w:pPr>
            <w:r w:rsidRPr="00315938">
              <w:rPr>
                <w:i/>
                <w:sz w:val="18"/>
                <w:szCs w:val="18"/>
              </w:rPr>
              <w:t>Reduce threatening impacts on taxonomic groups identified as threatened by 2100</w:t>
            </w:r>
            <w:r w:rsidRPr="00315938">
              <w:rPr>
                <w:iCs/>
                <w:sz w:val="18"/>
                <w:szCs w:val="18"/>
              </w:rPr>
              <w:t>.</w:t>
            </w:r>
          </w:p>
          <w:p w14:paraId="112D2CB4" w14:textId="77777777" w:rsidR="00AA2AB9" w:rsidRPr="00315938" w:rsidRDefault="00AA2AB9" w:rsidP="00AA2AB9">
            <w:pPr>
              <w:pStyle w:val="Prrafodelista"/>
              <w:numPr>
                <w:ilvl w:val="0"/>
                <w:numId w:val="21"/>
              </w:numPr>
              <w:contextualSpacing/>
              <w:jc w:val="both"/>
              <w:rPr>
                <w:iCs/>
                <w:sz w:val="18"/>
                <w:szCs w:val="18"/>
              </w:rPr>
            </w:pPr>
            <w:r w:rsidRPr="00315938">
              <w:rPr>
                <w:iCs/>
                <w:sz w:val="18"/>
                <w:szCs w:val="18"/>
              </w:rPr>
              <w:t>Identify and protect threatened species (assume 10 - 15 species to be identified and listed under this strategy)</w:t>
            </w:r>
          </w:p>
          <w:p w14:paraId="0D18BA2E" w14:textId="77777777" w:rsidR="00AA2AB9" w:rsidRPr="00315938" w:rsidRDefault="00AA2AB9" w:rsidP="00AA2AB9">
            <w:pPr>
              <w:pStyle w:val="Prrafodelista"/>
              <w:numPr>
                <w:ilvl w:val="0"/>
                <w:numId w:val="21"/>
              </w:numPr>
              <w:jc w:val="both"/>
              <w:rPr>
                <w:iCs/>
                <w:sz w:val="18"/>
                <w:szCs w:val="18"/>
              </w:rPr>
            </w:pPr>
            <w:r w:rsidRPr="00315938">
              <w:rPr>
                <w:iCs/>
                <w:sz w:val="18"/>
                <w:szCs w:val="18"/>
              </w:rPr>
              <w:t>Prevent extinction of native species in-situ.</w:t>
            </w:r>
          </w:p>
        </w:tc>
      </w:tr>
      <w:tr w:rsidR="00AA2AB9" w:rsidRPr="00315938" w14:paraId="1349D42E" w14:textId="77777777" w:rsidTr="00972A89">
        <w:tc>
          <w:tcPr>
            <w:tcW w:w="1469" w:type="pct"/>
          </w:tcPr>
          <w:p w14:paraId="280895EC" w14:textId="77777777" w:rsidR="00AA2AB9" w:rsidRPr="00315938" w:rsidRDefault="00AA2AB9" w:rsidP="00972A89">
            <w:pPr>
              <w:rPr>
                <w:sz w:val="18"/>
                <w:szCs w:val="18"/>
              </w:rPr>
            </w:pPr>
            <w:r w:rsidRPr="00315938">
              <w:rPr>
                <w:sz w:val="18"/>
                <w:szCs w:val="18"/>
              </w:rPr>
              <w:t xml:space="preserve">Minimise impacts of human activity </w:t>
            </w:r>
            <w:r w:rsidRPr="00315938">
              <w:rPr>
                <w:i/>
                <w:sz w:val="18"/>
                <w:szCs w:val="18"/>
              </w:rPr>
              <w:t>(Human activities)</w:t>
            </w:r>
          </w:p>
        </w:tc>
        <w:tc>
          <w:tcPr>
            <w:tcW w:w="3531" w:type="pct"/>
          </w:tcPr>
          <w:p w14:paraId="6C6C56C6" w14:textId="77777777" w:rsidR="00AA2AB9" w:rsidRPr="00315938" w:rsidRDefault="00AA2AB9" w:rsidP="00972A89">
            <w:pPr>
              <w:jc w:val="both"/>
              <w:rPr>
                <w:iCs/>
                <w:sz w:val="18"/>
                <w:szCs w:val="18"/>
              </w:rPr>
            </w:pPr>
            <w:r w:rsidRPr="00315938">
              <w:rPr>
                <w:i/>
                <w:sz w:val="18"/>
                <w:szCs w:val="18"/>
              </w:rPr>
              <w:t>Prevent and minimise physical impacts on biodiversity and habitats compared to current levels that stem from human activities in Antarctica</w:t>
            </w:r>
            <w:r w:rsidRPr="00315938">
              <w:rPr>
                <w:i/>
                <w:iCs/>
                <w:sz w:val="18"/>
                <w:szCs w:val="18"/>
              </w:rPr>
              <w:t xml:space="preserve"> (e.g. fieldwork, tourism, station activities)</w:t>
            </w:r>
            <w:r w:rsidRPr="00315938">
              <w:rPr>
                <w:iCs/>
                <w:sz w:val="18"/>
                <w:szCs w:val="18"/>
              </w:rPr>
              <w:t>. Relevant where improving education and training, and implementing standard practices, on-ground operating procedures and compliance is likely to reduce impacts through changes in human behaviour.</w:t>
            </w:r>
          </w:p>
        </w:tc>
      </w:tr>
      <w:tr w:rsidR="00AA2AB9" w:rsidRPr="00315938" w14:paraId="760DC9A1" w14:textId="77777777" w:rsidTr="00972A89">
        <w:tc>
          <w:tcPr>
            <w:tcW w:w="1469" w:type="pct"/>
            <w:shd w:val="clear" w:color="auto" w:fill="E7E6E6" w:themeFill="background2"/>
          </w:tcPr>
          <w:p w14:paraId="125DB212" w14:textId="77777777" w:rsidR="00AA2AB9" w:rsidRPr="00315938" w:rsidRDefault="00AA2AB9" w:rsidP="00972A89">
            <w:pPr>
              <w:rPr>
                <w:sz w:val="18"/>
                <w:szCs w:val="18"/>
              </w:rPr>
            </w:pPr>
            <w:r w:rsidRPr="00315938">
              <w:rPr>
                <w:sz w:val="18"/>
                <w:szCs w:val="18"/>
              </w:rPr>
              <w:t xml:space="preserve">Influence external policy </w:t>
            </w:r>
            <w:r w:rsidRPr="00315938">
              <w:rPr>
                <w:i/>
                <w:sz w:val="18"/>
                <w:szCs w:val="18"/>
              </w:rPr>
              <w:t>(Influence ext. policy)</w:t>
            </w:r>
          </w:p>
        </w:tc>
        <w:tc>
          <w:tcPr>
            <w:tcW w:w="3531" w:type="pct"/>
            <w:shd w:val="clear" w:color="auto" w:fill="E7E6E6" w:themeFill="background2"/>
          </w:tcPr>
          <w:p w14:paraId="2F850959" w14:textId="77777777" w:rsidR="00AA2AB9" w:rsidRPr="00315938" w:rsidRDefault="00AA2AB9" w:rsidP="00972A89">
            <w:pPr>
              <w:jc w:val="both"/>
              <w:rPr>
                <w:i/>
                <w:color w:val="000000"/>
                <w:sz w:val="18"/>
                <w:szCs w:val="18"/>
              </w:rPr>
            </w:pPr>
            <w:r w:rsidRPr="00315938">
              <w:rPr>
                <w:i/>
                <w:color w:val="000000"/>
                <w:sz w:val="18"/>
                <w:szCs w:val="18"/>
              </w:rPr>
              <w:t>Minimise or reduce impacts of threats (primarily climate change) on Antarctic biodiversity that originate externally via engagement with appropriate policy bodies and raising public awareness.</w:t>
            </w:r>
          </w:p>
          <w:p w14:paraId="1DC466A3" w14:textId="77777777" w:rsidR="00AA2AB9" w:rsidRPr="00315938" w:rsidRDefault="00AA2AB9" w:rsidP="00972A89">
            <w:pPr>
              <w:jc w:val="both"/>
              <w:rPr>
                <w:iCs/>
                <w:color w:val="000000"/>
                <w:sz w:val="18"/>
                <w:szCs w:val="18"/>
              </w:rPr>
            </w:pPr>
          </w:p>
          <w:p w14:paraId="12A243C0" w14:textId="77777777" w:rsidR="00AA2AB9" w:rsidRPr="00315938" w:rsidRDefault="00AA2AB9" w:rsidP="00972A89">
            <w:pPr>
              <w:jc w:val="both"/>
              <w:rPr>
                <w:iCs/>
                <w:color w:val="000000"/>
                <w:sz w:val="18"/>
                <w:szCs w:val="18"/>
              </w:rPr>
            </w:pPr>
            <w:r w:rsidRPr="00315938">
              <w:rPr>
                <w:b/>
                <w:bCs/>
                <w:iCs/>
                <w:color w:val="000000"/>
                <w:sz w:val="18"/>
                <w:szCs w:val="18"/>
              </w:rPr>
              <w:t>Note:</w:t>
            </w:r>
            <w:r w:rsidRPr="00315938">
              <w:rPr>
                <w:iCs/>
                <w:color w:val="000000"/>
                <w:sz w:val="18"/>
                <w:szCs w:val="18"/>
              </w:rPr>
              <w:t xml:space="preserve"> Outcome of strategy is an assumption that the Paris Climate Agreement of &lt;2 °C warming is achieved. Use RCP2.6 instead of 4.5/8.5.</w:t>
            </w:r>
          </w:p>
        </w:tc>
      </w:tr>
      <w:tr w:rsidR="00AA2AB9" w:rsidRPr="00315938" w14:paraId="24B7CAA2" w14:textId="77777777" w:rsidTr="00972A89">
        <w:tc>
          <w:tcPr>
            <w:tcW w:w="1469" w:type="pct"/>
          </w:tcPr>
          <w:p w14:paraId="09FD1E20" w14:textId="77777777" w:rsidR="00AA2AB9" w:rsidRPr="00315938" w:rsidRDefault="00AA2AB9" w:rsidP="00972A89">
            <w:pPr>
              <w:rPr>
                <w:sz w:val="18"/>
                <w:szCs w:val="18"/>
              </w:rPr>
            </w:pPr>
            <w:r w:rsidRPr="00315938">
              <w:rPr>
                <w:sz w:val="18"/>
                <w:szCs w:val="18"/>
              </w:rPr>
              <w:t xml:space="preserve">All strategies excluding ‘influence external policy’ </w:t>
            </w:r>
            <w:r w:rsidRPr="00315938">
              <w:rPr>
                <w:i/>
                <w:sz w:val="18"/>
                <w:szCs w:val="18"/>
              </w:rPr>
              <w:t>(All strats. excl IEP)</w:t>
            </w:r>
          </w:p>
        </w:tc>
        <w:tc>
          <w:tcPr>
            <w:tcW w:w="3531" w:type="pct"/>
          </w:tcPr>
          <w:p w14:paraId="4E79762F" w14:textId="77777777" w:rsidR="00AA2AB9" w:rsidRPr="00315938" w:rsidRDefault="00AA2AB9" w:rsidP="00972A89">
            <w:pPr>
              <w:jc w:val="both"/>
              <w:rPr>
                <w:iCs/>
                <w:sz w:val="18"/>
                <w:szCs w:val="18"/>
              </w:rPr>
            </w:pPr>
            <w:r w:rsidRPr="00315938">
              <w:rPr>
                <w:iCs/>
                <w:sz w:val="18"/>
                <w:szCs w:val="18"/>
              </w:rPr>
              <w:t>All management strategies combined except ‘Influence external policy’.</w:t>
            </w:r>
          </w:p>
        </w:tc>
      </w:tr>
      <w:tr w:rsidR="00AA2AB9" w:rsidRPr="00315938" w14:paraId="109D1F0F" w14:textId="77777777" w:rsidTr="00972A89">
        <w:tc>
          <w:tcPr>
            <w:tcW w:w="1469" w:type="pct"/>
            <w:shd w:val="clear" w:color="auto" w:fill="E7E6E6" w:themeFill="background2"/>
          </w:tcPr>
          <w:p w14:paraId="39E56F5C" w14:textId="77777777" w:rsidR="00AA2AB9" w:rsidRPr="00315938" w:rsidRDefault="00AA2AB9" w:rsidP="00972A89">
            <w:pPr>
              <w:rPr>
                <w:sz w:val="18"/>
                <w:szCs w:val="18"/>
              </w:rPr>
            </w:pPr>
            <w:r w:rsidRPr="00315938">
              <w:rPr>
                <w:sz w:val="18"/>
                <w:szCs w:val="18"/>
              </w:rPr>
              <w:t xml:space="preserve">All strategies combined </w:t>
            </w:r>
            <w:r w:rsidRPr="00315938">
              <w:rPr>
                <w:i/>
                <w:sz w:val="18"/>
                <w:szCs w:val="18"/>
              </w:rPr>
              <w:t>(All strategies)</w:t>
            </w:r>
          </w:p>
        </w:tc>
        <w:tc>
          <w:tcPr>
            <w:tcW w:w="3531" w:type="pct"/>
            <w:shd w:val="clear" w:color="auto" w:fill="E7E6E6" w:themeFill="background2"/>
          </w:tcPr>
          <w:p w14:paraId="31EDF357" w14:textId="77777777" w:rsidR="00AA2AB9" w:rsidRPr="00315938" w:rsidRDefault="00AA2AB9" w:rsidP="00972A89">
            <w:pPr>
              <w:jc w:val="both"/>
              <w:rPr>
                <w:iCs/>
                <w:sz w:val="18"/>
                <w:szCs w:val="18"/>
              </w:rPr>
            </w:pPr>
            <w:r w:rsidRPr="00315938">
              <w:rPr>
                <w:iCs/>
                <w:sz w:val="18"/>
                <w:szCs w:val="18"/>
              </w:rPr>
              <w:t>All management strategies combined.</w:t>
            </w:r>
          </w:p>
        </w:tc>
      </w:tr>
      <w:bookmarkEnd w:id="8"/>
    </w:tbl>
    <w:p w14:paraId="76BD3CBE" w14:textId="77777777" w:rsidR="00AA2AB9" w:rsidRDefault="00AA2AB9" w:rsidP="00AA2AB9">
      <w:pPr>
        <w:pStyle w:val="ATSNormal"/>
      </w:pPr>
    </w:p>
    <w:p w14:paraId="54D02B00" w14:textId="77777777" w:rsidR="00AA2AB9" w:rsidRDefault="00AA2AB9" w:rsidP="00AA2AB9">
      <w:pPr>
        <w:pStyle w:val="ATSNormal"/>
      </w:pPr>
      <w:r>
        <w:rPr>
          <w:noProof/>
        </w:rPr>
        <w:lastRenderedPageBreak/>
        <w:drawing>
          <wp:inline distT="0" distB="0" distL="0" distR="0" wp14:anchorId="5709163B" wp14:editId="12A6BD96">
            <wp:extent cx="5302552" cy="6186115"/>
            <wp:effectExtent l="0" t="0" r="0" b="571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07577" cy="6191978"/>
                    </a:xfrm>
                    <a:prstGeom prst="rect">
                      <a:avLst/>
                    </a:prstGeom>
                  </pic:spPr>
                </pic:pic>
              </a:graphicData>
            </a:graphic>
          </wp:inline>
        </w:drawing>
      </w:r>
    </w:p>
    <w:p w14:paraId="510E8115" w14:textId="77777777" w:rsidR="00AA2AB9" w:rsidRDefault="00AA2AB9" w:rsidP="00AA2AB9">
      <w:pPr>
        <w:pStyle w:val="ATSNormal"/>
        <w:rPr>
          <w:b/>
          <w:bCs/>
        </w:rPr>
      </w:pPr>
    </w:p>
    <w:p w14:paraId="347AD38D" w14:textId="77777777" w:rsidR="00AA2AB9" w:rsidRDefault="00AA2AB9" w:rsidP="00AA2AB9">
      <w:pPr>
        <w:pStyle w:val="ATSNormal"/>
      </w:pPr>
      <w:r w:rsidRPr="008E1E32">
        <w:rPr>
          <w:b/>
          <w:bCs/>
        </w:rPr>
        <w:t>Figure 1.</w:t>
      </w:r>
      <w:r w:rsidRPr="006D1F8A">
        <w:rPr>
          <w:b/>
          <w:szCs w:val="22"/>
        </w:rPr>
        <w:t>a</w:t>
      </w:r>
      <w:r>
        <w:rPr>
          <w:b/>
          <w:szCs w:val="22"/>
        </w:rPr>
        <w:t>.</w:t>
      </w:r>
      <w:r w:rsidRPr="006D1F8A">
        <w:rPr>
          <w:szCs w:val="22"/>
        </w:rPr>
        <w:t xml:space="preserve"> Regional vulnerability of</w:t>
      </w:r>
      <w:r>
        <w:t xml:space="preserve"> terrestrial Antarctica</w:t>
      </w:r>
      <w:r w:rsidRPr="006D1F8A">
        <w:rPr>
          <w:szCs w:val="22"/>
        </w:rPr>
        <w:t xml:space="preserve"> biodiversity groups to all potential threats</w:t>
      </w:r>
      <w:r>
        <w:t xml:space="preserve"> </w:t>
      </w:r>
      <w:r w:rsidRPr="006D1F8A">
        <w:rPr>
          <w:bCs/>
          <w:szCs w:val="22"/>
        </w:rPr>
        <w:t>under climate forcing scenario RCP8.5</w:t>
      </w:r>
      <w:r>
        <w:t>.</w:t>
      </w:r>
      <w:r w:rsidRPr="006D1F8A">
        <w:rPr>
          <w:szCs w:val="22"/>
        </w:rPr>
        <w:t xml:space="preserve"> </w:t>
      </w:r>
      <w:r>
        <w:t>C</w:t>
      </w:r>
      <w:r w:rsidRPr="006D1F8A">
        <w:rPr>
          <w:szCs w:val="22"/>
        </w:rPr>
        <w:t xml:space="preserve">olours represent each </w:t>
      </w:r>
      <w:r>
        <w:t>species group’s</w:t>
      </w:r>
      <w:r w:rsidRPr="006D1F8A">
        <w:rPr>
          <w:szCs w:val="22"/>
        </w:rPr>
        <w:t xml:space="preserve"> expected response </w:t>
      </w:r>
      <w:r>
        <w:t xml:space="preserve">(positive, neutral, negative) </w:t>
      </w:r>
      <w:r w:rsidRPr="006D1F8A">
        <w:rPr>
          <w:szCs w:val="22"/>
        </w:rPr>
        <w:t xml:space="preserve">to threats, with darker/lighter </w:t>
      </w:r>
      <w:r w:rsidRPr="00211696">
        <w:t>shadings</w:t>
      </w:r>
      <w:r w:rsidRPr="006D1F8A">
        <w:rPr>
          <w:szCs w:val="22"/>
        </w:rPr>
        <w:t xml:space="preserve"> denoting the regional delineation as peninsula or continent, respectively. Bars represent experts’ best estimate of the future </w:t>
      </w:r>
      <w:r>
        <w:t>status</w:t>
      </w:r>
      <w:r w:rsidRPr="006D1F8A">
        <w:rPr>
          <w:szCs w:val="22"/>
        </w:rPr>
        <w:t xml:space="preserve"> of each </w:t>
      </w:r>
      <w:r>
        <w:t>group</w:t>
      </w:r>
      <w:r w:rsidRPr="006D1F8A">
        <w:rPr>
          <w:szCs w:val="22"/>
        </w:rPr>
        <w:t xml:space="preserve"> relative to current (100%) </w:t>
      </w:r>
      <w:r>
        <w:t>status</w:t>
      </w:r>
      <w:r w:rsidRPr="006D1F8A">
        <w:rPr>
          <w:szCs w:val="22"/>
        </w:rPr>
        <w:t xml:space="preserve"> if no additional conservation strategies are implemented. </w:t>
      </w:r>
      <w:r>
        <w:t>Groups</w:t>
      </w:r>
      <w:r w:rsidRPr="006D1F8A">
        <w:rPr>
          <w:szCs w:val="22"/>
        </w:rPr>
        <w:t xml:space="preserve"> with values below 100% are predicted to be vulnerable, whilst </w:t>
      </w:r>
      <w:r>
        <w:t>groups</w:t>
      </w:r>
      <w:r w:rsidRPr="006D1F8A">
        <w:rPr>
          <w:szCs w:val="22"/>
        </w:rPr>
        <w:t xml:space="preserve"> with values beyond 100% are predicted to benefit.</w:t>
      </w:r>
      <w:r w:rsidRPr="006D1F8A">
        <w:rPr>
          <w:b/>
          <w:szCs w:val="22"/>
        </w:rPr>
        <w:t xml:space="preserve"> b</w:t>
      </w:r>
      <w:r>
        <w:rPr>
          <w:b/>
          <w:szCs w:val="22"/>
        </w:rPr>
        <w:t>.</w:t>
      </w:r>
      <w:r w:rsidRPr="006D1F8A">
        <w:rPr>
          <w:szCs w:val="22"/>
        </w:rPr>
        <w:t xml:space="preserve"> The two main Antarctic regions considered in </w:t>
      </w:r>
      <w:r>
        <w:rPr>
          <w:szCs w:val="22"/>
        </w:rPr>
        <w:t>the</w:t>
      </w:r>
      <w:r w:rsidRPr="006D1F8A">
        <w:rPr>
          <w:szCs w:val="22"/>
        </w:rPr>
        <w:t xml:space="preserve"> study</w:t>
      </w:r>
      <w:r>
        <w:rPr>
          <w:szCs w:val="22"/>
        </w:rPr>
        <w:t>.</w:t>
      </w:r>
    </w:p>
    <w:p w14:paraId="6712A8A7" w14:textId="77777777" w:rsidR="00AA2AB9" w:rsidRDefault="00AA2AB9" w:rsidP="00AA2AB9">
      <w:pPr>
        <w:rPr>
          <w:lang w:eastAsia="en-GB"/>
        </w:rPr>
      </w:pPr>
      <w:r>
        <w:br w:type="page"/>
      </w:r>
    </w:p>
    <w:p w14:paraId="51DD061A" w14:textId="77777777" w:rsidR="00AA2AB9" w:rsidRDefault="00AA2AB9" w:rsidP="00AA2AB9">
      <w:pPr>
        <w:pStyle w:val="ATSNormal"/>
        <w:rPr>
          <w:highlight w:val="yellow"/>
        </w:rPr>
      </w:pPr>
    </w:p>
    <w:p w14:paraId="274001D1" w14:textId="77777777" w:rsidR="00AA2AB9" w:rsidRDefault="00AA2AB9" w:rsidP="00AA2AB9">
      <w:pPr>
        <w:pStyle w:val="ATSNormal"/>
        <w:rPr>
          <w:highlight w:val="yellow"/>
        </w:rPr>
      </w:pPr>
      <w:r>
        <w:rPr>
          <w:noProof/>
        </w:rPr>
        <w:drawing>
          <wp:inline distT="0" distB="0" distL="0" distR="0" wp14:anchorId="21C3E967" wp14:editId="73DDD9F3">
            <wp:extent cx="5368706" cy="4011346"/>
            <wp:effectExtent l="0" t="0" r="3810" b="825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840" cy="4035356"/>
                    </a:xfrm>
                    <a:prstGeom prst="rect">
                      <a:avLst/>
                    </a:prstGeom>
                  </pic:spPr>
                </pic:pic>
              </a:graphicData>
            </a:graphic>
          </wp:inline>
        </w:drawing>
      </w:r>
    </w:p>
    <w:p w14:paraId="5D9277C1" w14:textId="77777777" w:rsidR="00AA2AB9" w:rsidRPr="009A027F" w:rsidRDefault="00AA2AB9" w:rsidP="00AA2AB9">
      <w:pPr>
        <w:rPr>
          <w:rFonts w:eastAsiaTheme="minorHAnsi"/>
          <w:szCs w:val="22"/>
          <w:lang w:val="en-AU"/>
        </w:rPr>
      </w:pPr>
      <w:r w:rsidRPr="008E1E32">
        <w:rPr>
          <w:rFonts w:eastAsiaTheme="minorHAnsi"/>
          <w:b/>
          <w:bCs/>
          <w:szCs w:val="22"/>
          <w:lang w:val="en-AU"/>
        </w:rPr>
        <w:t>Figure 2.</w:t>
      </w:r>
      <w:r>
        <w:t xml:space="preserve"> </w:t>
      </w:r>
      <w:bookmarkStart w:id="9" w:name="_Hlk30078046"/>
      <w:bookmarkStart w:id="10" w:name="_Hlk35872443"/>
      <w:r w:rsidRPr="00FD45F0">
        <w:t xml:space="preserve">Total expected benefit of </w:t>
      </w:r>
      <w:r>
        <w:t xml:space="preserve">management </w:t>
      </w:r>
      <w:r w:rsidRPr="00FD45F0">
        <w:t xml:space="preserve">strategies summed for all </w:t>
      </w:r>
      <w:r>
        <w:t>species groups</w:t>
      </w:r>
      <w:r w:rsidRPr="00FD45F0">
        <w:t xml:space="preserve"> and both regions</w:t>
      </w:r>
      <w:r>
        <w:t xml:space="preserve"> </w:t>
      </w:r>
      <w:r w:rsidRPr="00FD45F0">
        <w:t xml:space="preserve">under two climate forcing scenarios (RCP4.5, RCP8.5). Bars represent the experts’ best estimates </w:t>
      </w:r>
      <w:r w:rsidRPr="00FD45F0">
        <w:rPr>
          <w:bCs/>
        </w:rPr>
        <w:t>when assessing benefit, whilst error bars represent upper (best case scenario) and lower (worst case scenario) bounds.</w:t>
      </w:r>
      <w:bookmarkEnd w:id="9"/>
      <w:bookmarkEnd w:id="10"/>
    </w:p>
    <w:p w14:paraId="0FAC9163" w14:textId="77777777" w:rsidR="00AA2AB9" w:rsidRPr="00AA2AB9" w:rsidRDefault="00AA2AB9" w:rsidP="00952E9F">
      <w:pPr>
        <w:rPr>
          <w:lang w:val="en-AU"/>
        </w:rPr>
      </w:pPr>
    </w:p>
    <w:sectPr w:rsidR="00AA2AB9" w:rsidRPr="00AA2AB9" w:rsidSect="00283F0F">
      <w:headerReference w:type="default" r:id="rId16"/>
      <w:footerReference w:type="default" r:id="rId17"/>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E188C" w14:textId="77777777" w:rsidR="00000000" w:rsidRDefault="00AA2AB9">
      <w:r>
        <w:separator/>
      </w:r>
    </w:p>
  </w:endnote>
  <w:endnote w:type="continuationSeparator" w:id="0">
    <w:p w14:paraId="7FC2BCC2" w14:textId="77777777" w:rsidR="00000000" w:rsidRDefault="00AA2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9A692" w14:textId="77777777" w:rsidR="00FA0B9F" w:rsidRDefault="00AA2AB9" w:rsidP="00CF5C82">
    <w:pPr>
      <w:framePr w:wrap="around" w:vAnchor="text" w:hAnchor="margin" w:xAlign="right" w:y="1"/>
    </w:pPr>
    <w:r>
      <w:fldChar w:fldCharType="begin"/>
    </w:r>
    <w:r>
      <w:instrText xml:space="preserve">PAGE  </w:instrText>
    </w:r>
    <w:r>
      <w:fldChar w:fldCharType="separate"/>
    </w:r>
    <w:r>
      <w:fldChar w:fldCharType="end"/>
    </w:r>
  </w:p>
  <w:p w14:paraId="1DE7D63B" w14:textId="77777777" w:rsidR="00FA0B9F" w:rsidRDefault="00AA2AB9"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471" w14:textId="77777777" w:rsidR="00FA0B9F" w:rsidRDefault="00AA2AB9"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5A9466EC" w14:textId="0407F63B" w:rsidR="00FA0B9F" w:rsidRDefault="00AA2AB9" w:rsidP="00AA2AB9">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07683" w14:textId="77777777" w:rsidR="00E311C9" w:rsidRDefault="00AA2AB9"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DEF4F03" w14:textId="77777777" w:rsidR="00E311C9" w:rsidRDefault="00AA2AB9"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81676" w14:textId="77777777" w:rsidR="00000000" w:rsidRDefault="00AA2AB9">
      <w:r>
        <w:separator/>
      </w:r>
    </w:p>
  </w:footnote>
  <w:footnote w:type="continuationSeparator" w:id="0">
    <w:p w14:paraId="50D151A9" w14:textId="77777777" w:rsidR="00000000" w:rsidRDefault="00AA2AB9">
      <w:r>
        <w:continuationSeparator/>
      </w:r>
    </w:p>
  </w:footnote>
  <w:footnote w:id="1">
    <w:p w14:paraId="20FF2EB3" w14:textId="77777777" w:rsidR="00AA2AB9" w:rsidRPr="00191832" w:rsidRDefault="00AA2AB9" w:rsidP="00AA2AB9">
      <w:pPr>
        <w:pStyle w:val="Textonotapie"/>
        <w:rPr>
          <w:lang w:val="en-AU"/>
        </w:rPr>
      </w:pPr>
      <w:r>
        <w:rPr>
          <w:rStyle w:val="Refdenotaalpie"/>
        </w:rPr>
        <w:footnoteRef/>
      </w:r>
      <w:r>
        <w:t xml:space="preserve"> </w:t>
      </w:r>
      <w:r>
        <w:rPr>
          <w:lang w:val="en-AU"/>
        </w:rPr>
        <w:t xml:space="preserve">See supplementary materials – </w:t>
      </w:r>
      <w:hyperlink r:id="rId1" w:history="1">
        <w:r w:rsidRPr="006A79F5">
          <w:rPr>
            <w:rStyle w:val="Hipervnculo"/>
          </w:rPr>
          <w:t>S1 Data</w:t>
        </w:r>
      </w:hyperlink>
      <w:r>
        <w:rPr>
          <w:rStyle w:val="Hipervnculo"/>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F00A7E" w14:paraId="0787563E" w14:textId="77777777" w:rsidTr="002E12EC">
      <w:trPr>
        <w:trHeight w:val="344"/>
        <w:jc w:val="center"/>
      </w:trPr>
      <w:tc>
        <w:tcPr>
          <w:tcW w:w="5495" w:type="dxa"/>
        </w:tcPr>
        <w:p w14:paraId="6A3FD3E4" w14:textId="77777777" w:rsidR="00DB7C09" w:rsidRDefault="00AA2AB9" w:rsidP="00F968D4"/>
      </w:tc>
      <w:tc>
        <w:tcPr>
          <w:tcW w:w="4253" w:type="dxa"/>
          <w:gridSpan w:val="2"/>
        </w:tcPr>
        <w:p w14:paraId="2DB0BE1A" w14:textId="77777777" w:rsidR="00DB7C09" w:rsidRPr="00BD47E4" w:rsidRDefault="00AA2AB9" w:rsidP="002A07BC">
          <w:pPr>
            <w:jc w:val="right"/>
            <w:rPr>
              <w:b/>
              <w:sz w:val="32"/>
              <w:szCs w:val="32"/>
            </w:rPr>
          </w:pPr>
          <w:bookmarkStart w:id="2" w:name="type"/>
          <w:r w:rsidRPr="00BD47E4">
            <w:rPr>
              <w:b/>
              <w:sz w:val="32"/>
              <w:szCs w:val="32"/>
            </w:rPr>
            <w:t>IP</w:t>
          </w:r>
          <w:bookmarkEnd w:id="2"/>
        </w:p>
      </w:tc>
      <w:tc>
        <w:tcPr>
          <w:tcW w:w="1524" w:type="dxa"/>
          <w:gridSpan w:val="2"/>
        </w:tcPr>
        <w:p w14:paraId="7079B0FA" w14:textId="77777777" w:rsidR="00DB7C09" w:rsidRPr="00BD47E4" w:rsidRDefault="00AA2AB9" w:rsidP="00DB7C09">
          <w:pPr>
            <w:rPr>
              <w:b/>
              <w:sz w:val="32"/>
              <w:szCs w:val="32"/>
            </w:rPr>
          </w:pPr>
          <w:bookmarkStart w:id="3" w:name="number"/>
          <w:r w:rsidRPr="00BD47E4">
            <w:rPr>
              <w:b/>
              <w:sz w:val="32"/>
              <w:szCs w:val="32"/>
            </w:rPr>
            <w:t>45</w:t>
          </w:r>
          <w:bookmarkEnd w:id="3"/>
        </w:p>
      </w:tc>
    </w:tr>
    <w:tr w:rsidR="00F00A7E" w14:paraId="01C12B58" w14:textId="77777777" w:rsidTr="002E12EC">
      <w:trPr>
        <w:trHeight w:val="2165"/>
        <w:jc w:val="center"/>
      </w:trPr>
      <w:tc>
        <w:tcPr>
          <w:tcW w:w="5495" w:type="dxa"/>
        </w:tcPr>
        <w:p w14:paraId="6E043FE5" w14:textId="77777777" w:rsidR="00490760" w:rsidRPr="00EE4D48" w:rsidRDefault="00AA2AB9" w:rsidP="002A07BC">
          <w:pPr>
            <w:rPr>
              <w:b/>
              <w:sz w:val="28"/>
              <w:szCs w:val="28"/>
            </w:rPr>
          </w:pPr>
          <w:r>
            <w:rPr>
              <w:noProof/>
            </w:rPr>
            <w:drawing>
              <wp:inline distT="0" distB="0" distL="0" distR="0" wp14:anchorId="5CF53E6F" wp14:editId="47690D1A">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04257"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341416F3" w14:textId="77777777" w:rsidR="00490760" w:rsidRPr="00FE5146" w:rsidRDefault="00AA2AB9" w:rsidP="00490760">
          <w:pPr>
            <w:jc w:val="right"/>
            <w:rPr>
              <w:sz w:val="144"/>
              <w:szCs w:val="144"/>
            </w:rPr>
          </w:pPr>
          <w:r w:rsidRPr="00FE5146">
            <w:rPr>
              <w:sz w:val="144"/>
              <w:szCs w:val="144"/>
            </w:rPr>
            <w:t>ENG</w:t>
          </w:r>
        </w:p>
      </w:tc>
    </w:tr>
    <w:tr w:rsidR="00F00A7E" w14:paraId="17E81351" w14:textId="77777777" w:rsidTr="002E12EC">
      <w:trPr>
        <w:trHeight w:val="409"/>
        <w:jc w:val="center"/>
      </w:trPr>
      <w:tc>
        <w:tcPr>
          <w:tcW w:w="8500" w:type="dxa"/>
          <w:gridSpan w:val="2"/>
        </w:tcPr>
        <w:p w14:paraId="6AA871E2" w14:textId="77777777" w:rsidR="00BD47E4" w:rsidRDefault="00AA2AB9" w:rsidP="002C30DA">
          <w:pPr>
            <w:jc w:val="right"/>
          </w:pPr>
          <w:r>
            <w:t>Agenda Item:</w:t>
          </w:r>
        </w:p>
      </w:tc>
      <w:tc>
        <w:tcPr>
          <w:tcW w:w="2382" w:type="dxa"/>
          <w:gridSpan w:val="2"/>
        </w:tcPr>
        <w:p w14:paraId="5B25DDAB" w14:textId="77777777" w:rsidR="00BD47E4" w:rsidRDefault="00AA2AB9" w:rsidP="002C30DA">
          <w:pPr>
            <w:jc w:val="right"/>
          </w:pPr>
          <w:bookmarkStart w:id="4" w:name="agenda"/>
          <w:r>
            <w:t>CEP 7a</w:t>
          </w:r>
          <w:bookmarkEnd w:id="4"/>
        </w:p>
      </w:tc>
      <w:tc>
        <w:tcPr>
          <w:tcW w:w="390" w:type="dxa"/>
        </w:tcPr>
        <w:p w14:paraId="56B5CF8C" w14:textId="77777777" w:rsidR="00BD47E4" w:rsidRDefault="00AA2AB9" w:rsidP="00387A65">
          <w:pPr>
            <w:jc w:val="right"/>
          </w:pPr>
        </w:p>
      </w:tc>
    </w:tr>
    <w:tr w:rsidR="00F00A7E" w14:paraId="1B1E031B" w14:textId="77777777" w:rsidTr="002E12EC">
      <w:trPr>
        <w:trHeight w:val="397"/>
        <w:jc w:val="center"/>
      </w:trPr>
      <w:tc>
        <w:tcPr>
          <w:tcW w:w="8500" w:type="dxa"/>
          <w:gridSpan w:val="2"/>
        </w:tcPr>
        <w:p w14:paraId="3D39BBA7" w14:textId="77777777" w:rsidR="00BD47E4" w:rsidRDefault="00AA2AB9" w:rsidP="002C30DA">
          <w:pPr>
            <w:jc w:val="right"/>
          </w:pPr>
          <w:r>
            <w:t>Presented by:</w:t>
          </w:r>
        </w:p>
      </w:tc>
      <w:tc>
        <w:tcPr>
          <w:tcW w:w="2382" w:type="dxa"/>
          <w:gridSpan w:val="2"/>
        </w:tcPr>
        <w:p w14:paraId="2E7602F5" w14:textId="77777777" w:rsidR="00AA2AB9" w:rsidRDefault="00AA2AB9" w:rsidP="002C30DA">
          <w:pPr>
            <w:jc w:val="right"/>
          </w:pPr>
          <w:bookmarkStart w:id="5" w:name="party"/>
          <w:r>
            <w:t xml:space="preserve">Australia, Belgium, France, Japan, </w:t>
          </w:r>
        </w:p>
        <w:p w14:paraId="6AE0DC78" w14:textId="5F612FDC" w:rsidR="00BD47E4" w:rsidRDefault="00AA2AB9" w:rsidP="002C30DA">
          <w:pPr>
            <w:jc w:val="right"/>
          </w:pPr>
          <w:r>
            <w:t>New Zealand, Norway, Spain, United Kingdom, United States, SCAR, ASOC, IAATO</w:t>
          </w:r>
          <w:bookmarkEnd w:id="5"/>
        </w:p>
      </w:tc>
      <w:tc>
        <w:tcPr>
          <w:tcW w:w="390" w:type="dxa"/>
        </w:tcPr>
        <w:p w14:paraId="4F76C986" w14:textId="77777777" w:rsidR="00BD47E4" w:rsidRDefault="00AA2AB9" w:rsidP="00387A65">
          <w:pPr>
            <w:jc w:val="right"/>
          </w:pPr>
        </w:p>
      </w:tc>
    </w:tr>
    <w:tr w:rsidR="00F00A7E" w14:paraId="5E919E08" w14:textId="77777777" w:rsidTr="002E12EC">
      <w:trPr>
        <w:trHeight w:val="409"/>
        <w:jc w:val="center"/>
      </w:trPr>
      <w:tc>
        <w:tcPr>
          <w:tcW w:w="8500" w:type="dxa"/>
          <w:gridSpan w:val="2"/>
        </w:tcPr>
        <w:p w14:paraId="6969EC16" w14:textId="77777777" w:rsidR="00BD47E4" w:rsidRDefault="00AA2AB9" w:rsidP="002C30DA">
          <w:pPr>
            <w:jc w:val="right"/>
          </w:pPr>
          <w:r>
            <w:t>Original:</w:t>
          </w:r>
        </w:p>
      </w:tc>
      <w:tc>
        <w:tcPr>
          <w:tcW w:w="2382" w:type="dxa"/>
          <w:gridSpan w:val="2"/>
        </w:tcPr>
        <w:p w14:paraId="1F92FA8F" w14:textId="77777777" w:rsidR="00BD47E4" w:rsidRDefault="00AA2AB9" w:rsidP="002C30DA">
          <w:pPr>
            <w:jc w:val="right"/>
          </w:pPr>
          <w:bookmarkStart w:id="6" w:name="language"/>
          <w:r>
            <w:t>English</w:t>
          </w:r>
          <w:bookmarkEnd w:id="6"/>
        </w:p>
      </w:tc>
      <w:tc>
        <w:tcPr>
          <w:tcW w:w="390" w:type="dxa"/>
        </w:tcPr>
        <w:p w14:paraId="64A30F5F" w14:textId="77777777" w:rsidR="00BD47E4" w:rsidRDefault="00AA2AB9" w:rsidP="00387A65">
          <w:pPr>
            <w:jc w:val="right"/>
          </w:pPr>
        </w:p>
      </w:tc>
    </w:tr>
    <w:tr w:rsidR="00F00A7E" w14:paraId="5110D904" w14:textId="77777777" w:rsidTr="002E12EC">
      <w:trPr>
        <w:trHeight w:val="409"/>
        <w:jc w:val="center"/>
      </w:trPr>
      <w:tc>
        <w:tcPr>
          <w:tcW w:w="8500" w:type="dxa"/>
          <w:gridSpan w:val="2"/>
        </w:tcPr>
        <w:p w14:paraId="13686FAD" w14:textId="77777777" w:rsidR="0097629D" w:rsidRDefault="00AA2AB9" w:rsidP="002C30DA">
          <w:pPr>
            <w:jc w:val="right"/>
          </w:pPr>
          <w:r>
            <w:t>Submitted:</w:t>
          </w:r>
        </w:p>
      </w:tc>
      <w:tc>
        <w:tcPr>
          <w:tcW w:w="2382" w:type="dxa"/>
          <w:gridSpan w:val="2"/>
        </w:tcPr>
        <w:p w14:paraId="2891005D" w14:textId="77777777" w:rsidR="0097629D" w:rsidRDefault="00AA2AB9" w:rsidP="0097629D">
          <w:pPr>
            <w:jc w:val="right"/>
          </w:pPr>
          <w:bookmarkStart w:id="7" w:name="date_submission"/>
          <w:r>
            <w:t>22 Apr 2023</w:t>
          </w:r>
          <w:bookmarkEnd w:id="7"/>
        </w:p>
      </w:tc>
      <w:tc>
        <w:tcPr>
          <w:tcW w:w="390" w:type="dxa"/>
        </w:tcPr>
        <w:p w14:paraId="5DC7B252" w14:textId="77777777" w:rsidR="0097629D" w:rsidRDefault="00AA2AB9" w:rsidP="00387A65">
          <w:pPr>
            <w:jc w:val="right"/>
          </w:pPr>
        </w:p>
      </w:tc>
    </w:tr>
  </w:tbl>
  <w:p w14:paraId="0E625782" w14:textId="77777777" w:rsidR="00AE5DD0" w:rsidRDefault="00AA2AB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F00A7E" w14:paraId="2A1DDBEB" w14:textId="77777777">
      <w:trPr>
        <w:trHeight w:val="354"/>
        <w:jc w:val="center"/>
      </w:trPr>
      <w:tc>
        <w:tcPr>
          <w:tcW w:w="9694" w:type="dxa"/>
        </w:tcPr>
        <w:p w14:paraId="6EF9BB0D" w14:textId="2C7D9F53" w:rsidR="00AE5DD0" w:rsidRPr="00BD47E4" w:rsidRDefault="00AA2AB9" w:rsidP="00C26F2D">
          <w:pPr>
            <w:jc w:val="right"/>
            <w:rPr>
              <w:b/>
              <w:sz w:val="32"/>
              <w:szCs w:val="32"/>
            </w:rPr>
          </w:pPr>
          <w:r>
            <w:rPr>
              <w:b/>
              <w:sz w:val="32"/>
              <w:szCs w:val="32"/>
            </w:rPr>
            <w:t>IP</w:t>
          </w:r>
        </w:p>
      </w:tc>
      <w:tc>
        <w:tcPr>
          <w:tcW w:w="1332" w:type="dxa"/>
        </w:tcPr>
        <w:p w14:paraId="7D89CA2B" w14:textId="403F81BE" w:rsidR="00AE5DD0" w:rsidRPr="00BD47E4" w:rsidRDefault="00AA2AB9" w:rsidP="00080F4C">
          <w:pPr>
            <w:rPr>
              <w:b/>
              <w:sz w:val="32"/>
              <w:szCs w:val="32"/>
            </w:rPr>
          </w:pPr>
          <w:r>
            <w:rPr>
              <w:b/>
              <w:sz w:val="32"/>
              <w:szCs w:val="32"/>
            </w:rPr>
            <w:t>45</w:t>
          </w:r>
        </w:p>
      </w:tc>
    </w:tr>
  </w:tbl>
  <w:p w14:paraId="568A896E" w14:textId="77777777" w:rsidR="00AE5DD0" w:rsidRDefault="00AA2A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F0406D32">
      <w:start w:val="1"/>
      <w:numFmt w:val="bullet"/>
      <w:pStyle w:val="ATSBullet1"/>
      <w:lvlText w:val=""/>
      <w:lvlJc w:val="left"/>
      <w:pPr>
        <w:tabs>
          <w:tab w:val="num" w:pos="360"/>
        </w:tabs>
        <w:ind w:left="360" w:hanging="360"/>
      </w:pPr>
      <w:rPr>
        <w:rFonts w:ascii="Symbol" w:hAnsi="Symbol" w:hint="default"/>
        <w:color w:val="auto"/>
      </w:rPr>
    </w:lvl>
    <w:lvl w:ilvl="1" w:tplc="716A81BE" w:tentative="1">
      <w:start w:val="1"/>
      <w:numFmt w:val="bullet"/>
      <w:lvlText w:val="o"/>
      <w:lvlJc w:val="left"/>
      <w:pPr>
        <w:tabs>
          <w:tab w:val="num" w:pos="1440"/>
        </w:tabs>
        <w:ind w:left="1440" w:hanging="360"/>
      </w:pPr>
      <w:rPr>
        <w:rFonts w:ascii="Courier New" w:hAnsi="Courier New" w:cs="Courier New" w:hint="default"/>
      </w:rPr>
    </w:lvl>
    <w:lvl w:ilvl="2" w:tplc="BAEA1460" w:tentative="1">
      <w:start w:val="1"/>
      <w:numFmt w:val="bullet"/>
      <w:lvlText w:val=""/>
      <w:lvlJc w:val="left"/>
      <w:pPr>
        <w:tabs>
          <w:tab w:val="num" w:pos="2160"/>
        </w:tabs>
        <w:ind w:left="2160" w:hanging="360"/>
      </w:pPr>
      <w:rPr>
        <w:rFonts w:ascii="Wingdings" w:hAnsi="Wingdings" w:hint="default"/>
      </w:rPr>
    </w:lvl>
    <w:lvl w:ilvl="3" w:tplc="F38011AE" w:tentative="1">
      <w:start w:val="1"/>
      <w:numFmt w:val="bullet"/>
      <w:lvlText w:val=""/>
      <w:lvlJc w:val="left"/>
      <w:pPr>
        <w:tabs>
          <w:tab w:val="num" w:pos="2880"/>
        </w:tabs>
        <w:ind w:left="2880" w:hanging="360"/>
      </w:pPr>
      <w:rPr>
        <w:rFonts w:ascii="Symbol" w:hAnsi="Symbol" w:hint="default"/>
      </w:rPr>
    </w:lvl>
    <w:lvl w:ilvl="4" w:tplc="C4B61946" w:tentative="1">
      <w:start w:val="1"/>
      <w:numFmt w:val="bullet"/>
      <w:lvlText w:val="o"/>
      <w:lvlJc w:val="left"/>
      <w:pPr>
        <w:tabs>
          <w:tab w:val="num" w:pos="3600"/>
        </w:tabs>
        <w:ind w:left="3600" w:hanging="360"/>
      </w:pPr>
      <w:rPr>
        <w:rFonts w:ascii="Courier New" w:hAnsi="Courier New" w:cs="Courier New" w:hint="default"/>
      </w:rPr>
    </w:lvl>
    <w:lvl w:ilvl="5" w:tplc="E62E2476" w:tentative="1">
      <w:start w:val="1"/>
      <w:numFmt w:val="bullet"/>
      <w:lvlText w:val=""/>
      <w:lvlJc w:val="left"/>
      <w:pPr>
        <w:tabs>
          <w:tab w:val="num" w:pos="4320"/>
        </w:tabs>
        <w:ind w:left="4320" w:hanging="360"/>
      </w:pPr>
      <w:rPr>
        <w:rFonts w:ascii="Wingdings" w:hAnsi="Wingdings" w:hint="default"/>
      </w:rPr>
    </w:lvl>
    <w:lvl w:ilvl="6" w:tplc="403EEB52" w:tentative="1">
      <w:start w:val="1"/>
      <w:numFmt w:val="bullet"/>
      <w:lvlText w:val=""/>
      <w:lvlJc w:val="left"/>
      <w:pPr>
        <w:tabs>
          <w:tab w:val="num" w:pos="5040"/>
        </w:tabs>
        <w:ind w:left="5040" w:hanging="360"/>
      </w:pPr>
      <w:rPr>
        <w:rFonts w:ascii="Symbol" w:hAnsi="Symbol" w:hint="default"/>
      </w:rPr>
    </w:lvl>
    <w:lvl w:ilvl="7" w:tplc="4A10DEC4" w:tentative="1">
      <w:start w:val="1"/>
      <w:numFmt w:val="bullet"/>
      <w:lvlText w:val="o"/>
      <w:lvlJc w:val="left"/>
      <w:pPr>
        <w:tabs>
          <w:tab w:val="num" w:pos="5760"/>
        </w:tabs>
        <w:ind w:left="5760" w:hanging="360"/>
      </w:pPr>
      <w:rPr>
        <w:rFonts w:ascii="Courier New" w:hAnsi="Courier New" w:cs="Courier New" w:hint="default"/>
      </w:rPr>
    </w:lvl>
    <w:lvl w:ilvl="8" w:tplc="868892B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4114EC30">
      <w:start w:val="1"/>
      <w:numFmt w:val="decimal"/>
      <w:lvlText w:val="%1)"/>
      <w:lvlJc w:val="left"/>
      <w:pPr>
        <w:tabs>
          <w:tab w:val="num" w:pos="340"/>
        </w:tabs>
        <w:ind w:left="340" w:hanging="340"/>
      </w:pPr>
      <w:rPr>
        <w:rFonts w:hint="default"/>
      </w:rPr>
    </w:lvl>
    <w:lvl w:ilvl="1" w:tplc="9852F6E2" w:tentative="1">
      <w:start w:val="1"/>
      <w:numFmt w:val="lowerLetter"/>
      <w:lvlText w:val="%2."/>
      <w:lvlJc w:val="left"/>
      <w:pPr>
        <w:tabs>
          <w:tab w:val="num" w:pos="1440"/>
        </w:tabs>
        <w:ind w:left="1440" w:hanging="360"/>
      </w:pPr>
    </w:lvl>
    <w:lvl w:ilvl="2" w:tplc="03681474" w:tentative="1">
      <w:start w:val="1"/>
      <w:numFmt w:val="lowerRoman"/>
      <w:lvlText w:val="%3."/>
      <w:lvlJc w:val="right"/>
      <w:pPr>
        <w:tabs>
          <w:tab w:val="num" w:pos="2160"/>
        </w:tabs>
        <w:ind w:left="2160" w:hanging="180"/>
      </w:pPr>
    </w:lvl>
    <w:lvl w:ilvl="3" w:tplc="17A68B32" w:tentative="1">
      <w:start w:val="1"/>
      <w:numFmt w:val="decimal"/>
      <w:lvlText w:val="%4."/>
      <w:lvlJc w:val="left"/>
      <w:pPr>
        <w:tabs>
          <w:tab w:val="num" w:pos="2880"/>
        </w:tabs>
        <w:ind w:left="2880" w:hanging="360"/>
      </w:pPr>
    </w:lvl>
    <w:lvl w:ilvl="4" w:tplc="6F081DB4" w:tentative="1">
      <w:start w:val="1"/>
      <w:numFmt w:val="lowerLetter"/>
      <w:lvlText w:val="%5."/>
      <w:lvlJc w:val="left"/>
      <w:pPr>
        <w:tabs>
          <w:tab w:val="num" w:pos="3600"/>
        </w:tabs>
        <w:ind w:left="3600" w:hanging="360"/>
      </w:pPr>
    </w:lvl>
    <w:lvl w:ilvl="5" w:tplc="C26424C6" w:tentative="1">
      <w:start w:val="1"/>
      <w:numFmt w:val="lowerRoman"/>
      <w:lvlText w:val="%6."/>
      <w:lvlJc w:val="right"/>
      <w:pPr>
        <w:tabs>
          <w:tab w:val="num" w:pos="4320"/>
        </w:tabs>
        <w:ind w:left="4320" w:hanging="180"/>
      </w:pPr>
    </w:lvl>
    <w:lvl w:ilvl="6" w:tplc="18245BE6" w:tentative="1">
      <w:start w:val="1"/>
      <w:numFmt w:val="decimal"/>
      <w:lvlText w:val="%7."/>
      <w:lvlJc w:val="left"/>
      <w:pPr>
        <w:tabs>
          <w:tab w:val="num" w:pos="5040"/>
        </w:tabs>
        <w:ind w:left="5040" w:hanging="360"/>
      </w:pPr>
    </w:lvl>
    <w:lvl w:ilvl="7" w:tplc="FD900EDA" w:tentative="1">
      <w:start w:val="1"/>
      <w:numFmt w:val="lowerLetter"/>
      <w:lvlText w:val="%8."/>
      <w:lvlJc w:val="left"/>
      <w:pPr>
        <w:tabs>
          <w:tab w:val="num" w:pos="5760"/>
        </w:tabs>
        <w:ind w:left="5760" w:hanging="360"/>
      </w:pPr>
    </w:lvl>
    <w:lvl w:ilvl="8" w:tplc="3968D37C"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CCDEE97E">
      <w:start w:val="1"/>
      <w:numFmt w:val="decimal"/>
      <w:lvlText w:val="%1."/>
      <w:lvlJc w:val="left"/>
      <w:pPr>
        <w:tabs>
          <w:tab w:val="num" w:pos="1057"/>
        </w:tabs>
        <w:ind w:left="1057" w:hanging="360"/>
      </w:pPr>
      <w:rPr>
        <w:rFonts w:hint="default"/>
      </w:rPr>
    </w:lvl>
    <w:lvl w:ilvl="1" w:tplc="331E53E6" w:tentative="1">
      <w:start w:val="1"/>
      <w:numFmt w:val="lowerLetter"/>
      <w:lvlText w:val="%2."/>
      <w:lvlJc w:val="left"/>
      <w:pPr>
        <w:tabs>
          <w:tab w:val="num" w:pos="2137"/>
        </w:tabs>
        <w:ind w:left="2137" w:hanging="360"/>
      </w:pPr>
    </w:lvl>
    <w:lvl w:ilvl="2" w:tplc="057A84BA" w:tentative="1">
      <w:start w:val="1"/>
      <w:numFmt w:val="lowerRoman"/>
      <w:lvlText w:val="%3."/>
      <w:lvlJc w:val="right"/>
      <w:pPr>
        <w:tabs>
          <w:tab w:val="num" w:pos="2857"/>
        </w:tabs>
        <w:ind w:left="2857" w:hanging="180"/>
      </w:pPr>
    </w:lvl>
    <w:lvl w:ilvl="3" w:tplc="6CF09C34" w:tentative="1">
      <w:start w:val="1"/>
      <w:numFmt w:val="decimal"/>
      <w:lvlText w:val="%4."/>
      <w:lvlJc w:val="left"/>
      <w:pPr>
        <w:tabs>
          <w:tab w:val="num" w:pos="3577"/>
        </w:tabs>
        <w:ind w:left="3577" w:hanging="360"/>
      </w:pPr>
    </w:lvl>
    <w:lvl w:ilvl="4" w:tplc="1B24B2F0" w:tentative="1">
      <w:start w:val="1"/>
      <w:numFmt w:val="lowerLetter"/>
      <w:lvlText w:val="%5."/>
      <w:lvlJc w:val="left"/>
      <w:pPr>
        <w:tabs>
          <w:tab w:val="num" w:pos="4297"/>
        </w:tabs>
        <w:ind w:left="4297" w:hanging="360"/>
      </w:pPr>
    </w:lvl>
    <w:lvl w:ilvl="5" w:tplc="44142A48" w:tentative="1">
      <w:start w:val="1"/>
      <w:numFmt w:val="lowerRoman"/>
      <w:lvlText w:val="%6."/>
      <w:lvlJc w:val="right"/>
      <w:pPr>
        <w:tabs>
          <w:tab w:val="num" w:pos="5017"/>
        </w:tabs>
        <w:ind w:left="5017" w:hanging="180"/>
      </w:pPr>
    </w:lvl>
    <w:lvl w:ilvl="6" w:tplc="757C88C8" w:tentative="1">
      <w:start w:val="1"/>
      <w:numFmt w:val="decimal"/>
      <w:lvlText w:val="%7."/>
      <w:lvlJc w:val="left"/>
      <w:pPr>
        <w:tabs>
          <w:tab w:val="num" w:pos="5737"/>
        </w:tabs>
        <w:ind w:left="5737" w:hanging="360"/>
      </w:pPr>
    </w:lvl>
    <w:lvl w:ilvl="7" w:tplc="C86EC70E" w:tentative="1">
      <w:start w:val="1"/>
      <w:numFmt w:val="lowerLetter"/>
      <w:lvlText w:val="%8."/>
      <w:lvlJc w:val="left"/>
      <w:pPr>
        <w:tabs>
          <w:tab w:val="num" w:pos="6457"/>
        </w:tabs>
        <w:ind w:left="6457" w:hanging="360"/>
      </w:pPr>
    </w:lvl>
    <w:lvl w:ilvl="8" w:tplc="D63C40A2" w:tentative="1">
      <w:start w:val="1"/>
      <w:numFmt w:val="lowerRoman"/>
      <w:lvlText w:val="%9."/>
      <w:lvlJc w:val="right"/>
      <w:pPr>
        <w:tabs>
          <w:tab w:val="num" w:pos="7177"/>
        </w:tabs>
        <w:ind w:left="7177" w:hanging="180"/>
      </w:pPr>
    </w:lvl>
  </w:abstractNum>
  <w:abstractNum w:abstractNumId="14" w15:restartNumberingAfterBreak="0">
    <w:nsid w:val="702E64D4"/>
    <w:multiLevelType w:val="hybridMultilevel"/>
    <w:tmpl w:val="E0A84F9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7212657C"/>
    <w:multiLevelType w:val="hybridMultilevel"/>
    <w:tmpl w:val="0A8E2A84"/>
    <w:lvl w:ilvl="0" w:tplc="5316EC20">
      <w:start w:val="1"/>
      <w:numFmt w:val="decimal"/>
      <w:pStyle w:val="ATSNumber1"/>
      <w:lvlText w:val="%1)"/>
      <w:lvlJc w:val="left"/>
      <w:pPr>
        <w:tabs>
          <w:tab w:val="num" w:pos="720"/>
        </w:tabs>
        <w:ind w:left="720" w:hanging="360"/>
      </w:pPr>
    </w:lvl>
    <w:lvl w:ilvl="1" w:tplc="4DCC010C" w:tentative="1">
      <w:start w:val="1"/>
      <w:numFmt w:val="lowerLetter"/>
      <w:lvlText w:val="%2."/>
      <w:lvlJc w:val="left"/>
      <w:pPr>
        <w:tabs>
          <w:tab w:val="num" w:pos="1440"/>
        </w:tabs>
        <w:ind w:left="1440" w:hanging="360"/>
      </w:pPr>
    </w:lvl>
    <w:lvl w:ilvl="2" w:tplc="708C36F0" w:tentative="1">
      <w:start w:val="1"/>
      <w:numFmt w:val="lowerRoman"/>
      <w:lvlText w:val="%3."/>
      <w:lvlJc w:val="right"/>
      <w:pPr>
        <w:tabs>
          <w:tab w:val="num" w:pos="2160"/>
        </w:tabs>
        <w:ind w:left="2160" w:hanging="180"/>
      </w:pPr>
    </w:lvl>
    <w:lvl w:ilvl="3" w:tplc="F5A0C132" w:tentative="1">
      <w:start w:val="1"/>
      <w:numFmt w:val="decimal"/>
      <w:lvlText w:val="%4."/>
      <w:lvlJc w:val="left"/>
      <w:pPr>
        <w:tabs>
          <w:tab w:val="num" w:pos="2880"/>
        </w:tabs>
        <w:ind w:left="2880" w:hanging="360"/>
      </w:pPr>
    </w:lvl>
    <w:lvl w:ilvl="4" w:tplc="40EE3A34" w:tentative="1">
      <w:start w:val="1"/>
      <w:numFmt w:val="lowerLetter"/>
      <w:lvlText w:val="%5."/>
      <w:lvlJc w:val="left"/>
      <w:pPr>
        <w:tabs>
          <w:tab w:val="num" w:pos="3600"/>
        </w:tabs>
        <w:ind w:left="3600" w:hanging="360"/>
      </w:pPr>
    </w:lvl>
    <w:lvl w:ilvl="5" w:tplc="3086FC82" w:tentative="1">
      <w:start w:val="1"/>
      <w:numFmt w:val="lowerRoman"/>
      <w:lvlText w:val="%6."/>
      <w:lvlJc w:val="right"/>
      <w:pPr>
        <w:tabs>
          <w:tab w:val="num" w:pos="4320"/>
        </w:tabs>
        <w:ind w:left="4320" w:hanging="180"/>
      </w:pPr>
    </w:lvl>
    <w:lvl w:ilvl="6" w:tplc="B9C09B80" w:tentative="1">
      <w:start w:val="1"/>
      <w:numFmt w:val="decimal"/>
      <w:lvlText w:val="%7."/>
      <w:lvlJc w:val="left"/>
      <w:pPr>
        <w:tabs>
          <w:tab w:val="num" w:pos="5040"/>
        </w:tabs>
        <w:ind w:left="5040" w:hanging="360"/>
      </w:pPr>
    </w:lvl>
    <w:lvl w:ilvl="7" w:tplc="27A41678" w:tentative="1">
      <w:start w:val="1"/>
      <w:numFmt w:val="lowerLetter"/>
      <w:lvlText w:val="%8."/>
      <w:lvlJc w:val="left"/>
      <w:pPr>
        <w:tabs>
          <w:tab w:val="num" w:pos="5760"/>
        </w:tabs>
        <w:ind w:left="5760" w:hanging="360"/>
      </w:pPr>
    </w:lvl>
    <w:lvl w:ilvl="8" w:tplc="445AB116"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747EA62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A3465830" w:tentative="1">
      <w:start w:val="1"/>
      <w:numFmt w:val="bullet"/>
      <w:lvlText w:val="o"/>
      <w:lvlJc w:val="left"/>
      <w:pPr>
        <w:tabs>
          <w:tab w:val="num" w:pos="2517"/>
        </w:tabs>
        <w:ind w:left="2517" w:hanging="360"/>
      </w:pPr>
      <w:rPr>
        <w:rFonts w:ascii="Courier New" w:hAnsi="Courier New" w:cs="Courier New" w:hint="default"/>
      </w:rPr>
    </w:lvl>
    <w:lvl w:ilvl="2" w:tplc="A46EB894" w:tentative="1">
      <w:start w:val="1"/>
      <w:numFmt w:val="bullet"/>
      <w:lvlText w:val=""/>
      <w:lvlJc w:val="left"/>
      <w:pPr>
        <w:tabs>
          <w:tab w:val="num" w:pos="3237"/>
        </w:tabs>
        <w:ind w:left="3237" w:hanging="360"/>
      </w:pPr>
      <w:rPr>
        <w:rFonts w:ascii="Wingdings" w:hAnsi="Wingdings" w:hint="default"/>
      </w:rPr>
    </w:lvl>
    <w:lvl w:ilvl="3" w:tplc="A24820CE" w:tentative="1">
      <w:start w:val="1"/>
      <w:numFmt w:val="bullet"/>
      <w:lvlText w:val=""/>
      <w:lvlJc w:val="left"/>
      <w:pPr>
        <w:tabs>
          <w:tab w:val="num" w:pos="3957"/>
        </w:tabs>
        <w:ind w:left="3957" w:hanging="360"/>
      </w:pPr>
      <w:rPr>
        <w:rFonts w:ascii="Symbol" w:hAnsi="Symbol" w:hint="default"/>
      </w:rPr>
    </w:lvl>
    <w:lvl w:ilvl="4" w:tplc="F478449E" w:tentative="1">
      <w:start w:val="1"/>
      <w:numFmt w:val="bullet"/>
      <w:lvlText w:val="o"/>
      <w:lvlJc w:val="left"/>
      <w:pPr>
        <w:tabs>
          <w:tab w:val="num" w:pos="4677"/>
        </w:tabs>
        <w:ind w:left="4677" w:hanging="360"/>
      </w:pPr>
      <w:rPr>
        <w:rFonts w:ascii="Courier New" w:hAnsi="Courier New" w:cs="Courier New" w:hint="default"/>
      </w:rPr>
    </w:lvl>
    <w:lvl w:ilvl="5" w:tplc="E04663AA" w:tentative="1">
      <w:start w:val="1"/>
      <w:numFmt w:val="bullet"/>
      <w:lvlText w:val=""/>
      <w:lvlJc w:val="left"/>
      <w:pPr>
        <w:tabs>
          <w:tab w:val="num" w:pos="5397"/>
        </w:tabs>
        <w:ind w:left="5397" w:hanging="360"/>
      </w:pPr>
      <w:rPr>
        <w:rFonts w:ascii="Wingdings" w:hAnsi="Wingdings" w:hint="default"/>
      </w:rPr>
    </w:lvl>
    <w:lvl w:ilvl="6" w:tplc="C69A9728" w:tentative="1">
      <w:start w:val="1"/>
      <w:numFmt w:val="bullet"/>
      <w:lvlText w:val=""/>
      <w:lvlJc w:val="left"/>
      <w:pPr>
        <w:tabs>
          <w:tab w:val="num" w:pos="6117"/>
        </w:tabs>
        <w:ind w:left="6117" w:hanging="360"/>
      </w:pPr>
      <w:rPr>
        <w:rFonts w:ascii="Symbol" w:hAnsi="Symbol" w:hint="default"/>
      </w:rPr>
    </w:lvl>
    <w:lvl w:ilvl="7" w:tplc="49801CEE" w:tentative="1">
      <w:start w:val="1"/>
      <w:numFmt w:val="bullet"/>
      <w:lvlText w:val="o"/>
      <w:lvlJc w:val="left"/>
      <w:pPr>
        <w:tabs>
          <w:tab w:val="num" w:pos="6837"/>
        </w:tabs>
        <w:ind w:left="6837" w:hanging="360"/>
      </w:pPr>
      <w:rPr>
        <w:rFonts w:ascii="Courier New" w:hAnsi="Courier New" w:cs="Courier New" w:hint="default"/>
      </w:rPr>
    </w:lvl>
    <w:lvl w:ilvl="8" w:tplc="46EE9280"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E87EECE4">
      <w:start w:val="1"/>
      <w:numFmt w:val="decimal"/>
      <w:pStyle w:val="ATSNumber2"/>
      <w:lvlText w:val="%1."/>
      <w:lvlJc w:val="left"/>
      <w:pPr>
        <w:tabs>
          <w:tab w:val="num" w:pos="720"/>
        </w:tabs>
        <w:ind w:left="720" w:hanging="360"/>
      </w:pPr>
      <w:rPr>
        <w:rFonts w:hint="default"/>
      </w:rPr>
    </w:lvl>
    <w:lvl w:ilvl="1" w:tplc="AC0605E2" w:tentative="1">
      <w:start w:val="1"/>
      <w:numFmt w:val="lowerLetter"/>
      <w:lvlText w:val="%2."/>
      <w:lvlJc w:val="left"/>
      <w:pPr>
        <w:tabs>
          <w:tab w:val="num" w:pos="1440"/>
        </w:tabs>
        <w:ind w:left="1440" w:hanging="360"/>
      </w:pPr>
    </w:lvl>
    <w:lvl w:ilvl="2" w:tplc="10BA2A5E" w:tentative="1">
      <w:start w:val="1"/>
      <w:numFmt w:val="lowerRoman"/>
      <w:lvlText w:val="%3."/>
      <w:lvlJc w:val="right"/>
      <w:pPr>
        <w:tabs>
          <w:tab w:val="num" w:pos="2160"/>
        </w:tabs>
        <w:ind w:left="2160" w:hanging="180"/>
      </w:pPr>
    </w:lvl>
    <w:lvl w:ilvl="3" w:tplc="AEAA4954" w:tentative="1">
      <w:start w:val="1"/>
      <w:numFmt w:val="decimal"/>
      <w:lvlText w:val="%4."/>
      <w:lvlJc w:val="left"/>
      <w:pPr>
        <w:tabs>
          <w:tab w:val="num" w:pos="2880"/>
        </w:tabs>
        <w:ind w:left="2880" w:hanging="360"/>
      </w:pPr>
    </w:lvl>
    <w:lvl w:ilvl="4" w:tplc="A6DE1FDA" w:tentative="1">
      <w:start w:val="1"/>
      <w:numFmt w:val="lowerLetter"/>
      <w:lvlText w:val="%5."/>
      <w:lvlJc w:val="left"/>
      <w:pPr>
        <w:tabs>
          <w:tab w:val="num" w:pos="3600"/>
        </w:tabs>
        <w:ind w:left="3600" w:hanging="360"/>
      </w:pPr>
    </w:lvl>
    <w:lvl w:ilvl="5" w:tplc="34FC200E" w:tentative="1">
      <w:start w:val="1"/>
      <w:numFmt w:val="lowerRoman"/>
      <w:lvlText w:val="%6."/>
      <w:lvlJc w:val="right"/>
      <w:pPr>
        <w:tabs>
          <w:tab w:val="num" w:pos="4320"/>
        </w:tabs>
        <w:ind w:left="4320" w:hanging="180"/>
      </w:pPr>
    </w:lvl>
    <w:lvl w:ilvl="6" w:tplc="2A1A9D02" w:tentative="1">
      <w:start w:val="1"/>
      <w:numFmt w:val="decimal"/>
      <w:lvlText w:val="%7."/>
      <w:lvlJc w:val="left"/>
      <w:pPr>
        <w:tabs>
          <w:tab w:val="num" w:pos="5040"/>
        </w:tabs>
        <w:ind w:left="5040" w:hanging="360"/>
      </w:pPr>
    </w:lvl>
    <w:lvl w:ilvl="7" w:tplc="05004A62" w:tentative="1">
      <w:start w:val="1"/>
      <w:numFmt w:val="lowerLetter"/>
      <w:lvlText w:val="%8."/>
      <w:lvlJc w:val="left"/>
      <w:pPr>
        <w:tabs>
          <w:tab w:val="num" w:pos="5760"/>
        </w:tabs>
        <w:ind w:left="5760" w:hanging="360"/>
      </w:pPr>
    </w:lvl>
    <w:lvl w:ilvl="8" w:tplc="0412A810" w:tentative="1">
      <w:start w:val="1"/>
      <w:numFmt w:val="lowerRoman"/>
      <w:lvlText w:val="%9."/>
      <w:lvlJc w:val="right"/>
      <w:pPr>
        <w:tabs>
          <w:tab w:val="num" w:pos="6480"/>
        </w:tabs>
        <w:ind w:left="6480" w:hanging="180"/>
      </w:pPr>
    </w:lvl>
  </w:abstractNum>
  <w:num w:numId="1" w16cid:durableId="344212994">
    <w:abstractNumId w:val="9"/>
  </w:num>
  <w:num w:numId="2" w16cid:durableId="788084289">
    <w:abstractNumId w:val="7"/>
  </w:num>
  <w:num w:numId="3" w16cid:durableId="783113749">
    <w:abstractNumId w:val="6"/>
  </w:num>
  <w:num w:numId="4" w16cid:durableId="926966334">
    <w:abstractNumId w:val="5"/>
  </w:num>
  <w:num w:numId="5" w16cid:durableId="433089859">
    <w:abstractNumId w:val="4"/>
  </w:num>
  <w:num w:numId="6" w16cid:durableId="1060444562">
    <w:abstractNumId w:val="8"/>
  </w:num>
  <w:num w:numId="7" w16cid:durableId="566694506">
    <w:abstractNumId w:val="3"/>
  </w:num>
  <w:num w:numId="8" w16cid:durableId="1618873136">
    <w:abstractNumId w:val="2"/>
  </w:num>
  <w:num w:numId="9" w16cid:durableId="1868910460">
    <w:abstractNumId w:val="1"/>
  </w:num>
  <w:num w:numId="10" w16cid:durableId="1247110060">
    <w:abstractNumId w:val="0"/>
  </w:num>
  <w:num w:numId="11" w16cid:durableId="862477779">
    <w:abstractNumId w:val="11"/>
  </w:num>
  <w:num w:numId="12" w16cid:durableId="1609586503">
    <w:abstractNumId w:val="16"/>
  </w:num>
  <w:num w:numId="13" w16cid:durableId="1233584533">
    <w:abstractNumId w:val="15"/>
  </w:num>
  <w:num w:numId="14" w16cid:durableId="399333309">
    <w:abstractNumId w:val="12"/>
  </w:num>
  <w:num w:numId="15" w16cid:durableId="2000884253">
    <w:abstractNumId w:val="13"/>
  </w:num>
  <w:num w:numId="16" w16cid:durableId="541139511">
    <w:abstractNumId w:val="10"/>
  </w:num>
  <w:num w:numId="17" w16cid:durableId="888079811">
    <w:abstractNumId w:val="11"/>
  </w:num>
  <w:num w:numId="18" w16cid:durableId="489299166">
    <w:abstractNumId w:val="16"/>
  </w:num>
  <w:num w:numId="19" w16cid:durableId="1088112495">
    <w:abstractNumId w:val="15"/>
  </w:num>
  <w:num w:numId="20" w16cid:durableId="1027364065">
    <w:abstractNumId w:val="17"/>
  </w:num>
  <w:num w:numId="21" w16cid:durableId="7671941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A7E"/>
    <w:rsid w:val="00AA2AB9"/>
    <w:rsid w:val="00F00A7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5EA5E3"/>
  <w15:chartTrackingRefBased/>
  <w15:docId w15:val="{FFF86CB8-F23B-403F-8495-E1334ADC0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link w:val="TextonotapieCar"/>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uiPriority w:val="39"/>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AA2AB9"/>
    <w:rPr>
      <w:rFonts w:ascii="Arial" w:hAnsi="Arial"/>
      <w:b/>
      <w:i/>
      <w:sz w:val="24"/>
      <w:szCs w:val="22"/>
      <w:lang w:val="en-GB" w:eastAsia="en-GB"/>
    </w:rPr>
  </w:style>
  <w:style w:type="character" w:customStyle="1" w:styleId="ATSNormalChar">
    <w:name w:val="ATS Normal Char"/>
    <w:link w:val="ATSNormal"/>
    <w:locked/>
    <w:rsid w:val="00AA2AB9"/>
    <w:rPr>
      <w:sz w:val="22"/>
      <w:szCs w:val="24"/>
      <w:lang w:val="en-GB" w:eastAsia="en-GB"/>
    </w:rPr>
  </w:style>
  <w:style w:type="character" w:customStyle="1" w:styleId="TextonotapieCar">
    <w:name w:val="Texto nota pie Car"/>
    <w:basedOn w:val="Fuentedeprrafopredeter"/>
    <w:link w:val="Textonotapie"/>
    <w:rsid w:val="00AA2AB9"/>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26179/5da8f8e7a225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ournals.plos.org/plosbiology/article/file?type=supplementary&amp;id=10.1371/journal.pbio.3001921.s001"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371/journal.pbio.3001921"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tiff"/></Relationships>
</file>

<file path=word/_rels/footnotes.xml.rels><?xml version="1.0" encoding="UTF-8" standalone="yes"?>
<Relationships xmlns="http://schemas.openxmlformats.org/package/2006/relationships"><Relationship Id="rId1" Type="http://schemas.openxmlformats.org/officeDocument/2006/relationships/hyperlink" Target="https://journals.plos.org/plosbiology/article/file?type=supplementary&amp;id=10.1371/journal.pbio.3001921.s00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1576</Words>
  <Characters>10057</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2023-04-24T12:27:00Z</dcterms:modified>
</cp:coreProperties>
</file>