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94A2" w14:textId="77777777" w:rsidR="00C26F2D" w:rsidRPr="00BF077B" w:rsidRDefault="00221486" w:rsidP="00BF077B">
      <w:pPr>
        <w:pStyle w:val="ATSNormal"/>
        <w:rPr>
          <w:rStyle w:val="Ttulodellibro"/>
        </w:rPr>
      </w:pPr>
    </w:p>
    <w:p w14:paraId="2D95E644" w14:textId="77777777" w:rsidR="002F0A13" w:rsidRDefault="00221486" w:rsidP="004B4A60">
      <w:pPr>
        <w:rPr>
          <w:b/>
          <w:u w:val="single"/>
          <w:lang w:val="es-ES_tradnl"/>
        </w:rPr>
      </w:pPr>
    </w:p>
    <w:p w14:paraId="6AAF8941" w14:textId="77777777" w:rsidR="002F0A13" w:rsidRDefault="00221486" w:rsidP="004B4A60">
      <w:pPr>
        <w:rPr>
          <w:b/>
          <w:u w:val="single"/>
          <w:lang w:val="es-ES_tradnl"/>
        </w:rPr>
      </w:pPr>
    </w:p>
    <w:p w14:paraId="6B31788C" w14:textId="77777777" w:rsidR="002F0A13" w:rsidRDefault="00221486" w:rsidP="004B4A60">
      <w:pPr>
        <w:rPr>
          <w:b/>
          <w:u w:val="single"/>
          <w:lang w:val="es-ES_tradnl"/>
        </w:rPr>
      </w:pPr>
    </w:p>
    <w:p w14:paraId="63EA8F50" w14:textId="77777777" w:rsidR="002F0A13" w:rsidRDefault="00221486" w:rsidP="004B4A60">
      <w:pPr>
        <w:rPr>
          <w:b/>
          <w:u w:val="single"/>
          <w:lang w:val="es-ES_tradnl"/>
        </w:rPr>
      </w:pPr>
    </w:p>
    <w:p w14:paraId="3888E507" w14:textId="77777777" w:rsidR="00C26F2D" w:rsidRDefault="00221486" w:rsidP="004B4A60">
      <w:pPr>
        <w:rPr>
          <w:b/>
          <w:u w:val="single"/>
          <w:lang w:val="es-ES_tradnl"/>
        </w:rPr>
      </w:pPr>
    </w:p>
    <w:p w14:paraId="76C705C5" w14:textId="77777777" w:rsidR="004B4A60" w:rsidRPr="0057246E" w:rsidRDefault="00221486" w:rsidP="001B789F">
      <w:pPr>
        <w:pStyle w:val="ATSTitle"/>
      </w:pPr>
      <w:bookmarkStart w:id="0" w:name="name"/>
      <w:r>
        <w:t>Report of the International Association of Antarctica Tour Operators 2022-23</w:t>
      </w:r>
      <w:bookmarkEnd w:id="0"/>
    </w:p>
    <w:p w14:paraId="4C355AAA" w14:textId="77777777" w:rsidR="004B4A60" w:rsidRPr="0057246E" w:rsidRDefault="00221486" w:rsidP="00F75424">
      <w:pPr>
        <w:jc w:val="center"/>
      </w:pPr>
    </w:p>
    <w:p w14:paraId="35E40E97" w14:textId="77777777" w:rsidR="004B4A60" w:rsidRPr="002F0A13" w:rsidRDefault="00221486" w:rsidP="002F0A13"/>
    <w:p w14:paraId="091080BD" w14:textId="77777777" w:rsidR="004B4A60" w:rsidRDefault="00221486" w:rsidP="00F75424">
      <w:pPr>
        <w:jc w:val="center"/>
      </w:pPr>
      <w:bookmarkStart w:id="1" w:name="memo"/>
      <w:bookmarkEnd w:id="1"/>
    </w:p>
    <w:p w14:paraId="592789E2" w14:textId="77777777" w:rsidR="0097629D" w:rsidRDefault="00221486" w:rsidP="00F75424">
      <w:pPr>
        <w:jc w:val="center"/>
      </w:pPr>
    </w:p>
    <w:p w14:paraId="5CE177EB" w14:textId="77777777" w:rsidR="0097629D" w:rsidRDefault="00221486" w:rsidP="00F75424">
      <w:pPr>
        <w:jc w:val="center"/>
      </w:pPr>
    </w:p>
    <w:p w14:paraId="50C263E3" w14:textId="77777777" w:rsidR="0097629D" w:rsidRDefault="00221486" w:rsidP="00F75424">
      <w:pPr>
        <w:jc w:val="center"/>
      </w:pPr>
    </w:p>
    <w:p w14:paraId="4C7EDC6C" w14:textId="77777777" w:rsidR="0097629D" w:rsidRPr="00C26F2D" w:rsidRDefault="00221486" w:rsidP="00F75424">
      <w:pPr>
        <w:jc w:val="center"/>
      </w:pPr>
    </w:p>
    <w:p w14:paraId="39DAF6B9" w14:textId="77777777" w:rsidR="004B4A60" w:rsidRPr="0057246E" w:rsidRDefault="00221486" w:rsidP="004B4A60"/>
    <w:p w14:paraId="2037E8BB" w14:textId="77777777" w:rsidR="00C26F2D" w:rsidRDefault="0022148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9533382" w14:textId="77777777" w:rsidR="00221486" w:rsidRPr="00BD21FC" w:rsidRDefault="00221486" w:rsidP="00221486">
      <w:pPr>
        <w:pStyle w:val="ATSHeading1"/>
        <w:rPr>
          <w:szCs w:val="20"/>
          <w:lang w:eastAsia="en-US"/>
        </w:rPr>
      </w:pPr>
      <w:r>
        <w:lastRenderedPageBreak/>
        <w:t xml:space="preserve">Report of </w:t>
      </w:r>
      <w:r w:rsidRPr="00BD21FC">
        <w:t>the International Association of Antarctica Tour Operators 2022-23</w:t>
      </w:r>
    </w:p>
    <w:p w14:paraId="47EBCE0E" w14:textId="77777777" w:rsidR="00221486" w:rsidRPr="00BD21FC" w:rsidRDefault="00221486" w:rsidP="00221486">
      <w:pPr>
        <w:pStyle w:val="ATSHeading2"/>
        <w:jc w:val="center"/>
        <w:rPr>
          <w:rFonts w:ascii="Times New Roman" w:hAnsi="Times New Roman"/>
        </w:rPr>
      </w:pPr>
      <w:r w:rsidRPr="00BD21FC">
        <w:t>Under Article III (2) of the Antarctic Treaty</w:t>
      </w:r>
    </w:p>
    <w:p w14:paraId="3C4CC208" w14:textId="77777777" w:rsidR="00221486" w:rsidRPr="00BD21FC" w:rsidRDefault="00221486" w:rsidP="00221486">
      <w:pPr>
        <w:pStyle w:val="ATSHeading2"/>
        <w:rPr>
          <w:rFonts w:ascii="Times New Roman" w:hAnsi="Times New Roman"/>
          <w:szCs w:val="24"/>
        </w:rPr>
      </w:pPr>
      <w:r w:rsidRPr="00BD21FC">
        <w:rPr>
          <w:rFonts w:ascii="Times New Roman" w:hAnsi="Times New Roman"/>
          <w:szCs w:val="24"/>
        </w:rPr>
        <w:t>Introduction</w:t>
      </w:r>
    </w:p>
    <w:p w14:paraId="67BC89AA" w14:textId="77777777" w:rsidR="00221486" w:rsidRPr="00BD21FC" w:rsidRDefault="00221486" w:rsidP="00221486">
      <w:pPr>
        <w:tabs>
          <w:tab w:val="left" w:pos="1260"/>
        </w:tabs>
        <w:suppressAutoHyphens/>
        <w:rPr>
          <w:szCs w:val="22"/>
        </w:rPr>
      </w:pPr>
      <w:r w:rsidRPr="00BD21FC">
        <w:rPr>
          <w:szCs w:val="22"/>
        </w:rPr>
        <w:t>The International Association of Antarctica Tour Operators (IAATO) is pleased to report its activities to ATCM XLV.</w:t>
      </w:r>
    </w:p>
    <w:p w14:paraId="46FA3A04" w14:textId="77777777" w:rsidR="00221486" w:rsidRPr="00BD21FC" w:rsidRDefault="00221486" w:rsidP="00221486">
      <w:pPr>
        <w:tabs>
          <w:tab w:val="left" w:pos="1260"/>
        </w:tabs>
        <w:suppressAutoHyphens/>
        <w:rPr>
          <w:szCs w:val="22"/>
        </w:rPr>
      </w:pPr>
    </w:p>
    <w:p w14:paraId="08907D94" w14:textId="77777777" w:rsidR="00221486" w:rsidRPr="00BD21FC" w:rsidRDefault="00221486" w:rsidP="00221486">
      <w:pPr>
        <w:tabs>
          <w:tab w:val="left" w:pos="1260"/>
        </w:tabs>
        <w:suppressAutoHyphens/>
      </w:pPr>
      <w:r w:rsidRPr="00BD21FC">
        <w:t xml:space="preserve">IAATO focuses activities in support of its mission to advocate and promote the practice of safe and environmentally responsible private sector travel to Antarctica. Further information on IAATO, its mission, primary activities and recent developments can be found at: </w:t>
      </w:r>
      <w:hyperlink r:id="rId11">
        <w:r w:rsidRPr="00BD21FC">
          <w:rPr>
            <w:rStyle w:val="Hipervnculo"/>
          </w:rPr>
          <w:t>www.iaato.org</w:t>
        </w:r>
      </w:hyperlink>
      <w:r w:rsidRPr="00BD21FC">
        <w:t>.</w:t>
      </w:r>
    </w:p>
    <w:p w14:paraId="2A2E4D3D" w14:textId="77777777" w:rsidR="00221486" w:rsidRPr="00BD21FC" w:rsidRDefault="00221486" w:rsidP="00221486">
      <w:pPr>
        <w:pStyle w:val="ATSHeading2"/>
        <w:rPr>
          <w:rFonts w:ascii="Times New Roman" w:hAnsi="Times New Roman"/>
          <w:szCs w:val="24"/>
        </w:rPr>
      </w:pPr>
      <w:r w:rsidRPr="00BD21FC">
        <w:rPr>
          <w:rFonts w:ascii="Times New Roman" w:hAnsi="Times New Roman"/>
          <w:szCs w:val="24"/>
        </w:rPr>
        <w:t>Overview</w:t>
      </w:r>
    </w:p>
    <w:p w14:paraId="4D55F906" w14:textId="77777777" w:rsidR="00221486" w:rsidRPr="00BD21FC" w:rsidRDefault="00221486" w:rsidP="00221486">
      <w:pPr>
        <w:pStyle w:val="ATSNormal"/>
        <w:rPr>
          <w:szCs w:val="22"/>
          <w:lang w:val="en-US"/>
        </w:rPr>
      </w:pPr>
      <w:r w:rsidRPr="00BD21FC">
        <w:rPr>
          <w:szCs w:val="22"/>
          <w:lang w:val="en-US"/>
        </w:rPr>
        <w:t xml:space="preserve">Over the last three decades, IAATO has been committed to the promotion of safe and environmentally responsible private sector travel.  This commitment has been unwavering through periods of major growth and, recently, the SARS-CoV-2 (COVID-19) pandemic. </w:t>
      </w:r>
    </w:p>
    <w:p w14:paraId="763F292D" w14:textId="77777777" w:rsidR="00221486" w:rsidRPr="00BD21FC" w:rsidRDefault="00221486" w:rsidP="00221486">
      <w:pPr>
        <w:pStyle w:val="ATSNormal"/>
        <w:rPr>
          <w:szCs w:val="22"/>
          <w:lang w:val="en-US"/>
        </w:rPr>
      </w:pPr>
      <w:r w:rsidRPr="00BD21FC">
        <w:rPr>
          <w:szCs w:val="22"/>
          <w:lang w:val="en-US"/>
        </w:rPr>
        <w:t>IAATO’s membership totals 109 Members, comprised of 57 Operators and Provisional Operators and 52 Associates.  IAATO’s strength has been and continues to be its membership’s ability to draw upon their own experience and the advice from other stakeholders to address emerging challenges and evolve its procedures and management when necessary.</w:t>
      </w:r>
    </w:p>
    <w:p w14:paraId="701BA6EB" w14:textId="77777777" w:rsidR="00221486" w:rsidRPr="00BD21FC" w:rsidRDefault="00221486" w:rsidP="00221486">
      <w:pPr>
        <w:rPr>
          <w:lang w:val="en-US"/>
        </w:rPr>
      </w:pPr>
      <w:r w:rsidRPr="00BD21FC">
        <w:rPr>
          <w:lang w:val="en-US"/>
        </w:rPr>
        <w:t xml:space="preserve">After experiencing minimal activity in the 2020-21 season, the 2021-22 season saw a moderate resumption of operations though COVID-19 challenges persisted.  This modest restart did allow Operators to deploy some new vessels; however, most Operators did not run at full capacity.  For the 2022-23 season however, Operators did see a significant recovery in operations, though the passenger numbers were not as high as initial estimates.  </w:t>
      </w:r>
    </w:p>
    <w:p w14:paraId="6FDF8412" w14:textId="77777777" w:rsidR="00221486" w:rsidRPr="00BD21FC" w:rsidRDefault="00221486" w:rsidP="00221486">
      <w:pPr>
        <w:pStyle w:val="ATSNormal"/>
        <w:rPr>
          <w:lang w:val="en-US"/>
        </w:rPr>
      </w:pPr>
      <w:r w:rsidRPr="00BD21FC">
        <w:rPr>
          <w:lang w:val="en-US"/>
        </w:rPr>
        <w:t xml:space="preserve">Through feedback from the Operators throughout the season, as well </w:t>
      </w:r>
      <w:r>
        <w:rPr>
          <w:lang w:val="en-US"/>
        </w:rPr>
        <w:t xml:space="preserve">as </w:t>
      </w:r>
      <w:r w:rsidRPr="00BD21FC">
        <w:rPr>
          <w:lang w:val="en-US"/>
        </w:rPr>
        <w:t xml:space="preserve">the </w:t>
      </w:r>
      <w:r>
        <w:rPr>
          <w:lang w:val="en-US"/>
        </w:rPr>
        <w:t>N</w:t>
      </w:r>
      <w:r w:rsidRPr="00BD21FC">
        <w:rPr>
          <w:lang w:val="en-US"/>
        </w:rPr>
        <w:t xml:space="preserve">ational </w:t>
      </w:r>
      <w:r>
        <w:rPr>
          <w:lang w:val="en-US"/>
        </w:rPr>
        <w:t>C</w:t>
      </w:r>
      <w:r w:rsidRPr="00BD21FC">
        <w:rPr>
          <w:lang w:val="en-US"/>
        </w:rPr>
        <w:t xml:space="preserve">ompetent </w:t>
      </w:r>
      <w:r>
        <w:rPr>
          <w:lang w:val="en-US"/>
        </w:rPr>
        <w:t>A</w:t>
      </w:r>
      <w:r w:rsidRPr="00BD21FC">
        <w:rPr>
          <w:lang w:val="en-US"/>
        </w:rPr>
        <w:t xml:space="preserve">uthorities and results from IAATO’s </w:t>
      </w:r>
      <w:r>
        <w:rPr>
          <w:lang w:val="en-US"/>
        </w:rPr>
        <w:t xml:space="preserve">Mandatory </w:t>
      </w:r>
      <w:r w:rsidRPr="00BD21FC">
        <w:rPr>
          <w:lang w:val="en-US"/>
        </w:rPr>
        <w:t>Observ</w:t>
      </w:r>
      <w:r>
        <w:rPr>
          <w:lang w:val="en-US"/>
        </w:rPr>
        <w:t>er</w:t>
      </w:r>
      <w:r w:rsidRPr="00BD21FC">
        <w:rPr>
          <w:lang w:val="en-US"/>
        </w:rPr>
        <w:t xml:space="preserve"> Scheme</w:t>
      </w:r>
      <w:r>
        <w:rPr>
          <w:lang w:val="en-US"/>
        </w:rPr>
        <w:t xml:space="preserve"> (ATCM XLII - IP138)</w:t>
      </w:r>
      <w:r w:rsidRPr="00BD21FC">
        <w:rPr>
          <w:lang w:val="en-US"/>
        </w:rPr>
        <w:t>, new measures were agreed to at IAATO’s 2023 Annual Meeting in Hamburg, Germany</w:t>
      </w:r>
      <w:r>
        <w:rPr>
          <w:lang w:val="en-US"/>
        </w:rPr>
        <w:t xml:space="preserve"> (24-27 April 2023)</w:t>
      </w:r>
      <w:r w:rsidRPr="00BD21FC">
        <w:rPr>
          <w:lang w:val="en-US"/>
        </w:rPr>
        <w:t xml:space="preserve">.  Additionally, a five-year strategic plan was approved.  These steps are important to fulfill IAATO’s </w:t>
      </w:r>
      <w:r>
        <w:rPr>
          <w:lang w:val="en-US"/>
        </w:rPr>
        <w:t>mission</w:t>
      </w:r>
      <w:r w:rsidRPr="00BD21FC">
        <w:rPr>
          <w:lang w:val="en-US"/>
        </w:rPr>
        <w:t xml:space="preserve">, and to ensure </w:t>
      </w:r>
      <w:r>
        <w:rPr>
          <w:lang w:val="en-US"/>
        </w:rPr>
        <w:t xml:space="preserve">Operators’ </w:t>
      </w:r>
      <w:r w:rsidRPr="00BD21FC">
        <w:rPr>
          <w:lang w:val="en-US"/>
        </w:rPr>
        <w:t xml:space="preserve">activities have no more than a minor or transitory environmental impact. </w:t>
      </w:r>
    </w:p>
    <w:p w14:paraId="6CDAACBC" w14:textId="77777777" w:rsidR="00221486" w:rsidRPr="004449E8" w:rsidRDefault="00221486" w:rsidP="00221486">
      <w:pPr>
        <w:pStyle w:val="ATSNormal"/>
        <w:rPr>
          <w:strike/>
          <w:lang w:val="en-US"/>
        </w:rPr>
      </w:pPr>
      <w:r w:rsidRPr="00BD21FC">
        <w:t>Further information on IAATO Operators’ activities can be found in ATCM XLV IP</w:t>
      </w:r>
      <w:r>
        <w:t>056</w:t>
      </w:r>
      <w:r w:rsidRPr="00FB2F8D">
        <w:rPr>
          <w:i/>
          <w:iCs/>
        </w:rPr>
        <w:t xml:space="preserve"> </w:t>
      </w:r>
      <w:r w:rsidRPr="00FB2F8D">
        <w:rPr>
          <w:rFonts w:hint="cs"/>
          <w:i/>
          <w:iCs/>
          <w:lang w:val="en-US"/>
        </w:rPr>
        <w:t>IAATO Vessel Overview of Antarctic Tourism: 2022-23 Season and Preliminary Estimates for 2023-24 Season</w:t>
      </w:r>
      <w:r>
        <w:rPr>
          <w:lang w:val="en-US"/>
        </w:rPr>
        <w:t xml:space="preserve">. </w:t>
      </w:r>
      <w:r w:rsidRPr="00A24D87">
        <w:rPr>
          <w:lang w:val="en-US"/>
        </w:rPr>
        <w:t xml:space="preserve"> </w:t>
      </w:r>
    </w:p>
    <w:p w14:paraId="1C218E6D" w14:textId="77777777" w:rsidR="00221486" w:rsidRPr="00BD21FC" w:rsidRDefault="00221486" w:rsidP="00221486">
      <w:pPr>
        <w:rPr>
          <w:szCs w:val="22"/>
        </w:rPr>
      </w:pPr>
      <w:r>
        <w:rPr>
          <w:lang w:val="en-US"/>
        </w:rPr>
        <w:t>Internal communication</w:t>
      </w:r>
      <w:r w:rsidRPr="00BD21FC">
        <w:rPr>
          <w:lang w:val="en-US"/>
        </w:rPr>
        <w:t xml:space="preserve"> between IAATO and </w:t>
      </w:r>
      <w:r>
        <w:rPr>
          <w:lang w:val="en-US"/>
        </w:rPr>
        <w:t>its</w:t>
      </w:r>
      <w:r w:rsidRPr="00BD21FC">
        <w:rPr>
          <w:lang w:val="en-US"/>
        </w:rPr>
        <w:t xml:space="preserve"> Operators</w:t>
      </w:r>
      <w:r>
        <w:rPr>
          <w:lang w:val="en-US"/>
        </w:rPr>
        <w:t xml:space="preserve"> continued to be strong during the season.  F</w:t>
      </w:r>
      <w:r w:rsidRPr="00BD21FC">
        <w:rPr>
          <w:lang w:val="en-US"/>
        </w:rPr>
        <w:t>eedback</w:t>
      </w:r>
      <w:r>
        <w:rPr>
          <w:lang w:val="en-US"/>
        </w:rPr>
        <w:t xml:space="preserve"> from the Operators, especially around the</w:t>
      </w:r>
      <w:r w:rsidRPr="00BD21FC">
        <w:rPr>
          <w:lang w:val="en-US"/>
        </w:rPr>
        <w:t xml:space="preserve"> implementation of special biosecurity protocols to address concerns relating to </w:t>
      </w:r>
      <w:r>
        <w:rPr>
          <w:lang w:val="en-US"/>
        </w:rPr>
        <w:t xml:space="preserve">highly pathogenic </w:t>
      </w:r>
      <w:r w:rsidRPr="00BD21FC">
        <w:rPr>
          <w:lang w:val="en-US"/>
        </w:rPr>
        <w:t>avian influenza (HPAI)</w:t>
      </w:r>
      <w:r>
        <w:rPr>
          <w:lang w:val="en-US"/>
        </w:rPr>
        <w:t>, was also received</w:t>
      </w:r>
      <w:r w:rsidRPr="00BD21FC">
        <w:rPr>
          <w:lang w:val="en-US"/>
        </w:rPr>
        <w:t xml:space="preserve">.  </w:t>
      </w:r>
      <w:r>
        <w:rPr>
          <w:lang w:val="en-US"/>
        </w:rPr>
        <w:t>Utilizing</w:t>
      </w:r>
      <w:r w:rsidRPr="00BD21FC">
        <w:rPr>
          <w:lang w:val="en-US"/>
        </w:rPr>
        <w:t xml:space="preserve"> communications </w:t>
      </w:r>
      <w:r>
        <w:rPr>
          <w:lang w:val="en-US"/>
        </w:rPr>
        <w:t xml:space="preserve">from Operators, </w:t>
      </w:r>
      <w:r w:rsidRPr="00BD21FC">
        <w:rPr>
          <w:lang w:val="en-US"/>
        </w:rPr>
        <w:t xml:space="preserve">feedback from the </w:t>
      </w:r>
      <w:r>
        <w:rPr>
          <w:lang w:val="en-US"/>
        </w:rPr>
        <w:t>N</w:t>
      </w:r>
      <w:r w:rsidRPr="00BD21FC">
        <w:rPr>
          <w:lang w:val="en-US"/>
        </w:rPr>
        <w:t xml:space="preserve">ational </w:t>
      </w:r>
      <w:r>
        <w:rPr>
          <w:lang w:val="en-US"/>
        </w:rPr>
        <w:t>C</w:t>
      </w:r>
      <w:r w:rsidRPr="00BD21FC">
        <w:rPr>
          <w:lang w:val="en-US"/>
        </w:rPr>
        <w:t xml:space="preserve">ompetent </w:t>
      </w:r>
      <w:r>
        <w:rPr>
          <w:lang w:val="en-US"/>
        </w:rPr>
        <w:t>A</w:t>
      </w:r>
      <w:r w:rsidRPr="00BD21FC">
        <w:rPr>
          <w:lang w:val="en-US"/>
        </w:rPr>
        <w:t>uthorities and trends identified during the 25 observations conducted under IAATO’s Observ</w:t>
      </w:r>
      <w:r>
        <w:rPr>
          <w:lang w:val="en-US"/>
        </w:rPr>
        <w:t>er</w:t>
      </w:r>
      <w:r w:rsidRPr="00BD21FC">
        <w:rPr>
          <w:lang w:val="en-US"/>
        </w:rPr>
        <w:t xml:space="preserve"> Program, enhancements to existing operational procedures were presented to IAATO’s members at the </w:t>
      </w:r>
      <w:r>
        <w:rPr>
          <w:lang w:val="en-US"/>
        </w:rPr>
        <w:t>A</w:t>
      </w:r>
      <w:r w:rsidRPr="00BD21FC">
        <w:rPr>
          <w:lang w:val="en-US"/>
        </w:rPr>
        <w:t xml:space="preserve">nnual </w:t>
      </w:r>
      <w:r>
        <w:rPr>
          <w:lang w:val="en-US"/>
        </w:rPr>
        <w:t>M</w:t>
      </w:r>
      <w:r w:rsidRPr="00BD21FC">
        <w:rPr>
          <w:lang w:val="en-US"/>
        </w:rPr>
        <w:t xml:space="preserve">eeting and were approved.  </w:t>
      </w:r>
    </w:p>
    <w:p w14:paraId="4E61B540" w14:textId="77777777" w:rsidR="00221486" w:rsidRPr="00BD21FC" w:rsidRDefault="00221486" w:rsidP="00221486">
      <w:pPr>
        <w:rPr>
          <w:szCs w:val="22"/>
          <w:lang w:val="en-US"/>
        </w:rPr>
      </w:pPr>
    </w:p>
    <w:p w14:paraId="1573474C" w14:textId="77777777" w:rsidR="00221486" w:rsidRPr="00BD21FC" w:rsidRDefault="00221486" w:rsidP="00221486">
      <w:pPr>
        <w:jc w:val="both"/>
        <w:rPr>
          <w:szCs w:val="22"/>
          <w:lang w:val="en-US"/>
        </w:rPr>
      </w:pPr>
      <w:r w:rsidRPr="00BD21FC">
        <w:rPr>
          <w:szCs w:val="22"/>
          <w:lang w:val="en-US"/>
        </w:rPr>
        <w:t xml:space="preserve">The total number of visitors in the 2022-23 season was </w:t>
      </w:r>
      <w:r>
        <w:rPr>
          <w:szCs w:val="22"/>
          <w:lang w:val="en-US"/>
        </w:rPr>
        <w:t>104</w:t>
      </w:r>
      <w:r w:rsidRPr="00BD21FC">
        <w:rPr>
          <w:szCs w:val="22"/>
          <w:lang w:val="en-US"/>
        </w:rPr>
        <w:t>,</w:t>
      </w:r>
      <w:r>
        <w:rPr>
          <w:szCs w:val="22"/>
          <w:lang w:val="en-US"/>
        </w:rPr>
        <w:t>897</w:t>
      </w:r>
      <w:r w:rsidRPr="00BD21FC">
        <w:rPr>
          <w:szCs w:val="22"/>
          <w:lang w:val="en-US"/>
        </w:rPr>
        <w:t xml:space="preserve"> which was less than the preliminary estimates provided at ATCM XLIV.  This was mainly the result of lower </w:t>
      </w:r>
      <w:r>
        <w:rPr>
          <w:szCs w:val="22"/>
          <w:lang w:val="en-US"/>
        </w:rPr>
        <w:t>occupancy</w:t>
      </w:r>
      <w:r w:rsidRPr="00BD21FC">
        <w:rPr>
          <w:szCs w:val="22"/>
          <w:lang w:val="en-US"/>
        </w:rPr>
        <w:t xml:space="preserve"> on the vessels travelling to Antarctica.    </w:t>
      </w:r>
    </w:p>
    <w:p w14:paraId="0282E96F" w14:textId="77777777" w:rsidR="00221486" w:rsidRPr="00BD21FC" w:rsidRDefault="00221486" w:rsidP="00221486">
      <w:pPr>
        <w:jc w:val="both"/>
        <w:rPr>
          <w:szCs w:val="22"/>
          <w:lang w:val="en-US"/>
        </w:rPr>
      </w:pPr>
    </w:p>
    <w:p w14:paraId="7341EAFD" w14:textId="77777777" w:rsidR="00221486" w:rsidRPr="00BD21FC" w:rsidRDefault="00221486" w:rsidP="00221486">
      <w:pPr>
        <w:rPr>
          <w:szCs w:val="22"/>
        </w:rPr>
      </w:pPr>
      <w:r w:rsidRPr="00BD21FC">
        <w:rPr>
          <w:szCs w:val="22"/>
          <w:lang w:val="en-US"/>
        </w:rPr>
        <w:lastRenderedPageBreak/>
        <w:t>F</w:t>
      </w:r>
      <w:r w:rsidRPr="00BD21FC">
        <w:rPr>
          <w:szCs w:val="22"/>
        </w:rPr>
        <w:t>urther information on IAATO tourism statistics, including activities and nationalities, can be found in ATCM XLV IP</w:t>
      </w:r>
      <w:r>
        <w:rPr>
          <w:szCs w:val="22"/>
        </w:rPr>
        <w:t>053</w:t>
      </w:r>
      <w:r w:rsidRPr="00BD21FC">
        <w:rPr>
          <w:i/>
          <w:iCs/>
          <w:szCs w:val="22"/>
        </w:rPr>
        <w:t xml:space="preserve"> </w:t>
      </w:r>
      <w:r w:rsidRPr="00BC3ADA">
        <w:rPr>
          <w:rFonts w:hint="cs"/>
          <w:i/>
          <w:iCs/>
          <w:szCs w:val="22"/>
        </w:rPr>
        <w:t>A Five-Year Overview and 202</w:t>
      </w:r>
      <w:r w:rsidRPr="00BC3ADA">
        <w:rPr>
          <w:i/>
          <w:iCs/>
          <w:szCs w:val="22"/>
        </w:rPr>
        <w:t>2</w:t>
      </w:r>
      <w:r w:rsidRPr="00BC3ADA">
        <w:rPr>
          <w:rFonts w:hint="cs"/>
          <w:i/>
          <w:iCs/>
          <w:szCs w:val="22"/>
        </w:rPr>
        <w:t>–2</w:t>
      </w:r>
      <w:r w:rsidRPr="00BC3ADA">
        <w:rPr>
          <w:i/>
          <w:iCs/>
          <w:szCs w:val="22"/>
        </w:rPr>
        <w:t>3</w:t>
      </w:r>
      <w:r w:rsidRPr="00BC3ADA">
        <w:rPr>
          <w:rFonts w:hint="cs"/>
          <w:i/>
          <w:iCs/>
          <w:szCs w:val="22"/>
        </w:rPr>
        <w:t xml:space="preserve"> Season Report on IAATO Operator Use of Antarctic Peninsula Landing Sites and ATCM Visitor Site Guidelines</w:t>
      </w:r>
      <w:r w:rsidRPr="00BD21FC">
        <w:rPr>
          <w:i/>
          <w:iCs/>
          <w:szCs w:val="22"/>
        </w:rPr>
        <w:t xml:space="preserve"> </w:t>
      </w:r>
      <w:r w:rsidRPr="007348C7">
        <w:rPr>
          <w:szCs w:val="22"/>
        </w:rPr>
        <w:t>and IP057</w:t>
      </w:r>
      <w:r>
        <w:rPr>
          <w:szCs w:val="22"/>
        </w:rPr>
        <w:t xml:space="preserve"> </w:t>
      </w:r>
      <w:r w:rsidRPr="007348C7">
        <w:rPr>
          <w:i/>
          <w:iCs/>
          <w:szCs w:val="22"/>
        </w:rPr>
        <w:t>Deep Field and Air Overview of Antarctic Tourism: 2022-23 Season and Preliminary Estimates for 2023-24 Season</w:t>
      </w:r>
      <w:r>
        <w:rPr>
          <w:i/>
          <w:iCs/>
          <w:szCs w:val="22"/>
        </w:rPr>
        <w:t xml:space="preserve">. </w:t>
      </w:r>
      <w:r w:rsidRPr="00BD21FC">
        <w:rPr>
          <w:szCs w:val="22"/>
        </w:rPr>
        <w:t xml:space="preserve">The Membership Directory can be found at </w:t>
      </w:r>
      <w:hyperlink r:id="rId12" w:history="1">
        <w:r w:rsidRPr="00BD21FC">
          <w:rPr>
            <w:rStyle w:val="Hipervnculo"/>
            <w:szCs w:val="22"/>
          </w:rPr>
          <w:t>www.iaato.org</w:t>
        </w:r>
      </w:hyperlink>
      <w:r w:rsidRPr="00BD21FC">
        <w:rPr>
          <w:szCs w:val="22"/>
        </w:rPr>
        <w:t xml:space="preserve">. </w:t>
      </w:r>
    </w:p>
    <w:p w14:paraId="42E0D76F" w14:textId="77777777" w:rsidR="00221486" w:rsidRPr="00BD21FC" w:rsidRDefault="00221486" w:rsidP="00221486">
      <w:pPr>
        <w:rPr>
          <w:b/>
          <w:bCs/>
          <w:szCs w:val="22"/>
          <w:u w:val="single"/>
        </w:rPr>
      </w:pPr>
    </w:p>
    <w:p w14:paraId="46B5A0E7" w14:textId="77777777" w:rsidR="00221486" w:rsidRPr="00BD21FC" w:rsidRDefault="00221486" w:rsidP="00221486">
      <w:pPr>
        <w:rPr>
          <w:b/>
          <w:bCs/>
          <w:i/>
          <w:iCs/>
        </w:rPr>
      </w:pPr>
      <w:r w:rsidRPr="00BD21FC">
        <w:rPr>
          <w:b/>
          <w:bCs/>
          <w:i/>
          <w:iCs/>
        </w:rPr>
        <w:t>IAATO Annual Meeting</w:t>
      </w:r>
    </w:p>
    <w:p w14:paraId="40EAA71E" w14:textId="77777777" w:rsidR="00221486" w:rsidRPr="00BD21FC" w:rsidRDefault="00221486" w:rsidP="00221486"/>
    <w:p w14:paraId="051A04A4" w14:textId="77777777" w:rsidR="00221486" w:rsidRDefault="00221486" w:rsidP="00221486">
      <w:pPr>
        <w:rPr>
          <w:szCs w:val="22"/>
        </w:rPr>
      </w:pPr>
      <w:r w:rsidRPr="00BD21FC">
        <w:rPr>
          <w:szCs w:val="22"/>
        </w:rPr>
        <w:t xml:space="preserve">IAATO’s 2023 Annual Meeting was held in Hamburg, Germany, 24-27 April 2023.  </w:t>
      </w:r>
      <w:r>
        <w:rPr>
          <w:szCs w:val="22"/>
        </w:rPr>
        <w:t>C</w:t>
      </w:r>
      <w:r w:rsidRPr="00BD21FC">
        <w:rPr>
          <w:szCs w:val="22"/>
        </w:rPr>
        <w:t>ertain portions of this meeting were also live streamed</w:t>
      </w:r>
      <w:r>
        <w:rPr>
          <w:szCs w:val="22"/>
        </w:rPr>
        <w:t xml:space="preserve"> for members</w:t>
      </w:r>
      <w:r w:rsidRPr="00BD21FC">
        <w:rPr>
          <w:szCs w:val="22"/>
        </w:rPr>
        <w:t xml:space="preserve">.  After the pause due to the COVID-19 pandemic, IAATO was also pleased to have </w:t>
      </w:r>
      <w:r>
        <w:rPr>
          <w:szCs w:val="22"/>
        </w:rPr>
        <w:t>National Competent Authority</w:t>
      </w:r>
      <w:r w:rsidRPr="00BD21FC">
        <w:rPr>
          <w:szCs w:val="22"/>
        </w:rPr>
        <w:t xml:space="preserve"> representatives attend the open sessions.  </w:t>
      </w:r>
    </w:p>
    <w:p w14:paraId="5230B9C8" w14:textId="77777777" w:rsidR="00221486" w:rsidRDefault="00221486" w:rsidP="00221486">
      <w:pPr>
        <w:rPr>
          <w:szCs w:val="22"/>
        </w:rPr>
      </w:pPr>
    </w:p>
    <w:p w14:paraId="3253FBF5" w14:textId="77777777" w:rsidR="00221486" w:rsidRPr="00BD21FC" w:rsidRDefault="00221486" w:rsidP="00221486">
      <w:pPr>
        <w:rPr>
          <w:szCs w:val="22"/>
        </w:rPr>
      </w:pPr>
      <w:r w:rsidRPr="00BD21FC">
        <w:rPr>
          <w:szCs w:val="22"/>
        </w:rPr>
        <w:t xml:space="preserve">Actions at the Annual Meeting included:    </w:t>
      </w:r>
    </w:p>
    <w:p w14:paraId="5AF5B8B9" w14:textId="77777777" w:rsidR="00221486" w:rsidRPr="00BD21FC" w:rsidRDefault="00221486" w:rsidP="00221486">
      <w:pPr>
        <w:rPr>
          <w:szCs w:val="22"/>
        </w:rPr>
      </w:pPr>
    </w:p>
    <w:p w14:paraId="1FBC7F6E" w14:textId="77777777" w:rsidR="00221486" w:rsidRPr="00BD21FC" w:rsidRDefault="00221486" w:rsidP="00221486">
      <w:pPr>
        <w:pStyle w:val="ATSBullet1"/>
        <w:numPr>
          <w:ilvl w:val="0"/>
          <w:numId w:val="11"/>
        </w:numPr>
        <w:rPr>
          <w:szCs w:val="22"/>
        </w:rPr>
      </w:pPr>
      <w:r w:rsidRPr="00BD21FC">
        <w:rPr>
          <w:szCs w:val="22"/>
        </w:rPr>
        <w:t xml:space="preserve">Approval of IAATO’s five-year strategy, </w:t>
      </w:r>
      <w:r w:rsidRPr="00BD21FC">
        <w:rPr>
          <w:i/>
          <w:iCs/>
          <w:szCs w:val="22"/>
        </w:rPr>
        <w:t>Embracing Our Role as Stewards of Antarctica</w:t>
      </w:r>
      <w:r w:rsidRPr="00BD21FC">
        <w:rPr>
          <w:szCs w:val="22"/>
        </w:rPr>
        <w:t>.   This strategy is focused on four goals</w:t>
      </w:r>
      <w:r>
        <w:rPr>
          <w:szCs w:val="22"/>
        </w:rPr>
        <w:t>:</w:t>
      </w:r>
    </w:p>
    <w:p w14:paraId="1D7159DB" w14:textId="77777777" w:rsidR="00221486" w:rsidRPr="00BD21FC" w:rsidRDefault="00221486" w:rsidP="00221486">
      <w:pPr>
        <w:pStyle w:val="ATSBullet1"/>
        <w:numPr>
          <w:ilvl w:val="1"/>
          <w:numId w:val="11"/>
        </w:numPr>
        <w:rPr>
          <w:szCs w:val="22"/>
        </w:rPr>
      </w:pPr>
      <w:r w:rsidRPr="00BD21FC">
        <w:rPr>
          <w:szCs w:val="22"/>
        </w:rPr>
        <w:t>Operators as Stewards</w:t>
      </w:r>
    </w:p>
    <w:p w14:paraId="2090F78F" w14:textId="77777777" w:rsidR="00221486" w:rsidRPr="00BD21FC" w:rsidRDefault="00221486" w:rsidP="00221486">
      <w:pPr>
        <w:pStyle w:val="ATSBullet1"/>
        <w:numPr>
          <w:ilvl w:val="1"/>
          <w:numId w:val="11"/>
        </w:numPr>
        <w:rPr>
          <w:sz w:val="24"/>
          <w:lang w:val="en-US"/>
        </w:rPr>
      </w:pPr>
      <w:r w:rsidRPr="00BD21FC">
        <w:rPr>
          <w:lang w:val="en-US"/>
        </w:rPr>
        <w:t>Purposeful support of research</w:t>
      </w:r>
    </w:p>
    <w:p w14:paraId="7475E9FC" w14:textId="77777777" w:rsidR="00221486" w:rsidRPr="00BD21FC" w:rsidRDefault="00221486" w:rsidP="00221486">
      <w:pPr>
        <w:pStyle w:val="ATSBullet1"/>
        <w:numPr>
          <w:ilvl w:val="1"/>
          <w:numId w:val="11"/>
        </w:numPr>
        <w:rPr>
          <w:sz w:val="24"/>
          <w:lang w:val="en-US"/>
        </w:rPr>
      </w:pPr>
      <w:r w:rsidRPr="00BD21FC">
        <w:rPr>
          <w:lang w:val="en-US"/>
        </w:rPr>
        <w:t xml:space="preserve">Deliberate resource management plan </w:t>
      </w:r>
    </w:p>
    <w:p w14:paraId="6A9E5BDC" w14:textId="77777777" w:rsidR="00221486" w:rsidRPr="00BD21FC" w:rsidRDefault="00221486" w:rsidP="00221486">
      <w:pPr>
        <w:pStyle w:val="ATSBullet1"/>
        <w:numPr>
          <w:ilvl w:val="1"/>
          <w:numId w:val="11"/>
        </w:numPr>
        <w:rPr>
          <w:sz w:val="24"/>
          <w:lang w:val="en-US"/>
        </w:rPr>
      </w:pPr>
      <w:r w:rsidRPr="00BD21FC">
        <w:rPr>
          <w:lang w:val="en-US"/>
        </w:rPr>
        <w:t>Persistent proactive measures focused on sustainability</w:t>
      </w:r>
    </w:p>
    <w:p w14:paraId="5836F5BD" w14:textId="77777777" w:rsidR="00221486" w:rsidRPr="00BD21FC" w:rsidRDefault="00221486" w:rsidP="00221486">
      <w:pPr>
        <w:pStyle w:val="ATSBullet1"/>
        <w:numPr>
          <w:ilvl w:val="0"/>
          <w:numId w:val="0"/>
        </w:numPr>
        <w:ind w:left="360"/>
        <w:rPr>
          <w:sz w:val="24"/>
          <w:lang w:val="en-US"/>
        </w:rPr>
      </w:pPr>
      <w:r w:rsidRPr="00BD21FC">
        <w:rPr>
          <w:lang w:val="en-US"/>
        </w:rPr>
        <w:t xml:space="preserve">Additionally, seven short term actions for the upcoming year were approved, including members further investing in IAATO and the development of a site reporting program.  </w:t>
      </w:r>
    </w:p>
    <w:p w14:paraId="4F7E464D" w14:textId="77777777" w:rsidR="00221486" w:rsidRPr="005E6812" w:rsidRDefault="00221486" w:rsidP="00221486">
      <w:pPr>
        <w:pStyle w:val="ATSBullet1"/>
        <w:numPr>
          <w:ilvl w:val="0"/>
          <w:numId w:val="11"/>
        </w:numPr>
        <w:spacing w:after="120"/>
        <w:rPr>
          <w:szCs w:val="22"/>
        </w:rPr>
      </w:pPr>
      <w:r>
        <w:rPr>
          <w:szCs w:val="22"/>
        </w:rPr>
        <w:t>A</w:t>
      </w:r>
      <w:r w:rsidRPr="00BD21FC">
        <w:rPr>
          <w:szCs w:val="22"/>
        </w:rPr>
        <w:t xml:space="preserve">doption of Deep Field &amp; Air </w:t>
      </w:r>
      <w:r>
        <w:rPr>
          <w:szCs w:val="22"/>
        </w:rPr>
        <w:t>Operator</w:t>
      </w:r>
      <w:r w:rsidRPr="00BD21FC">
        <w:rPr>
          <w:szCs w:val="22"/>
        </w:rPr>
        <w:t xml:space="preserve"> biosecurity procedures.</w:t>
      </w:r>
      <w:r w:rsidRPr="005E6812">
        <w:t xml:space="preserve"> </w:t>
      </w:r>
      <w:r w:rsidRPr="00BD21FC">
        <w:t>See ATCM XLV – IP</w:t>
      </w:r>
      <w:r>
        <w:t>052</w:t>
      </w:r>
      <w:r w:rsidRPr="00BD21FC">
        <w:t xml:space="preserve"> </w:t>
      </w:r>
      <w:r w:rsidRPr="007B5F54">
        <w:rPr>
          <w:i/>
          <w:iCs/>
        </w:rPr>
        <w:t>IAATO</w:t>
      </w:r>
      <w:r w:rsidRPr="007B5F54">
        <w:rPr>
          <w:rFonts w:hint="cs"/>
          <w:i/>
          <w:iCs/>
        </w:rPr>
        <w:t xml:space="preserve"> </w:t>
      </w:r>
      <w:r>
        <w:rPr>
          <w:i/>
          <w:iCs/>
        </w:rPr>
        <w:t xml:space="preserve">Deep Field and Air Biosecurity </w:t>
      </w:r>
      <w:r w:rsidRPr="004B65EF">
        <w:rPr>
          <w:rFonts w:hint="cs"/>
          <w:i/>
          <w:iCs/>
        </w:rPr>
        <w:t>Procedures – An update</w:t>
      </w:r>
      <w:r>
        <w:rPr>
          <w:i/>
          <w:iCs/>
        </w:rPr>
        <w:t>.</w:t>
      </w:r>
    </w:p>
    <w:p w14:paraId="3A5BCE5E" w14:textId="77777777" w:rsidR="00221486" w:rsidRPr="004B65EF" w:rsidRDefault="00221486" w:rsidP="00221486">
      <w:pPr>
        <w:pStyle w:val="ATSBullet1"/>
        <w:numPr>
          <w:ilvl w:val="0"/>
          <w:numId w:val="11"/>
        </w:numPr>
        <w:spacing w:after="120"/>
        <w:rPr>
          <w:szCs w:val="22"/>
        </w:rPr>
      </w:pPr>
      <w:r w:rsidRPr="00BD21FC">
        <w:rPr>
          <w:szCs w:val="22"/>
        </w:rPr>
        <w:t>Strengthening of various operational procedures for viewing wildlife based upon feedback from</w:t>
      </w:r>
      <w:r>
        <w:rPr>
          <w:szCs w:val="22"/>
        </w:rPr>
        <w:t xml:space="preserve"> the field and</w:t>
      </w:r>
      <w:r w:rsidRPr="00BD21FC">
        <w:rPr>
          <w:szCs w:val="22"/>
        </w:rPr>
        <w:t xml:space="preserve"> a </w:t>
      </w:r>
      <w:r>
        <w:rPr>
          <w:szCs w:val="22"/>
        </w:rPr>
        <w:t>N</w:t>
      </w:r>
      <w:r w:rsidRPr="00BD21FC">
        <w:rPr>
          <w:szCs w:val="22"/>
        </w:rPr>
        <w:t xml:space="preserve">ational </w:t>
      </w:r>
      <w:r>
        <w:rPr>
          <w:szCs w:val="22"/>
        </w:rPr>
        <w:t>C</w:t>
      </w:r>
      <w:r w:rsidRPr="00BD21FC">
        <w:rPr>
          <w:szCs w:val="22"/>
        </w:rPr>
        <w:t xml:space="preserve">ompetent </w:t>
      </w:r>
      <w:r>
        <w:rPr>
          <w:szCs w:val="22"/>
        </w:rPr>
        <w:t>A</w:t>
      </w:r>
      <w:r w:rsidRPr="00BD21FC">
        <w:rPr>
          <w:szCs w:val="22"/>
        </w:rPr>
        <w:t>uthority</w:t>
      </w:r>
      <w:r>
        <w:rPr>
          <w:szCs w:val="22"/>
        </w:rPr>
        <w:t xml:space="preserve">.  </w:t>
      </w:r>
      <w:r w:rsidRPr="00BD21FC">
        <w:t>See ATCM XLV – IP</w:t>
      </w:r>
      <w:r>
        <w:t>05</w:t>
      </w:r>
      <w:r w:rsidRPr="00BD21FC">
        <w:t xml:space="preserve">1 </w:t>
      </w:r>
      <w:r w:rsidRPr="004B65EF">
        <w:rPr>
          <w:rFonts w:hint="cs"/>
          <w:i/>
          <w:iCs/>
        </w:rPr>
        <w:t xml:space="preserve">IAATO Operational Procedures for responsible wildlife </w:t>
      </w:r>
      <w:r w:rsidRPr="004B65EF">
        <w:rPr>
          <w:i/>
          <w:iCs/>
        </w:rPr>
        <w:t>watching –</w:t>
      </w:r>
      <w:r w:rsidRPr="004B65EF">
        <w:rPr>
          <w:rFonts w:hint="cs"/>
          <w:i/>
          <w:iCs/>
        </w:rPr>
        <w:t xml:space="preserve"> An update</w:t>
      </w:r>
      <w:r>
        <w:rPr>
          <w:i/>
          <w:iCs/>
        </w:rPr>
        <w:t>.</w:t>
      </w:r>
    </w:p>
    <w:p w14:paraId="6F08B02E" w14:textId="77777777" w:rsidR="00221486" w:rsidRPr="00BD21FC" w:rsidRDefault="00221486" w:rsidP="00221486">
      <w:pPr>
        <w:pStyle w:val="ATSBullet1"/>
        <w:numPr>
          <w:ilvl w:val="0"/>
          <w:numId w:val="11"/>
        </w:numPr>
      </w:pPr>
      <w:r w:rsidRPr="00BD21FC">
        <w:t xml:space="preserve">Development of two new geofenced areas around the South Shetland Islands and the </w:t>
      </w:r>
      <w:r>
        <w:t xml:space="preserve">increased duration </w:t>
      </w:r>
      <w:r w:rsidRPr="00BD21FC">
        <w:t>of the Gerlache Strait geofenced zone for IAATO’s whale slow down program based upon feedback received from the scientific community and IAATO Operator</w:t>
      </w:r>
      <w:r>
        <w:t>s’</w:t>
      </w:r>
      <w:r w:rsidRPr="00BD21FC">
        <w:t xml:space="preserve"> </w:t>
      </w:r>
      <w:r>
        <w:t>monitoring</w:t>
      </w:r>
      <w:r w:rsidRPr="00BD21FC">
        <w:t xml:space="preserve"> during the 2022-23 season. </w:t>
      </w:r>
    </w:p>
    <w:p w14:paraId="3B5BD237" w14:textId="77777777" w:rsidR="00221486" w:rsidRPr="00BD21FC" w:rsidRDefault="00221486" w:rsidP="00221486">
      <w:pPr>
        <w:pStyle w:val="ATSBullet1"/>
        <w:numPr>
          <w:ilvl w:val="0"/>
          <w:numId w:val="11"/>
        </w:numPr>
        <w:rPr>
          <w:szCs w:val="22"/>
        </w:rPr>
      </w:pPr>
      <w:r w:rsidRPr="00BD21FC">
        <w:rPr>
          <w:szCs w:val="22"/>
        </w:rPr>
        <w:t xml:space="preserve">Approval of two new IAATO </w:t>
      </w:r>
      <w:r>
        <w:rPr>
          <w:szCs w:val="22"/>
        </w:rPr>
        <w:t xml:space="preserve">Visitor </w:t>
      </w:r>
      <w:r w:rsidRPr="00BD21FC">
        <w:rPr>
          <w:szCs w:val="22"/>
        </w:rPr>
        <w:t>Site Guidelines - Red Rock Ridge and President Head</w:t>
      </w:r>
      <w:r>
        <w:rPr>
          <w:szCs w:val="22"/>
        </w:rPr>
        <w:t>.</w:t>
      </w:r>
    </w:p>
    <w:p w14:paraId="4C9C6B69" w14:textId="77777777" w:rsidR="00221486" w:rsidRPr="0080258E" w:rsidRDefault="00221486" w:rsidP="00221486">
      <w:pPr>
        <w:pStyle w:val="ATSBullet1"/>
        <w:numPr>
          <w:ilvl w:val="0"/>
          <w:numId w:val="11"/>
        </w:numPr>
        <w:rPr>
          <w:szCs w:val="22"/>
        </w:rPr>
      </w:pPr>
      <w:r>
        <w:rPr>
          <w:szCs w:val="22"/>
        </w:rPr>
        <w:t>Approval of the engagement of a third-party vendor to assist in supporting our commitment to our Climate Change pledge (approved at the IAATO 2022 Annual Meeting) and evaluating our carbon footprint.</w:t>
      </w:r>
    </w:p>
    <w:p w14:paraId="27D17669" w14:textId="77777777" w:rsidR="00221486" w:rsidRPr="00BD21FC" w:rsidRDefault="00221486" w:rsidP="00221486">
      <w:pPr>
        <w:pStyle w:val="ATSBullet1"/>
        <w:numPr>
          <w:ilvl w:val="0"/>
          <w:numId w:val="11"/>
        </w:numPr>
        <w:rPr>
          <w:szCs w:val="22"/>
        </w:rPr>
      </w:pPr>
      <w:r w:rsidRPr="00BD21FC">
        <w:t>Elevation of the Education and Outreach Working Group to a committee – Antarctic Ambassador Committee</w:t>
      </w:r>
      <w:r>
        <w:t>;</w:t>
      </w:r>
      <w:r w:rsidRPr="00BD21FC">
        <w:t xml:space="preserve"> and creation of the Scientific Support and Air/Cruise Working Groups.  IAATO now has </w:t>
      </w:r>
      <w:r>
        <w:t>12</w:t>
      </w:r>
      <w:r w:rsidRPr="00BD21FC">
        <w:t xml:space="preserve"> committee</w:t>
      </w:r>
      <w:r>
        <w:t>s</w:t>
      </w:r>
      <w:r w:rsidRPr="00BD21FC">
        <w:t xml:space="preserve"> and </w:t>
      </w:r>
      <w:r>
        <w:t>9</w:t>
      </w:r>
      <w:r w:rsidRPr="00BD21FC">
        <w:t xml:space="preserve"> working groups.  </w:t>
      </w:r>
    </w:p>
    <w:p w14:paraId="29B856C3" w14:textId="77777777" w:rsidR="00221486" w:rsidRPr="00BD21FC" w:rsidRDefault="00221486" w:rsidP="00221486">
      <w:pPr>
        <w:pStyle w:val="ATSBullet1"/>
        <w:numPr>
          <w:ilvl w:val="0"/>
          <w:numId w:val="0"/>
        </w:numPr>
        <w:rPr>
          <w:szCs w:val="22"/>
        </w:rPr>
      </w:pPr>
    </w:p>
    <w:p w14:paraId="1FE54EA8" w14:textId="77777777" w:rsidR="00221486" w:rsidRPr="00BD21FC" w:rsidRDefault="00221486" w:rsidP="00221486">
      <w:pPr>
        <w:pStyle w:val="ATSBullet1"/>
        <w:numPr>
          <w:ilvl w:val="0"/>
          <w:numId w:val="0"/>
        </w:numPr>
        <w:rPr>
          <w:szCs w:val="22"/>
        </w:rPr>
      </w:pPr>
      <w:r w:rsidRPr="00BD21FC">
        <w:rPr>
          <w:szCs w:val="22"/>
        </w:rPr>
        <w:t>As always, Treaty Party Representatives are cordially invited to join any of the open sessions during IAATO’s future Annual Meetings.</w:t>
      </w:r>
    </w:p>
    <w:p w14:paraId="3B075860" w14:textId="77777777" w:rsidR="00221486" w:rsidRPr="00BD21FC" w:rsidRDefault="00221486" w:rsidP="00221486">
      <w:pPr>
        <w:pStyle w:val="ATSBullet1"/>
        <w:numPr>
          <w:ilvl w:val="0"/>
          <w:numId w:val="0"/>
        </w:numPr>
        <w:rPr>
          <w:szCs w:val="22"/>
        </w:rPr>
      </w:pPr>
    </w:p>
    <w:p w14:paraId="23D63072" w14:textId="77777777" w:rsidR="00221486" w:rsidRPr="00BD21FC" w:rsidRDefault="00221486" w:rsidP="00221486">
      <w:pPr>
        <w:pStyle w:val="ATSBullet1"/>
        <w:numPr>
          <w:ilvl w:val="0"/>
          <w:numId w:val="0"/>
        </w:numPr>
        <w:rPr>
          <w:szCs w:val="22"/>
        </w:rPr>
      </w:pPr>
    </w:p>
    <w:p w14:paraId="6B0D4986" w14:textId="77777777" w:rsidR="00221486" w:rsidRPr="00BD21FC" w:rsidRDefault="00221486" w:rsidP="00221486">
      <w:pPr>
        <w:pStyle w:val="ATSBullet1"/>
        <w:keepNext/>
        <w:numPr>
          <w:ilvl w:val="0"/>
          <w:numId w:val="0"/>
        </w:numPr>
        <w:spacing w:after="120"/>
        <w:ind w:left="357" w:hanging="357"/>
        <w:rPr>
          <w:b/>
          <w:bCs/>
          <w:i/>
          <w:iCs/>
          <w:sz w:val="24"/>
        </w:rPr>
      </w:pPr>
      <w:r w:rsidRPr="00BD21FC">
        <w:rPr>
          <w:b/>
          <w:bCs/>
          <w:i/>
          <w:iCs/>
          <w:sz w:val="24"/>
        </w:rPr>
        <w:t xml:space="preserve">IAATO Support of Research &amp; Conservation </w:t>
      </w:r>
    </w:p>
    <w:p w14:paraId="77CA77C9" w14:textId="77777777" w:rsidR="00221486" w:rsidRPr="00BD21FC" w:rsidRDefault="00221486" w:rsidP="00221486">
      <w:pPr>
        <w:rPr>
          <w:b/>
          <w:bCs/>
          <w:szCs w:val="22"/>
        </w:rPr>
      </w:pPr>
      <w:r w:rsidRPr="00BD21FC">
        <w:rPr>
          <w:szCs w:val="22"/>
        </w:rPr>
        <w:t>IAATO encourages collaborative opportunities with scientific organi</w:t>
      </w:r>
      <w:r>
        <w:rPr>
          <w:szCs w:val="22"/>
        </w:rPr>
        <w:t>z</w:t>
      </w:r>
      <w:r w:rsidRPr="00BD21FC">
        <w:rPr>
          <w:szCs w:val="22"/>
        </w:rPr>
        <w:t>ations particularly where these enhance the Antarctic community’s understanding of human activities in the region. Projects include(d):</w:t>
      </w:r>
    </w:p>
    <w:p w14:paraId="2D625F9E" w14:textId="77777777" w:rsidR="00221486" w:rsidRPr="00BD21FC" w:rsidRDefault="00221486" w:rsidP="00221486"/>
    <w:p w14:paraId="31FB0525" w14:textId="77777777" w:rsidR="00221486" w:rsidRPr="00BD21FC" w:rsidRDefault="00221486" w:rsidP="00221486">
      <w:pPr>
        <w:pStyle w:val="ATSBullet1"/>
        <w:numPr>
          <w:ilvl w:val="0"/>
          <w:numId w:val="11"/>
        </w:numPr>
        <w:spacing w:after="120"/>
        <w:rPr>
          <w:szCs w:val="22"/>
        </w:rPr>
      </w:pPr>
      <w:r w:rsidRPr="00362D2D">
        <w:rPr>
          <w:szCs w:val="22"/>
          <w:u w:val="single"/>
        </w:rPr>
        <w:t>Avian Influenza (HPAI) Response</w:t>
      </w:r>
      <w:r w:rsidRPr="00BD21FC">
        <w:rPr>
          <w:szCs w:val="22"/>
        </w:rPr>
        <w:t xml:space="preserve"> – Prior to the start of the 2022-23 season, IAATO collaborated with COMNAP and SCAR to develop biosecurity protocols to address the </w:t>
      </w:r>
      <w:r w:rsidRPr="00BD21FC">
        <w:rPr>
          <w:szCs w:val="22"/>
        </w:rPr>
        <w:lastRenderedPageBreak/>
        <w:t xml:space="preserve">concerns related to HPAI.  These were communicated to IAATO Operators in August 2022 and materials were developed to assist with the education of field staff and guests related to these protocols.  </w:t>
      </w:r>
      <w:r w:rsidRPr="00BD21FC">
        <w:t xml:space="preserve">See also ATCM XLV – IP101 </w:t>
      </w:r>
      <w:r w:rsidRPr="00BD21FC">
        <w:rPr>
          <w:i/>
          <w:iCs/>
        </w:rPr>
        <w:t>Heightened Risk of Avian Influenza in the Antarctic Treaty Area.</w:t>
      </w:r>
    </w:p>
    <w:p w14:paraId="060120A1" w14:textId="77777777" w:rsidR="00221486" w:rsidRPr="00BD21FC" w:rsidRDefault="00221486" w:rsidP="00221486">
      <w:pPr>
        <w:pStyle w:val="ATSBullet1"/>
        <w:numPr>
          <w:ilvl w:val="0"/>
          <w:numId w:val="11"/>
        </w:numPr>
        <w:spacing w:after="120"/>
        <w:rPr>
          <w:szCs w:val="22"/>
        </w:rPr>
      </w:pPr>
      <w:r w:rsidRPr="00BD21FC">
        <w:rPr>
          <w:szCs w:val="22"/>
          <w:u w:val="single"/>
        </w:rPr>
        <w:t>IAATO/COMNAP Fellowships</w:t>
      </w:r>
      <w:r w:rsidRPr="00BD21FC">
        <w:rPr>
          <w:szCs w:val="22"/>
        </w:rPr>
        <w:t xml:space="preserve"> – IAATO, in collaboration with COMNAP, will continue to invest in the development of early-career researchers by awarding its fifth US$15,000 Fellowship in 2023. Suitable candidates are encouraged to </w:t>
      </w:r>
      <w:hyperlink r:id="rId13" w:history="1">
        <w:r w:rsidRPr="00BD21FC">
          <w:rPr>
            <w:rStyle w:val="Hipervnculo"/>
            <w:szCs w:val="22"/>
          </w:rPr>
          <w:t>apply</w:t>
        </w:r>
      </w:hyperlink>
      <w:r w:rsidRPr="00BD21FC">
        <w:rPr>
          <w:szCs w:val="22"/>
        </w:rPr>
        <w:t xml:space="preserve">.  IAATO </w:t>
      </w:r>
      <w:hyperlink r:id="rId14" w:history="1">
        <w:r w:rsidRPr="00BD21FC">
          <w:rPr>
            <w:rStyle w:val="Hipervnculo"/>
            <w:szCs w:val="22"/>
          </w:rPr>
          <w:t>recognized</w:t>
        </w:r>
      </w:hyperlink>
      <w:r w:rsidRPr="00BD21FC">
        <w:rPr>
          <w:szCs w:val="22"/>
        </w:rPr>
        <w:t xml:space="preserve"> two fellows in 2022</w:t>
      </w:r>
      <w:r>
        <w:rPr>
          <w:szCs w:val="22"/>
        </w:rPr>
        <w:t>:</w:t>
      </w:r>
      <w:r w:rsidRPr="00BD21FC">
        <w:rPr>
          <w:szCs w:val="22"/>
        </w:rPr>
        <w:t xml:space="preserve"> Eduardo Pizzaro Gonzalez from the Pontifical Catholic University of Chile and</w:t>
      </w:r>
      <w:r>
        <w:rPr>
          <w:szCs w:val="22"/>
        </w:rPr>
        <w:t>,</w:t>
      </w:r>
      <w:r w:rsidRPr="00BD21FC">
        <w:rPr>
          <w:szCs w:val="22"/>
        </w:rPr>
        <w:t xml:space="preserve"> jointly with COMNAP, Antonio Polo Sanchez from Universidad de Salamanca in Spain.  </w:t>
      </w:r>
    </w:p>
    <w:p w14:paraId="744D7F33" w14:textId="77777777" w:rsidR="00221486" w:rsidRPr="00BD21FC" w:rsidRDefault="00221486" w:rsidP="00221486">
      <w:pPr>
        <w:pStyle w:val="ATSBullet1"/>
        <w:numPr>
          <w:ilvl w:val="0"/>
          <w:numId w:val="11"/>
        </w:numPr>
        <w:rPr>
          <w:szCs w:val="22"/>
          <w:lang w:bidi="he-IL"/>
        </w:rPr>
      </w:pPr>
      <w:r w:rsidRPr="00BD21FC">
        <w:rPr>
          <w:u w:val="single"/>
        </w:rPr>
        <w:t>IAATO/SCAR Systematic Conservation Plan</w:t>
      </w:r>
      <w:r w:rsidRPr="00BD21FC">
        <w:t xml:space="preserve"> – SCAR and IAATO undertook a collaborative project to develop a systematic conservation plan for the Antarctic Peninsula, aimed at facilitating the concurrent management of biodiversity, science and tourism (ATCM XLII </w:t>
      </w:r>
      <w:r>
        <w:t>–</w:t>
      </w:r>
      <w:r w:rsidRPr="00BD21FC">
        <w:t xml:space="preserve"> IP</w:t>
      </w:r>
      <w:r>
        <w:t>0</w:t>
      </w:r>
      <w:r w:rsidRPr="00BD21FC">
        <w:t xml:space="preserve">24; ATCM XL - IP166). See also ATCM XLV – IP048 </w:t>
      </w:r>
      <w:r w:rsidRPr="00BD21FC">
        <w:rPr>
          <w:i/>
          <w:iCs/>
        </w:rPr>
        <w:t>Systematic Conservation Plan for Antarctic Peninsula Project Updates and Next Steps</w:t>
      </w:r>
      <w:r w:rsidRPr="00BD21FC">
        <w:t>.</w:t>
      </w:r>
    </w:p>
    <w:p w14:paraId="5C15C901" w14:textId="77777777" w:rsidR="00221486" w:rsidRPr="00BD21FC" w:rsidRDefault="00221486" w:rsidP="00221486">
      <w:pPr>
        <w:pStyle w:val="ATSBullet1"/>
        <w:numPr>
          <w:ilvl w:val="0"/>
          <w:numId w:val="11"/>
        </w:numPr>
        <w:rPr>
          <w:szCs w:val="22"/>
        </w:rPr>
      </w:pPr>
      <w:r w:rsidRPr="00BD21FC">
        <w:rPr>
          <w:szCs w:val="22"/>
          <w:u w:val="single"/>
        </w:rPr>
        <w:t>Support in Antarctica</w:t>
      </w:r>
      <w:r w:rsidRPr="00BD21FC">
        <w:rPr>
          <w:szCs w:val="22"/>
        </w:rPr>
        <w:t xml:space="preserve"> – </w:t>
      </w:r>
      <w:r w:rsidRPr="00BD21FC">
        <w:rPr>
          <w:szCs w:val="22"/>
          <w:lang w:val="en-US"/>
        </w:rPr>
        <w:t xml:space="preserve">IAATO Operator expeditions during the 2022-23 season were able to provide support for various scientific projects, such as the Antarctic Site Inventory - Oceanites and Penguin Watch. </w:t>
      </w:r>
      <w:r>
        <w:rPr>
          <w:szCs w:val="22"/>
          <w:lang w:val="en-US"/>
        </w:rPr>
        <w:t>Many</w:t>
      </w:r>
      <w:r w:rsidRPr="00BD21FC">
        <w:rPr>
          <w:szCs w:val="22"/>
          <w:lang w:val="en-US"/>
        </w:rPr>
        <w:t xml:space="preserve"> IAATO Operators also provided </w:t>
      </w:r>
      <w:r>
        <w:rPr>
          <w:szCs w:val="22"/>
          <w:lang w:val="en-US"/>
        </w:rPr>
        <w:t xml:space="preserve">logistic field support by </w:t>
      </w:r>
      <w:r w:rsidRPr="00BD21FC">
        <w:rPr>
          <w:szCs w:val="22"/>
          <w:lang w:val="en-US"/>
        </w:rPr>
        <w:t xml:space="preserve">air or vessel support to National Antarctic Programs. </w:t>
      </w:r>
    </w:p>
    <w:p w14:paraId="4ACD0068" w14:textId="77777777" w:rsidR="00221486" w:rsidRPr="00BD21FC" w:rsidRDefault="00221486" w:rsidP="00221486">
      <w:pPr>
        <w:pStyle w:val="ATSBullet1"/>
        <w:numPr>
          <w:ilvl w:val="0"/>
          <w:numId w:val="0"/>
        </w:numPr>
        <w:rPr>
          <w:sz w:val="24"/>
        </w:rPr>
      </w:pPr>
    </w:p>
    <w:p w14:paraId="359575D7" w14:textId="77777777" w:rsidR="00221486" w:rsidRPr="00BD21FC" w:rsidRDefault="00221486" w:rsidP="00221486">
      <w:pPr>
        <w:pStyle w:val="ATSNormal"/>
        <w:rPr>
          <w:b/>
          <w:bCs/>
          <w:i/>
          <w:iCs/>
          <w:sz w:val="24"/>
        </w:rPr>
      </w:pPr>
      <w:r w:rsidRPr="00BD21FC">
        <w:rPr>
          <w:b/>
          <w:bCs/>
          <w:i/>
          <w:iCs/>
          <w:sz w:val="24"/>
        </w:rPr>
        <w:t>Other Work and Activities</w:t>
      </w:r>
    </w:p>
    <w:p w14:paraId="41D68DB3" w14:textId="77777777" w:rsidR="00221486" w:rsidRPr="00BD21FC" w:rsidRDefault="00221486" w:rsidP="00221486">
      <w:pPr>
        <w:pStyle w:val="ATSNormal"/>
        <w:rPr>
          <w:szCs w:val="22"/>
        </w:rPr>
      </w:pPr>
      <w:r w:rsidRPr="00BD21FC">
        <w:t xml:space="preserve">IAATO also continues to prioritise activities that strengthen its institutional structure and help position it as a reputable, valued partner in the wider polar community. In addition to the work described above, over the past year, IAATO has: </w:t>
      </w:r>
    </w:p>
    <w:p w14:paraId="5F06E8A3" w14:textId="77777777" w:rsidR="00221486" w:rsidRPr="00BD21FC" w:rsidRDefault="00221486" w:rsidP="00221486">
      <w:pPr>
        <w:pStyle w:val="ATSBullet1"/>
        <w:numPr>
          <w:ilvl w:val="0"/>
          <w:numId w:val="21"/>
        </w:numPr>
        <w:rPr>
          <w:szCs w:val="22"/>
        </w:rPr>
      </w:pPr>
      <w:r w:rsidRPr="00BD21FC">
        <w:rPr>
          <w:szCs w:val="22"/>
        </w:rPr>
        <w:t>Hosted</w:t>
      </w:r>
      <w:r>
        <w:rPr>
          <w:szCs w:val="22"/>
        </w:rPr>
        <w:t xml:space="preserve"> 12</w:t>
      </w:r>
      <w:r w:rsidRPr="00BD21FC">
        <w:rPr>
          <w:szCs w:val="22"/>
        </w:rPr>
        <w:t xml:space="preserve"> webinars for Field Staff at the beginning and end of the 2022-23 season to discuss best practices and lessons learned.  These webinars were recorded and made available for field staff who weren’t able to attend the live session or wanted a refresher during the season</w:t>
      </w:r>
      <w:r>
        <w:rPr>
          <w:szCs w:val="22"/>
        </w:rPr>
        <w:t xml:space="preserve">.  They </w:t>
      </w:r>
      <w:r w:rsidRPr="00BD21FC">
        <w:rPr>
          <w:szCs w:val="22"/>
        </w:rPr>
        <w:t xml:space="preserve">will become part of an education library available for field staff and Operators.  </w:t>
      </w:r>
      <w:r>
        <w:rPr>
          <w:szCs w:val="22"/>
        </w:rPr>
        <w:t>This practice will continue for the 2023-24 season.</w:t>
      </w:r>
    </w:p>
    <w:p w14:paraId="2717A289" w14:textId="77777777" w:rsidR="00221486" w:rsidRPr="00BD21FC" w:rsidRDefault="00221486" w:rsidP="00221486">
      <w:pPr>
        <w:pStyle w:val="ATSNormal"/>
        <w:numPr>
          <w:ilvl w:val="0"/>
          <w:numId w:val="21"/>
        </w:numPr>
        <w:rPr>
          <w:szCs w:val="22"/>
        </w:rPr>
      </w:pPr>
      <w:r w:rsidRPr="00BD21FC">
        <w:rPr>
          <w:szCs w:val="22"/>
        </w:rPr>
        <w:t>Continued development of tools to support field staff when delivering the Antarctic Ambassadors message to clients and further executed on the Antarctic Ambassadors strategy through public engagement in events such as the annual Antarctic Ambassadorship Day.</w:t>
      </w:r>
    </w:p>
    <w:p w14:paraId="50C33C22" w14:textId="77777777" w:rsidR="00221486" w:rsidRPr="00BD21FC" w:rsidRDefault="00221486" w:rsidP="00221486">
      <w:pPr>
        <w:pStyle w:val="ATSBullet1"/>
        <w:numPr>
          <w:ilvl w:val="0"/>
          <w:numId w:val="21"/>
        </w:numPr>
        <w:rPr>
          <w:szCs w:val="22"/>
        </w:rPr>
      </w:pPr>
      <w:r w:rsidRPr="00BD21FC">
        <w:rPr>
          <w:szCs w:val="22"/>
        </w:rPr>
        <w:t xml:space="preserve">Facilitated over </w:t>
      </w:r>
      <w:r>
        <w:rPr>
          <w:szCs w:val="22"/>
        </w:rPr>
        <w:t>4</w:t>
      </w:r>
      <w:r w:rsidRPr="00BD21FC">
        <w:rPr>
          <w:szCs w:val="22"/>
        </w:rPr>
        <w:t xml:space="preserve">,000 online assessments for field staff, crew </w:t>
      </w:r>
      <w:r>
        <w:rPr>
          <w:szCs w:val="22"/>
        </w:rPr>
        <w:t>and</w:t>
      </w:r>
      <w:r w:rsidRPr="00BD21FC">
        <w:rPr>
          <w:szCs w:val="22"/>
        </w:rPr>
        <w:t xml:space="preserve"> office personnel which were successfully completed for the 2022-23 season.</w:t>
      </w:r>
    </w:p>
    <w:p w14:paraId="6CE6C070" w14:textId="77777777" w:rsidR="00221486" w:rsidRPr="00BD21FC" w:rsidRDefault="00221486" w:rsidP="00221486">
      <w:pPr>
        <w:pStyle w:val="ATSBullet1"/>
        <w:numPr>
          <w:ilvl w:val="0"/>
          <w:numId w:val="0"/>
        </w:numPr>
        <w:ind w:left="720"/>
      </w:pPr>
    </w:p>
    <w:p w14:paraId="6B716B97" w14:textId="77777777" w:rsidR="00221486" w:rsidRPr="00BD21FC" w:rsidRDefault="00221486" w:rsidP="00221486">
      <w:pPr>
        <w:pStyle w:val="Textonotaalfinal"/>
        <w:tabs>
          <w:tab w:val="left" w:pos="1260"/>
        </w:tabs>
        <w:rPr>
          <w:sz w:val="24"/>
          <w:szCs w:val="24"/>
        </w:rPr>
      </w:pPr>
      <w:r w:rsidRPr="00BD21FC">
        <w:rPr>
          <w:sz w:val="22"/>
          <w:szCs w:val="22"/>
        </w:rPr>
        <w:t>In addition, IAATO Secretariat staff and Operator representatives participated in internal and external meetings, liaising with Treaty Party representatives, National Antarctic Program personnel, and governmental, scientific, environmental, and industry organi</w:t>
      </w:r>
      <w:r>
        <w:rPr>
          <w:sz w:val="22"/>
          <w:szCs w:val="22"/>
        </w:rPr>
        <w:t>z</w:t>
      </w:r>
      <w:r w:rsidRPr="00BD21FC">
        <w:rPr>
          <w:sz w:val="22"/>
          <w:szCs w:val="22"/>
        </w:rPr>
        <w:t>ations, including but not limited to:</w:t>
      </w:r>
    </w:p>
    <w:p w14:paraId="79397710" w14:textId="77777777" w:rsidR="00221486" w:rsidRPr="00BD21FC" w:rsidRDefault="00221486" w:rsidP="00221486">
      <w:pPr>
        <w:pStyle w:val="ATSBullet1"/>
        <w:numPr>
          <w:ilvl w:val="0"/>
          <w:numId w:val="11"/>
        </w:numPr>
        <w:rPr>
          <w:szCs w:val="22"/>
        </w:rPr>
      </w:pPr>
      <w:r w:rsidRPr="00BD21FC">
        <w:rPr>
          <w:b/>
          <w:szCs w:val="22"/>
        </w:rPr>
        <w:t>COMNAP Annual Meeting</w:t>
      </w:r>
      <w:r w:rsidRPr="00BD21FC">
        <w:rPr>
          <w:szCs w:val="22"/>
        </w:rPr>
        <w:t xml:space="preserve">, </w:t>
      </w:r>
      <w:r>
        <w:rPr>
          <w:szCs w:val="22"/>
        </w:rPr>
        <w:t>o</w:t>
      </w:r>
      <w:r w:rsidRPr="00BD21FC">
        <w:rPr>
          <w:szCs w:val="22"/>
        </w:rPr>
        <w:t xml:space="preserve">nline, </w:t>
      </w:r>
      <w:r>
        <w:rPr>
          <w:szCs w:val="22"/>
        </w:rPr>
        <w:t>June</w:t>
      </w:r>
      <w:r w:rsidRPr="00BD21FC">
        <w:rPr>
          <w:szCs w:val="22"/>
        </w:rPr>
        <w:t xml:space="preserve"> 2022</w:t>
      </w:r>
      <w:r w:rsidRPr="00500055">
        <w:rPr>
          <w:bCs/>
          <w:szCs w:val="22"/>
        </w:rPr>
        <w:t xml:space="preserve">, and participation in </w:t>
      </w:r>
      <w:r>
        <w:rPr>
          <w:b/>
          <w:szCs w:val="22"/>
        </w:rPr>
        <w:t xml:space="preserve">COMNAP Expert Groups </w:t>
      </w:r>
    </w:p>
    <w:p w14:paraId="2C99A0B7" w14:textId="77777777" w:rsidR="00221486" w:rsidRDefault="00221486" w:rsidP="00221486">
      <w:pPr>
        <w:pStyle w:val="ATSBullet1"/>
        <w:numPr>
          <w:ilvl w:val="0"/>
          <w:numId w:val="11"/>
        </w:numPr>
        <w:rPr>
          <w:szCs w:val="22"/>
        </w:rPr>
      </w:pPr>
      <w:r w:rsidRPr="00BD21FC">
        <w:rPr>
          <w:b/>
          <w:bCs/>
          <w:szCs w:val="22"/>
        </w:rPr>
        <w:t>Association of Arctic Expedition Cruise Operators (AECO) Conference &amp; Annual Meeting</w:t>
      </w:r>
      <w:r w:rsidRPr="00BD21FC">
        <w:rPr>
          <w:i/>
          <w:szCs w:val="22"/>
        </w:rPr>
        <w:t>,</w:t>
      </w:r>
      <w:r w:rsidRPr="00BD21FC" w:rsidDel="0032748E">
        <w:rPr>
          <w:iCs/>
          <w:szCs w:val="22"/>
        </w:rPr>
        <w:t xml:space="preserve"> </w:t>
      </w:r>
      <w:r w:rsidRPr="00BD21FC">
        <w:rPr>
          <w:iCs/>
          <w:szCs w:val="22"/>
        </w:rPr>
        <w:t xml:space="preserve">October </w:t>
      </w:r>
      <w:r w:rsidRPr="00BD21FC">
        <w:rPr>
          <w:szCs w:val="22"/>
        </w:rPr>
        <w:t xml:space="preserve">2022 </w:t>
      </w:r>
    </w:p>
    <w:p w14:paraId="1CB768B8" w14:textId="77777777" w:rsidR="00221486" w:rsidRPr="00BD21FC" w:rsidRDefault="00221486" w:rsidP="00221486">
      <w:pPr>
        <w:pStyle w:val="ATSBullet1"/>
        <w:numPr>
          <w:ilvl w:val="0"/>
          <w:numId w:val="11"/>
        </w:numPr>
        <w:rPr>
          <w:szCs w:val="22"/>
        </w:rPr>
      </w:pPr>
      <w:r>
        <w:rPr>
          <w:b/>
          <w:bCs/>
          <w:szCs w:val="22"/>
        </w:rPr>
        <w:t xml:space="preserve">IMO Polar Maritime Seminar, </w:t>
      </w:r>
      <w:r w:rsidRPr="00B75C50">
        <w:rPr>
          <w:szCs w:val="22"/>
        </w:rPr>
        <w:t>November 2022</w:t>
      </w:r>
    </w:p>
    <w:p w14:paraId="43392553" w14:textId="77777777" w:rsidR="00221486" w:rsidRPr="00BD21FC" w:rsidRDefault="00221486" w:rsidP="00221486">
      <w:pPr>
        <w:pStyle w:val="ATSBullet1"/>
        <w:numPr>
          <w:ilvl w:val="0"/>
          <w:numId w:val="11"/>
        </w:numPr>
        <w:rPr>
          <w:szCs w:val="22"/>
        </w:rPr>
      </w:pPr>
      <w:r w:rsidRPr="00BD21FC">
        <w:rPr>
          <w:b/>
          <w:bCs/>
          <w:szCs w:val="22"/>
        </w:rPr>
        <w:t>Workshop “The future of Antarctic tourism: towards a strategic vision and policy program”</w:t>
      </w:r>
      <w:r w:rsidRPr="000C6249">
        <w:rPr>
          <w:szCs w:val="22"/>
        </w:rPr>
        <w:t xml:space="preserve">, </w:t>
      </w:r>
      <w:r w:rsidRPr="00BD21FC">
        <w:rPr>
          <w:szCs w:val="22"/>
        </w:rPr>
        <w:t>8-10 March 2023, Paris, France</w:t>
      </w:r>
    </w:p>
    <w:p w14:paraId="0259A9C3" w14:textId="77777777" w:rsidR="00221486" w:rsidRPr="00BD21FC" w:rsidRDefault="00221486" w:rsidP="00221486">
      <w:pPr>
        <w:pStyle w:val="ATSHeading2"/>
        <w:spacing w:after="240"/>
        <w:rPr>
          <w:rFonts w:ascii="Times New Roman" w:hAnsi="Times New Roman"/>
          <w:szCs w:val="24"/>
        </w:rPr>
      </w:pPr>
      <w:r w:rsidRPr="00BD21FC">
        <w:rPr>
          <w:rFonts w:ascii="Times New Roman" w:hAnsi="Times New Roman"/>
          <w:szCs w:val="24"/>
        </w:rPr>
        <w:t>Tourism Incidents 2022-23</w:t>
      </w:r>
    </w:p>
    <w:p w14:paraId="44D251B1" w14:textId="77777777" w:rsidR="00221486" w:rsidRDefault="00221486" w:rsidP="00221486">
      <w:pPr>
        <w:rPr>
          <w:szCs w:val="22"/>
        </w:rPr>
      </w:pPr>
      <w:r w:rsidRPr="00BD21FC">
        <w:rPr>
          <w:szCs w:val="22"/>
        </w:rPr>
        <w:lastRenderedPageBreak/>
        <w:t xml:space="preserve">IAATO’s policy is to disclose </w:t>
      </w:r>
      <w:r>
        <w:rPr>
          <w:szCs w:val="22"/>
        </w:rPr>
        <w:t xml:space="preserve">major </w:t>
      </w:r>
      <w:r w:rsidRPr="00BD21FC">
        <w:rPr>
          <w:szCs w:val="22"/>
        </w:rPr>
        <w:t xml:space="preserve">incidents to ensure risks are understood and appropriate lessons are learned for all Antarctic Operators. There were three incidents during the 2022-23 season which resulted in the death of four individuals who were travelling with IAATO Operators. </w:t>
      </w:r>
      <w:r w:rsidRPr="00BD21FC">
        <w:rPr>
          <w:lang w:val="en-US"/>
        </w:rPr>
        <w:t xml:space="preserve">This was felt not only by IAATO and its Operators but also by many of our fellow Antarctic stakeholders and IAATO appreciates their support during this time.  </w:t>
      </w:r>
      <w:r>
        <w:rPr>
          <w:szCs w:val="22"/>
        </w:rPr>
        <w:t>These incidents remain under active investigation and final reports will be released in due course.</w:t>
      </w:r>
      <w:r w:rsidRPr="00BD21FC">
        <w:rPr>
          <w:szCs w:val="22"/>
        </w:rPr>
        <w:t xml:space="preserve"> </w:t>
      </w:r>
      <w:r>
        <w:rPr>
          <w:szCs w:val="22"/>
        </w:rPr>
        <w:t xml:space="preserve">Additionally, there was an incident with a submersible trapped at the surface in brash ice for several hours. </w:t>
      </w:r>
    </w:p>
    <w:p w14:paraId="5394C174" w14:textId="77777777" w:rsidR="00221486" w:rsidRDefault="00221486" w:rsidP="00221486">
      <w:pPr>
        <w:rPr>
          <w:szCs w:val="22"/>
        </w:rPr>
      </w:pPr>
    </w:p>
    <w:p w14:paraId="0CCE5AEE" w14:textId="77777777" w:rsidR="00221486" w:rsidRDefault="00221486" w:rsidP="00221486">
      <w:pPr>
        <w:rPr>
          <w:szCs w:val="22"/>
        </w:rPr>
      </w:pPr>
      <w:r>
        <w:rPr>
          <w:szCs w:val="22"/>
        </w:rPr>
        <w:t>Finally, directed by the Chilean MRCC, an IAATO Operator assisted a fishing vessel in the Amundsen Sea, by providing lifesaving medical assistance and evacuation services for an individual injured during fishing operations.</w:t>
      </w:r>
    </w:p>
    <w:p w14:paraId="6383237E" w14:textId="77777777" w:rsidR="00221486" w:rsidRDefault="00221486" w:rsidP="00221486">
      <w:pPr>
        <w:rPr>
          <w:szCs w:val="22"/>
        </w:rPr>
      </w:pPr>
    </w:p>
    <w:p w14:paraId="38F57A1B" w14:textId="77777777" w:rsidR="00221486" w:rsidRPr="00BD21FC" w:rsidRDefault="00221486" w:rsidP="00221486">
      <w:pPr>
        <w:rPr>
          <w:szCs w:val="22"/>
        </w:rPr>
      </w:pPr>
      <w:r>
        <w:rPr>
          <w:lang w:val="en-US"/>
        </w:rPr>
        <w:t xml:space="preserve">IAATO is committed to reviewing all incidents, and taking appropriate actions for updating operational procedures as needed. </w:t>
      </w:r>
    </w:p>
    <w:p w14:paraId="3C5A35C6" w14:textId="77777777" w:rsidR="00221486" w:rsidRPr="00BD21FC" w:rsidRDefault="00221486" w:rsidP="00221486">
      <w:pPr>
        <w:pStyle w:val="ATSHeading2"/>
        <w:tabs>
          <w:tab w:val="left" w:pos="6672"/>
        </w:tabs>
        <w:rPr>
          <w:rFonts w:ascii="Times New Roman" w:hAnsi="Times New Roman"/>
          <w:sz w:val="22"/>
        </w:rPr>
      </w:pPr>
      <w:r w:rsidRPr="00BD21FC">
        <w:rPr>
          <w:rFonts w:ascii="Times New Roman" w:hAnsi="Times New Roman"/>
          <w:sz w:val="22"/>
        </w:rPr>
        <w:t xml:space="preserve">With Thanks </w:t>
      </w:r>
      <w:r w:rsidRPr="00BD21FC">
        <w:rPr>
          <w:rFonts w:ascii="Times New Roman" w:hAnsi="Times New Roman"/>
          <w:sz w:val="22"/>
        </w:rPr>
        <w:tab/>
      </w:r>
    </w:p>
    <w:p w14:paraId="6BCDD035" w14:textId="77777777" w:rsidR="00221486" w:rsidRPr="008C0CA7" w:rsidRDefault="00221486" w:rsidP="00221486">
      <w:pPr>
        <w:rPr>
          <w:szCs w:val="22"/>
          <w:lang w:eastAsia="es-ES"/>
        </w:rPr>
      </w:pPr>
      <w:r w:rsidRPr="00BD21FC">
        <w:rPr>
          <w:bCs/>
          <w:szCs w:val="22"/>
        </w:rPr>
        <w:t xml:space="preserve">IAATO </w:t>
      </w:r>
      <w:r w:rsidRPr="00BD21FC">
        <w:rPr>
          <w:szCs w:val="22"/>
        </w:rPr>
        <w:t>appreciates the opportunity to work cooperatively with Antarctic Treaty Parties, COMNAP, SCAR, CCAMLR, IHO/HCA, WMO, ASOC and others toward the long-term protection of Antarctica</w:t>
      </w:r>
      <w:r w:rsidRPr="00BD21FC">
        <w:rPr>
          <w:szCs w:val="22"/>
          <w:lang w:eastAsia="es-ES"/>
        </w:rPr>
        <w:t>.</w:t>
      </w:r>
    </w:p>
    <w:p w14:paraId="51B974F1" w14:textId="77777777" w:rsidR="00221486" w:rsidRDefault="00221486" w:rsidP="00221486"/>
    <w:p w14:paraId="52C82CC6" w14:textId="77777777" w:rsidR="00221486" w:rsidRPr="002008E9" w:rsidRDefault="00221486" w:rsidP="00221486"/>
    <w:p w14:paraId="3E4006D7" w14:textId="77777777" w:rsidR="00221486" w:rsidRDefault="00221486" w:rsidP="00952E9F"/>
    <w:sectPr w:rsidR="00221486"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0146" w14:textId="77777777" w:rsidR="00000000" w:rsidRDefault="00221486">
      <w:r>
        <w:separator/>
      </w:r>
    </w:p>
  </w:endnote>
  <w:endnote w:type="continuationSeparator" w:id="0">
    <w:p w14:paraId="157FD96A" w14:textId="77777777" w:rsidR="00000000" w:rsidRDefault="00221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73811" w14:textId="77777777" w:rsidR="00FA0B9F" w:rsidRDefault="00221486" w:rsidP="00CF5C82">
    <w:pPr>
      <w:framePr w:wrap="around" w:vAnchor="text" w:hAnchor="margin" w:xAlign="right" w:y="1"/>
    </w:pPr>
    <w:r>
      <w:fldChar w:fldCharType="begin"/>
    </w:r>
    <w:r>
      <w:instrText xml:space="preserve">PAGE  </w:instrText>
    </w:r>
    <w:r>
      <w:fldChar w:fldCharType="separate"/>
    </w:r>
    <w:r>
      <w:fldChar w:fldCharType="end"/>
    </w:r>
  </w:p>
  <w:p w14:paraId="166EAA29" w14:textId="77777777" w:rsidR="00FA0B9F" w:rsidRDefault="0022148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14FD" w14:textId="77777777" w:rsidR="00FA0B9F" w:rsidRDefault="0022148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E170BF2" w14:textId="7F8BB309" w:rsidR="00FA0B9F" w:rsidRDefault="00221486" w:rsidP="0022148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FBDF" w14:textId="77777777" w:rsidR="00E311C9" w:rsidRDefault="0022148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C145295" w14:textId="77777777" w:rsidR="00E311C9" w:rsidRDefault="0022148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C16F" w14:textId="77777777" w:rsidR="00000000" w:rsidRDefault="00221486">
      <w:r>
        <w:separator/>
      </w:r>
    </w:p>
  </w:footnote>
  <w:footnote w:type="continuationSeparator" w:id="0">
    <w:p w14:paraId="57BE8B89" w14:textId="77777777" w:rsidR="00000000" w:rsidRDefault="00221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5F2EC8" w14:paraId="6C4063A1" w14:textId="77777777" w:rsidTr="002E12EC">
      <w:trPr>
        <w:trHeight w:val="344"/>
        <w:jc w:val="center"/>
      </w:trPr>
      <w:tc>
        <w:tcPr>
          <w:tcW w:w="5495" w:type="dxa"/>
        </w:tcPr>
        <w:p w14:paraId="25FEE80E" w14:textId="77777777" w:rsidR="00DB7C09" w:rsidRDefault="00221486" w:rsidP="00F968D4"/>
      </w:tc>
      <w:tc>
        <w:tcPr>
          <w:tcW w:w="4253" w:type="dxa"/>
          <w:gridSpan w:val="2"/>
        </w:tcPr>
        <w:p w14:paraId="3F1923D9" w14:textId="77777777" w:rsidR="00DB7C09" w:rsidRPr="00BD47E4" w:rsidRDefault="00221486" w:rsidP="002A07BC">
          <w:pPr>
            <w:jc w:val="right"/>
            <w:rPr>
              <w:b/>
              <w:sz w:val="32"/>
              <w:szCs w:val="32"/>
            </w:rPr>
          </w:pPr>
          <w:bookmarkStart w:id="2" w:name="type"/>
          <w:r w:rsidRPr="00BD47E4">
            <w:rPr>
              <w:b/>
              <w:sz w:val="32"/>
              <w:szCs w:val="32"/>
            </w:rPr>
            <w:t>IP</w:t>
          </w:r>
          <w:bookmarkEnd w:id="2"/>
        </w:p>
      </w:tc>
      <w:tc>
        <w:tcPr>
          <w:tcW w:w="1524" w:type="dxa"/>
          <w:gridSpan w:val="2"/>
        </w:tcPr>
        <w:p w14:paraId="42810F9A" w14:textId="77777777" w:rsidR="00DB7C09" w:rsidRPr="00BD47E4" w:rsidRDefault="00221486" w:rsidP="00DB7C09">
          <w:pPr>
            <w:rPr>
              <w:b/>
              <w:sz w:val="32"/>
              <w:szCs w:val="32"/>
            </w:rPr>
          </w:pPr>
          <w:bookmarkStart w:id="3" w:name="number"/>
          <w:r w:rsidRPr="00BD47E4">
            <w:rPr>
              <w:b/>
              <w:sz w:val="32"/>
              <w:szCs w:val="32"/>
            </w:rPr>
            <w:t>55</w:t>
          </w:r>
          <w:bookmarkEnd w:id="3"/>
        </w:p>
      </w:tc>
    </w:tr>
    <w:tr w:rsidR="005F2EC8" w14:paraId="6E0B0F4E" w14:textId="77777777" w:rsidTr="002E12EC">
      <w:trPr>
        <w:trHeight w:val="2165"/>
        <w:jc w:val="center"/>
      </w:trPr>
      <w:tc>
        <w:tcPr>
          <w:tcW w:w="5495" w:type="dxa"/>
        </w:tcPr>
        <w:p w14:paraId="7D3B0BC6" w14:textId="77777777" w:rsidR="00490760" w:rsidRPr="00EE4D48" w:rsidRDefault="00221486" w:rsidP="002A07BC">
          <w:pPr>
            <w:rPr>
              <w:b/>
              <w:sz w:val="28"/>
              <w:szCs w:val="28"/>
            </w:rPr>
          </w:pPr>
          <w:r>
            <w:rPr>
              <w:noProof/>
            </w:rPr>
            <w:drawing>
              <wp:inline distT="0" distB="0" distL="0" distR="0" wp14:anchorId="1968B4D5" wp14:editId="60EE11D7">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5882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D3FA789" w14:textId="77777777" w:rsidR="00490760" w:rsidRPr="00FE5146" w:rsidRDefault="00221486" w:rsidP="00490760">
          <w:pPr>
            <w:jc w:val="right"/>
            <w:rPr>
              <w:sz w:val="144"/>
              <w:szCs w:val="144"/>
            </w:rPr>
          </w:pPr>
          <w:r w:rsidRPr="00FE5146">
            <w:rPr>
              <w:sz w:val="144"/>
              <w:szCs w:val="144"/>
            </w:rPr>
            <w:t>ENG</w:t>
          </w:r>
        </w:p>
      </w:tc>
    </w:tr>
    <w:tr w:rsidR="005F2EC8" w14:paraId="36177B20" w14:textId="77777777" w:rsidTr="002E12EC">
      <w:trPr>
        <w:trHeight w:val="409"/>
        <w:jc w:val="center"/>
      </w:trPr>
      <w:tc>
        <w:tcPr>
          <w:tcW w:w="8500" w:type="dxa"/>
          <w:gridSpan w:val="2"/>
        </w:tcPr>
        <w:p w14:paraId="395709B0" w14:textId="77777777" w:rsidR="00BD47E4" w:rsidRDefault="00221486" w:rsidP="002C30DA">
          <w:pPr>
            <w:jc w:val="right"/>
          </w:pPr>
          <w:r>
            <w:t>Agenda Item:</w:t>
          </w:r>
        </w:p>
      </w:tc>
      <w:tc>
        <w:tcPr>
          <w:tcW w:w="2382" w:type="dxa"/>
          <w:gridSpan w:val="2"/>
        </w:tcPr>
        <w:p w14:paraId="5B1B8392" w14:textId="77777777" w:rsidR="00BD47E4" w:rsidRDefault="00221486" w:rsidP="002C30DA">
          <w:pPr>
            <w:jc w:val="right"/>
          </w:pPr>
          <w:bookmarkStart w:id="4" w:name="agenda"/>
          <w:r>
            <w:t>ATCM 4, ATCM 17, CEP 5</w:t>
          </w:r>
          <w:bookmarkEnd w:id="4"/>
        </w:p>
      </w:tc>
      <w:tc>
        <w:tcPr>
          <w:tcW w:w="390" w:type="dxa"/>
        </w:tcPr>
        <w:p w14:paraId="499361B0" w14:textId="77777777" w:rsidR="00BD47E4" w:rsidRDefault="00221486" w:rsidP="00387A65">
          <w:pPr>
            <w:jc w:val="right"/>
          </w:pPr>
        </w:p>
      </w:tc>
    </w:tr>
    <w:tr w:rsidR="005F2EC8" w14:paraId="1F172391" w14:textId="77777777" w:rsidTr="002E12EC">
      <w:trPr>
        <w:trHeight w:val="397"/>
        <w:jc w:val="center"/>
      </w:trPr>
      <w:tc>
        <w:tcPr>
          <w:tcW w:w="8500" w:type="dxa"/>
          <w:gridSpan w:val="2"/>
        </w:tcPr>
        <w:p w14:paraId="3DDB3A77" w14:textId="77777777" w:rsidR="00BD47E4" w:rsidRDefault="00221486" w:rsidP="002C30DA">
          <w:pPr>
            <w:jc w:val="right"/>
          </w:pPr>
          <w:r>
            <w:t>Presented by:</w:t>
          </w:r>
        </w:p>
      </w:tc>
      <w:tc>
        <w:tcPr>
          <w:tcW w:w="2382" w:type="dxa"/>
          <w:gridSpan w:val="2"/>
        </w:tcPr>
        <w:p w14:paraId="1E5EB7C8" w14:textId="77777777" w:rsidR="00BD47E4" w:rsidRDefault="00221486" w:rsidP="002C30DA">
          <w:pPr>
            <w:jc w:val="right"/>
          </w:pPr>
          <w:bookmarkStart w:id="5" w:name="party"/>
          <w:r>
            <w:t>IAATO</w:t>
          </w:r>
          <w:bookmarkEnd w:id="5"/>
        </w:p>
      </w:tc>
      <w:tc>
        <w:tcPr>
          <w:tcW w:w="390" w:type="dxa"/>
        </w:tcPr>
        <w:p w14:paraId="32BD3140" w14:textId="77777777" w:rsidR="00BD47E4" w:rsidRDefault="00221486" w:rsidP="00387A65">
          <w:pPr>
            <w:jc w:val="right"/>
          </w:pPr>
        </w:p>
      </w:tc>
    </w:tr>
    <w:tr w:rsidR="005F2EC8" w14:paraId="283F6FDA" w14:textId="77777777" w:rsidTr="002E12EC">
      <w:trPr>
        <w:trHeight w:val="409"/>
        <w:jc w:val="center"/>
      </w:trPr>
      <w:tc>
        <w:tcPr>
          <w:tcW w:w="8500" w:type="dxa"/>
          <w:gridSpan w:val="2"/>
        </w:tcPr>
        <w:p w14:paraId="55BC37CF" w14:textId="77777777" w:rsidR="00BD47E4" w:rsidRDefault="00221486" w:rsidP="002C30DA">
          <w:pPr>
            <w:jc w:val="right"/>
          </w:pPr>
          <w:r>
            <w:t>Original:</w:t>
          </w:r>
        </w:p>
      </w:tc>
      <w:tc>
        <w:tcPr>
          <w:tcW w:w="2382" w:type="dxa"/>
          <w:gridSpan w:val="2"/>
        </w:tcPr>
        <w:p w14:paraId="30B5DAA4" w14:textId="77777777" w:rsidR="00BD47E4" w:rsidRDefault="00221486" w:rsidP="002C30DA">
          <w:pPr>
            <w:jc w:val="right"/>
          </w:pPr>
          <w:bookmarkStart w:id="6" w:name="language"/>
          <w:r>
            <w:t>English</w:t>
          </w:r>
          <w:bookmarkEnd w:id="6"/>
        </w:p>
      </w:tc>
      <w:tc>
        <w:tcPr>
          <w:tcW w:w="390" w:type="dxa"/>
        </w:tcPr>
        <w:p w14:paraId="4B918245" w14:textId="77777777" w:rsidR="00BD47E4" w:rsidRDefault="00221486" w:rsidP="00387A65">
          <w:pPr>
            <w:jc w:val="right"/>
          </w:pPr>
        </w:p>
      </w:tc>
    </w:tr>
    <w:tr w:rsidR="005F2EC8" w14:paraId="4695749C" w14:textId="77777777" w:rsidTr="002E12EC">
      <w:trPr>
        <w:trHeight w:val="409"/>
        <w:jc w:val="center"/>
      </w:trPr>
      <w:tc>
        <w:tcPr>
          <w:tcW w:w="8500" w:type="dxa"/>
          <w:gridSpan w:val="2"/>
        </w:tcPr>
        <w:p w14:paraId="24B2CF6B" w14:textId="77777777" w:rsidR="0097629D" w:rsidRDefault="00221486" w:rsidP="002C30DA">
          <w:pPr>
            <w:jc w:val="right"/>
          </w:pPr>
          <w:r>
            <w:t>Submitted:</w:t>
          </w:r>
        </w:p>
      </w:tc>
      <w:tc>
        <w:tcPr>
          <w:tcW w:w="2382" w:type="dxa"/>
          <w:gridSpan w:val="2"/>
        </w:tcPr>
        <w:p w14:paraId="7ACC11D0" w14:textId="77777777" w:rsidR="0097629D" w:rsidRDefault="00221486" w:rsidP="0097629D">
          <w:pPr>
            <w:jc w:val="right"/>
          </w:pPr>
          <w:bookmarkStart w:id="7" w:name="date_submission"/>
          <w:r>
            <w:t>08 May 2023</w:t>
          </w:r>
          <w:bookmarkEnd w:id="7"/>
        </w:p>
      </w:tc>
      <w:tc>
        <w:tcPr>
          <w:tcW w:w="390" w:type="dxa"/>
        </w:tcPr>
        <w:p w14:paraId="01D43F85" w14:textId="77777777" w:rsidR="0097629D" w:rsidRDefault="00221486" w:rsidP="00387A65">
          <w:pPr>
            <w:jc w:val="right"/>
          </w:pPr>
        </w:p>
      </w:tc>
    </w:tr>
  </w:tbl>
  <w:p w14:paraId="6EA74D5A" w14:textId="77777777" w:rsidR="00AE5DD0" w:rsidRDefault="002214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F2EC8" w14:paraId="1F22E8DB" w14:textId="77777777">
      <w:trPr>
        <w:trHeight w:val="354"/>
        <w:jc w:val="center"/>
      </w:trPr>
      <w:tc>
        <w:tcPr>
          <w:tcW w:w="9694" w:type="dxa"/>
        </w:tcPr>
        <w:p w14:paraId="55A8D2A5" w14:textId="41DCBF97" w:rsidR="00AE5DD0" w:rsidRPr="00BD47E4" w:rsidRDefault="00221486" w:rsidP="00C26F2D">
          <w:pPr>
            <w:jc w:val="right"/>
            <w:rPr>
              <w:b/>
              <w:sz w:val="32"/>
              <w:szCs w:val="32"/>
            </w:rPr>
          </w:pPr>
          <w:r>
            <w:rPr>
              <w:b/>
              <w:sz w:val="32"/>
              <w:szCs w:val="32"/>
            </w:rPr>
            <w:t>IP</w:t>
          </w:r>
        </w:p>
      </w:tc>
      <w:tc>
        <w:tcPr>
          <w:tcW w:w="1332" w:type="dxa"/>
        </w:tcPr>
        <w:p w14:paraId="48A5E3D9" w14:textId="1DEA2CD4" w:rsidR="00AE5DD0" w:rsidRPr="00BD47E4" w:rsidRDefault="00221486" w:rsidP="00080F4C">
          <w:pPr>
            <w:rPr>
              <w:b/>
              <w:sz w:val="32"/>
              <w:szCs w:val="32"/>
            </w:rPr>
          </w:pPr>
          <w:r>
            <w:rPr>
              <w:b/>
              <w:sz w:val="32"/>
              <w:szCs w:val="32"/>
            </w:rPr>
            <w:t>55</w:t>
          </w:r>
        </w:p>
      </w:tc>
    </w:tr>
  </w:tbl>
  <w:p w14:paraId="194BD80D" w14:textId="77777777" w:rsidR="00AE5DD0" w:rsidRDefault="002214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AD0872A">
      <w:start w:val="1"/>
      <w:numFmt w:val="bullet"/>
      <w:pStyle w:val="ATSBullet1"/>
      <w:lvlText w:val=""/>
      <w:lvlJc w:val="left"/>
      <w:pPr>
        <w:tabs>
          <w:tab w:val="num" w:pos="360"/>
        </w:tabs>
        <w:ind w:left="360" w:hanging="360"/>
      </w:pPr>
      <w:rPr>
        <w:rFonts w:ascii="Symbol" w:hAnsi="Symbol" w:hint="default"/>
        <w:color w:val="auto"/>
      </w:rPr>
    </w:lvl>
    <w:lvl w:ilvl="1" w:tplc="C2D876F6">
      <w:start w:val="1"/>
      <w:numFmt w:val="bullet"/>
      <w:lvlText w:val="o"/>
      <w:lvlJc w:val="left"/>
      <w:pPr>
        <w:tabs>
          <w:tab w:val="num" w:pos="1440"/>
        </w:tabs>
        <w:ind w:left="1440" w:hanging="360"/>
      </w:pPr>
      <w:rPr>
        <w:rFonts w:ascii="Courier New" w:hAnsi="Courier New" w:cs="Courier New" w:hint="default"/>
      </w:rPr>
    </w:lvl>
    <w:lvl w:ilvl="2" w:tplc="41E0B560" w:tentative="1">
      <w:start w:val="1"/>
      <w:numFmt w:val="bullet"/>
      <w:lvlText w:val=""/>
      <w:lvlJc w:val="left"/>
      <w:pPr>
        <w:tabs>
          <w:tab w:val="num" w:pos="2160"/>
        </w:tabs>
        <w:ind w:left="2160" w:hanging="360"/>
      </w:pPr>
      <w:rPr>
        <w:rFonts w:ascii="Wingdings" w:hAnsi="Wingdings" w:hint="default"/>
      </w:rPr>
    </w:lvl>
    <w:lvl w:ilvl="3" w:tplc="CB10B22A" w:tentative="1">
      <w:start w:val="1"/>
      <w:numFmt w:val="bullet"/>
      <w:lvlText w:val=""/>
      <w:lvlJc w:val="left"/>
      <w:pPr>
        <w:tabs>
          <w:tab w:val="num" w:pos="2880"/>
        </w:tabs>
        <w:ind w:left="2880" w:hanging="360"/>
      </w:pPr>
      <w:rPr>
        <w:rFonts w:ascii="Symbol" w:hAnsi="Symbol" w:hint="default"/>
      </w:rPr>
    </w:lvl>
    <w:lvl w:ilvl="4" w:tplc="8AB4A238" w:tentative="1">
      <w:start w:val="1"/>
      <w:numFmt w:val="bullet"/>
      <w:lvlText w:val="o"/>
      <w:lvlJc w:val="left"/>
      <w:pPr>
        <w:tabs>
          <w:tab w:val="num" w:pos="3600"/>
        </w:tabs>
        <w:ind w:left="3600" w:hanging="360"/>
      </w:pPr>
      <w:rPr>
        <w:rFonts w:ascii="Courier New" w:hAnsi="Courier New" w:cs="Courier New" w:hint="default"/>
      </w:rPr>
    </w:lvl>
    <w:lvl w:ilvl="5" w:tplc="B790C37A" w:tentative="1">
      <w:start w:val="1"/>
      <w:numFmt w:val="bullet"/>
      <w:lvlText w:val=""/>
      <w:lvlJc w:val="left"/>
      <w:pPr>
        <w:tabs>
          <w:tab w:val="num" w:pos="4320"/>
        </w:tabs>
        <w:ind w:left="4320" w:hanging="360"/>
      </w:pPr>
      <w:rPr>
        <w:rFonts w:ascii="Wingdings" w:hAnsi="Wingdings" w:hint="default"/>
      </w:rPr>
    </w:lvl>
    <w:lvl w:ilvl="6" w:tplc="D22C7002" w:tentative="1">
      <w:start w:val="1"/>
      <w:numFmt w:val="bullet"/>
      <w:lvlText w:val=""/>
      <w:lvlJc w:val="left"/>
      <w:pPr>
        <w:tabs>
          <w:tab w:val="num" w:pos="5040"/>
        </w:tabs>
        <w:ind w:left="5040" w:hanging="360"/>
      </w:pPr>
      <w:rPr>
        <w:rFonts w:ascii="Symbol" w:hAnsi="Symbol" w:hint="default"/>
      </w:rPr>
    </w:lvl>
    <w:lvl w:ilvl="7" w:tplc="5E4E5BB8" w:tentative="1">
      <w:start w:val="1"/>
      <w:numFmt w:val="bullet"/>
      <w:lvlText w:val="o"/>
      <w:lvlJc w:val="left"/>
      <w:pPr>
        <w:tabs>
          <w:tab w:val="num" w:pos="5760"/>
        </w:tabs>
        <w:ind w:left="5760" w:hanging="360"/>
      </w:pPr>
      <w:rPr>
        <w:rFonts w:ascii="Courier New" w:hAnsi="Courier New" w:cs="Courier New" w:hint="default"/>
      </w:rPr>
    </w:lvl>
    <w:lvl w:ilvl="8" w:tplc="27C2B9E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ED5C22"/>
    <w:multiLevelType w:val="hybridMultilevel"/>
    <w:tmpl w:val="9952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E2FEABA6">
      <w:start w:val="1"/>
      <w:numFmt w:val="decimal"/>
      <w:lvlText w:val="%1)"/>
      <w:lvlJc w:val="left"/>
      <w:pPr>
        <w:tabs>
          <w:tab w:val="num" w:pos="340"/>
        </w:tabs>
        <w:ind w:left="340" w:hanging="340"/>
      </w:pPr>
      <w:rPr>
        <w:rFonts w:hint="default"/>
      </w:rPr>
    </w:lvl>
    <w:lvl w:ilvl="1" w:tplc="8E9A4AD0" w:tentative="1">
      <w:start w:val="1"/>
      <w:numFmt w:val="lowerLetter"/>
      <w:lvlText w:val="%2."/>
      <w:lvlJc w:val="left"/>
      <w:pPr>
        <w:tabs>
          <w:tab w:val="num" w:pos="1440"/>
        </w:tabs>
        <w:ind w:left="1440" w:hanging="360"/>
      </w:pPr>
    </w:lvl>
    <w:lvl w:ilvl="2" w:tplc="7EEEDC76" w:tentative="1">
      <w:start w:val="1"/>
      <w:numFmt w:val="lowerRoman"/>
      <w:lvlText w:val="%3."/>
      <w:lvlJc w:val="right"/>
      <w:pPr>
        <w:tabs>
          <w:tab w:val="num" w:pos="2160"/>
        </w:tabs>
        <w:ind w:left="2160" w:hanging="180"/>
      </w:pPr>
    </w:lvl>
    <w:lvl w:ilvl="3" w:tplc="1DACC860" w:tentative="1">
      <w:start w:val="1"/>
      <w:numFmt w:val="decimal"/>
      <w:lvlText w:val="%4."/>
      <w:lvlJc w:val="left"/>
      <w:pPr>
        <w:tabs>
          <w:tab w:val="num" w:pos="2880"/>
        </w:tabs>
        <w:ind w:left="2880" w:hanging="360"/>
      </w:pPr>
    </w:lvl>
    <w:lvl w:ilvl="4" w:tplc="90A6DC48" w:tentative="1">
      <w:start w:val="1"/>
      <w:numFmt w:val="lowerLetter"/>
      <w:lvlText w:val="%5."/>
      <w:lvlJc w:val="left"/>
      <w:pPr>
        <w:tabs>
          <w:tab w:val="num" w:pos="3600"/>
        </w:tabs>
        <w:ind w:left="3600" w:hanging="360"/>
      </w:pPr>
    </w:lvl>
    <w:lvl w:ilvl="5" w:tplc="4366163A" w:tentative="1">
      <w:start w:val="1"/>
      <w:numFmt w:val="lowerRoman"/>
      <w:lvlText w:val="%6."/>
      <w:lvlJc w:val="right"/>
      <w:pPr>
        <w:tabs>
          <w:tab w:val="num" w:pos="4320"/>
        </w:tabs>
        <w:ind w:left="4320" w:hanging="180"/>
      </w:pPr>
    </w:lvl>
    <w:lvl w:ilvl="6" w:tplc="355EAD8E" w:tentative="1">
      <w:start w:val="1"/>
      <w:numFmt w:val="decimal"/>
      <w:lvlText w:val="%7."/>
      <w:lvlJc w:val="left"/>
      <w:pPr>
        <w:tabs>
          <w:tab w:val="num" w:pos="5040"/>
        </w:tabs>
        <w:ind w:left="5040" w:hanging="360"/>
      </w:pPr>
    </w:lvl>
    <w:lvl w:ilvl="7" w:tplc="D6BC6C7A" w:tentative="1">
      <w:start w:val="1"/>
      <w:numFmt w:val="lowerLetter"/>
      <w:lvlText w:val="%8."/>
      <w:lvlJc w:val="left"/>
      <w:pPr>
        <w:tabs>
          <w:tab w:val="num" w:pos="5760"/>
        </w:tabs>
        <w:ind w:left="5760" w:hanging="360"/>
      </w:pPr>
    </w:lvl>
    <w:lvl w:ilvl="8" w:tplc="F1200C8C"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2616658C">
      <w:start w:val="1"/>
      <w:numFmt w:val="decimal"/>
      <w:lvlText w:val="%1."/>
      <w:lvlJc w:val="left"/>
      <w:pPr>
        <w:tabs>
          <w:tab w:val="num" w:pos="1057"/>
        </w:tabs>
        <w:ind w:left="1057" w:hanging="360"/>
      </w:pPr>
      <w:rPr>
        <w:rFonts w:hint="default"/>
      </w:rPr>
    </w:lvl>
    <w:lvl w:ilvl="1" w:tplc="16762412" w:tentative="1">
      <w:start w:val="1"/>
      <w:numFmt w:val="lowerLetter"/>
      <w:lvlText w:val="%2."/>
      <w:lvlJc w:val="left"/>
      <w:pPr>
        <w:tabs>
          <w:tab w:val="num" w:pos="2137"/>
        </w:tabs>
        <w:ind w:left="2137" w:hanging="360"/>
      </w:pPr>
    </w:lvl>
    <w:lvl w:ilvl="2" w:tplc="4FDC1C3C" w:tentative="1">
      <w:start w:val="1"/>
      <w:numFmt w:val="lowerRoman"/>
      <w:lvlText w:val="%3."/>
      <w:lvlJc w:val="right"/>
      <w:pPr>
        <w:tabs>
          <w:tab w:val="num" w:pos="2857"/>
        </w:tabs>
        <w:ind w:left="2857" w:hanging="180"/>
      </w:pPr>
    </w:lvl>
    <w:lvl w:ilvl="3" w:tplc="7B0872D4" w:tentative="1">
      <w:start w:val="1"/>
      <w:numFmt w:val="decimal"/>
      <w:lvlText w:val="%4."/>
      <w:lvlJc w:val="left"/>
      <w:pPr>
        <w:tabs>
          <w:tab w:val="num" w:pos="3577"/>
        </w:tabs>
        <w:ind w:left="3577" w:hanging="360"/>
      </w:pPr>
    </w:lvl>
    <w:lvl w:ilvl="4" w:tplc="C9D8DEB6" w:tentative="1">
      <w:start w:val="1"/>
      <w:numFmt w:val="lowerLetter"/>
      <w:lvlText w:val="%5."/>
      <w:lvlJc w:val="left"/>
      <w:pPr>
        <w:tabs>
          <w:tab w:val="num" w:pos="4297"/>
        </w:tabs>
        <w:ind w:left="4297" w:hanging="360"/>
      </w:pPr>
    </w:lvl>
    <w:lvl w:ilvl="5" w:tplc="A2B43C6E" w:tentative="1">
      <w:start w:val="1"/>
      <w:numFmt w:val="lowerRoman"/>
      <w:lvlText w:val="%6."/>
      <w:lvlJc w:val="right"/>
      <w:pPr>
        <w:tabs>
          <w:tab w:val="num" w:pos="5017"/>
        </w:tabs>
        <w:ind w:left="5017" w:hanging="180"/>
      </w:pPr>
    </w:lvl>
    <w:lvl w:ilvl="6" w:tplc="9AB80608" w:tentative="1">
      <w:start w:val="1"/>
      <w:numFmt w:val="decimal"/>
      <w:lvlText w:val="%7."/>
      <w:lvlJc w:val="left"/>
      <w:pPr>
        <w:tabs>
          <w:tab w:val="num" w:pos="5737"/>
        </w:tabs>
        <w:ind w:left="5737" w:hanging="360"/>
      </w:pPr>
    </w:lvl>
    <w:lvl w:ilvl="7" w:tplc="9E84BC80" w:tentative="1">
      <w:start w:val="1"/>
      <w:numFmt w:val="lowerLetter"/>
      <w:lvlText w:val="%8."/>
      <w:lvlJc w:val="left"/>
      <w:pPr>
        <w:tabs>
          <w:tab w:val="num" w:pos="6457"/>
        </w:tabs>
        <w:ind w:left="6457" w:hanging="360"/>
      </w:pPr>
    </w:lvl>
    <w:lvl w:ilvl="8" w:tplc="EF40041C"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21CC0490">
      <w:start w:val="1"/>
      <w:numFmt w:val="decimal"/>
      <w:pStyle w:val="ATSNumber1"/>
      <w:lvlText w:val="%1)"/>
      <w:lvlJc w:val="left"/>
      <w:pPr>
        <w:tabs>
          <w:tab w:val="num" w:pos="720"/>
        </w:tabs>
        <w:ind w:left="720" w:hanging="360"/>
      </w:pPr>
    </w:lvl>
    <w:lvl w:ilvl="1" w:tplc="8C1EDF28" w:tentative="1">
      <w:start w:val="1"/>
      <w:numFmt w:val="lowerLetter"/>
      <w:lvlText w:val="%2."/>
      <w:lvlJc w:val="left"/>
      <w:pPr>
        <w:tabs>
          <w:tab w:val="num" w:pos="1440"/>
        </w:tabs>
        <w:ind w:left="1440" w:hanging="360"/>
      </w:pPr>
    </w:lvl>
    <w:lvl w:ilvl="2" w:tplc="82D48DA4" w:tentative="1">
      <w:start w:val="1"/>
      <w:numFmt w:val="lowerRoman"/>
      <w:lvlText w:val="%3."/>
      <w:lvlJc w:val="right"/>
      <w:pPr>
        <w:tabs>
          <w:tab w:val="num" w:pos="2160"/>
        </w:tabs>
        <w:ind w:left="2160" w:hanging="180"/>
      </w:pPr>
    </w:lvl>
    <w:lvl w:ilvl="3" w:tplc="5C3027A6" w:tentative="1">
      <w:start w:val="1"/>
      <w:numFmt w:val="decimal"/>
      <w:lvlText w:val="%4."/>
      <w:lvlJc w:val="left"/>
      <w:pPr>
        <w:tabs>
          <w:tab w:val="num" w:pos="2880"/>
        </w:tabs>
        <w:ind w:left="2880" w:hanging="360"/>
      </w:pPr>
    </w:lvl>
    <w:lvl w:ilvl="4" w:tplc="5D98E602" w:tentative="1">
      <w:start w:val="1"/>
      <w:numFmt w:val="lowerLetter"/>
      <w:lvlText w:val="%5."/>
      <w:lvlJc w:val="left"/>
      <w:pPr>
        <w:tabs>
          <w:tab w:val="num" w:pos="3600"/>
        </w:tabs>
        <w:ind w:left="3600" w:hanging="360"/>
      </w:pPr>
    </w:lvl>
    <w:lvl w:ilvl="5" w:tplc="8E2A833E" w:tentative="1">
      <w:start w:val="1"/>
      <w:numFmt w:val="lowerRoman"/>
      <w:lvlText w:val="%6."/>
      <w:lvlJc w:val="right"/>
      <w:pPr>
        <w:tabs>
          <w:tab w:val="num" w:pos="4320"/>
        </w:tabs>
        <w:ind w:left="4320" w:hanging="180"/>
      </w:pPr>
    </w:lvl>
    <w:lvl w:ilvl="6" w:tplc="5E0EAF6C" w:tentative="1">
      <w:start w:val="1"/>
      <w:numFmt w:val="decimal"/>
      <w:lvlText w:val="%7."/>
      <w:lvlJc w:val="left"/>
      <w:pPr>
        <w:tabs>
          <w:tab w:val="num" w:pos="5040"/>
        </w:tabs>
        <w:ind w:left="5040" w:hanging="360"/>
      </w:pPr>
    </w:lvl>
    <w:lvl w:ilvl="7" w:tplc="4B30EDE0" w:tentative="1">
      <w:start w:val="1"/>
      <w:numFmt w:val="lowerLetter"/>
      <w:lvlText w:val="%8."/>
      <w:lvlJc w:val="left"/>
      <w:pPr>
        <w:tabs>
          <w:tab w:val="num" w:pos="5760"/>
        </w:tabs>
        <w:ind w:left="5760" w:hanging="360"/>
      </w:pPr>
    </w:lvl>
    <w:lvl w:ilvl="8" w:tplc="3CBEC5D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00225E1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6F84E78" w:tentative="1">
      <w:start w:val="1"/>
      <w:numFmt w:val="bullet"/>
      <w:lvlText w:val="o"/>
      <w:lvlJc w:val="left"/>
      <w:pPr>
        <w:tabs>
          <w:tab w:val="num" w:pos="2517"/>
        </w:tabs>
        <w:ind w:left="2517" w:hanging="360"/>
      </w:pPr>
      <w:rPr>
        <w:rFonts w:ascii="Courier New" w:hAnsi="Courier New" w:cs="Courier New" w:hint="default"/>
      </w:rPr>
    </w:lvl>
    <w:lvl w:ilvl="2" w:tplc="C5F01EC0" w:tentative="1">
      <w:start w:val="1"/>
      <w:numFmt w:val="bullet"/>
      <w:lvlText w:val=""/>
      <w:lvlJc w:val="left"/>
      <w:pPr>
        <w:tabs>
          <w:tab w:val="num" w:pos="3237"/>
        </w:tabs>
        <w:ind w:left="3237" w:hanging="360"/>
      </w:pPr>
      <w:rPr>
        <w:rFonts w:ascii="Wingdings" w:hAnsi="Wingdings" w:hint="default"/>
      </w:rPr>
    </w:lvl>
    <w:lvl w:ilvl="3" w:tplc="29D4F3A2" w:tentative="1">
      <w:start w:val="1"/>
      <w:numFmt w:val="bullet"/>
      <w:lvlText w:val=""/>
      <w:lvlJc w:val="left"/>
      <w:pPr>
        <w:tabs>
          <w:tab w:val="num" w:pos="3957"/>
        </w:tabs>
        <w:ind w:left="3957" w:hanging="360"/>
      </w:pPr>
      <w:rPr>
        <w:rFonts w:ascii="Symbol" w:hAnsi="Symbol" w:hint="default"/>
      </w:rPr>
    </w:lvl>
    <w:lvl w:ilvl="4" w:tplc="50426716" w:tentative="1">
      <w:start w:val="1"/>
      <w:numFmt w:val="bullet"/>
      <w:lvlText w:val="o"/>
      <w:lvlJc w:val="left"/>
      <w:pPr>
        <w:tabs>
          <w:tab w:val="num" w:pos="4677"/>
        </w:tabs>
        <w:ind w:left="4677" w:hanging="360"/>
      </w:pPr>
      <w:rPr>
        <w:rFonts w:ascii="Courier New" w:hAnsi="Courier New" w:cs="Courier New" w:hint="default"/>
      </w:rPr>
    </w:lvl>
    <w:lvl w:ilvl="5" w:tplc="40C6699A" w:tentative="1">
      <w:start w:val="1"/>
      <w:numFmt w:val="bullet"/>
      <w:lvlText w:val=""/>
      <w:lvlJc w:val="left"/>
      <w:pPr>
        <w:tabs>
          <w:tab w:val="num" w:pos="5397"/>
        </w:tabs>
        <w:ind w:left="5397" w:hanging="360"/>
      </w:pPr>
      <w:rPr>
        <w:rFonts w:ascii="Wingdings" w:hAnsi="Wingdings" w:hint="default"/>
      </w:rPr>
    </w:lvl>
    <w:lvl w:ilvl="6" w:tplc="BB24EE84" w:tentative="1">
      <w:start w:val="1"/>
      <w:numFmt w:val="bullet"/>
      <w:lvlText w:val=""/>
      <w:lvlJc w:val="left"/>
      <w:pPr>
        <w:tabs>
          <w:tab w:val="num" w:pos="6117"/>
        </w:tabs>
        <w:ind w:left="6117" w:hanging="360"/>
      </w:pPr>
      <w:rPr>
        <w:rFonts w:ascii="Symbol" w:hAnsi="Symbol" w:hint="default"/>
      </w:rPr>
    </w:lvl>
    <w:lvl w:ilvl="7" w:tplc="C38E972A" w:tentative="1">
      <w:start w:val="1"/>
      <w:numFmt w:val="bullet"/>
      <w:lvlText w:val="o"/>
      <w:lvlJc w:val="left"/>
      <w:pPr>
        <w:tabs>
          <w:tab w:val="num" w:pos="6837"/>
        </w:tabs>
        <w:ind w:left="6837" w:hanging="360"/>
      </w:pPr>
      <w:rPr>
        <w:rFonts w:ascii="Courier New" w:hAnsi="Courier New" w:cs="Courier New" w:hint="default"/>
      </w:rPr>
    </w:lvl>
    <w:lvl w:ilvl="8" w:tplc="AA32B8D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C61EF424">
      <w:start w:val="1"/>
      <w:numFmt w:val="decimal"/>
      <w:pStyle w:val="ATSNumber2"/>
      <w:lvlText w:val="%1."/>
      <w:lvlJc w:val="left"/>
      <w:pPr>
        <w:tabs>
          <w:tab w:val="num" w:pos="720"/>
        </w:tabs>
        <w:ind w:left="720" w:hanging="360"/>
      </w:pPr>
      <w:rPr>
        <w:rFonts w:hint="default"/>
      </w:rPr>
    </w:lvl>
    <w:lvl w:ilvl="1" w:tplc="A210ABB0" w:tentative="1">
      <w:start w:val="1"/>
      <w:numFmt w:val="lowerLetter"/>
      <w:lvlText w:val="%2."/>
      <w:lvlJc w:val="left"/>
      <w:pPr>
        <w:tabs>
          <w:tab w:val="num" w:pos="1440"/>
        </w:tabs>
        <w:ind w:left="1440" w:hanging="360"/>
      </w:pPr>
    </w:lvl>
    <w:lvl w:ilvl="2" w:tplc="303E2F30" w:tentative="1">
      <w:start w:val="1"/>
      <w:numFmt w:val="lowerRoman"/>
      <w:lvlText w:val="%3."/>
      <w:lvlJc w:val="right"/>
      <w:pPr>
        <w:tabs>
          <w:tab w:val="num" w:pos="2160"/>
        </w:tabs>
        <w:ind w:left="2160" w:hanging="180"/>
      </w:pPr>
    </w:lvl>
    <w:lvl w:ilvl="3" w:tplc="BE60F0C6" w:tentative="1">
      <w:start w:val="1"/>
      <w:numFmt w:val="decimal"/>
      <w:lvlText w:val="%4."/>
      <w:lvlJc w:val="left"/>
      <w:pPr>
        <w:tabs>
          <w:tab w:val="num" w:pos="2880"/>
        </w:tabs>
        <w:ind w:left="2880" w:hanging="360"/>
      </w:pPr>
    </w:lvl>
    <w:lvl w:ilvl="4" w:tplc="7818985E" w:tentative="1">
      <w:start w:val="1"/>
      <w:numFmt w:val="lowerLetter"/>
      <w:lvlText w:val="%5."/>
      <w:lvlJc w:val="left"/>
      <w:pPr>
        <w:tabs>
          <w:tab w:val="num" w:pos="3600"/>
        </w:tabs>
        <w:ind w:left="3600" w:hanging="360"/>
      </w:pPr>
    </w:lvl>
    <w:lvl w:ilvl="5" w:tplc="E1EA6380" w:tentative="1">
      <w:start w:val="1"/>
      <w:numFmt w:val="lowerRoman"/>
      <w:lvlText w:val="%6."/>
      <w:lvlJc w:val="right"/>
      <w:pPr>
        <w:tabs>
          <w:tab w:val="num" w:pos="4320"/>
        </w:tabs>
        <w:ind w:left="4320" w:hanging="180"/>
      </w:pPr>
    </w:lvl>
    <w:lvl w:ilvl="6" w:tplc="B29A4102" w:tentative="1">
      <w:start w:val="1"/>
      <w:numFmt w:val="decimal"/>
      <w:lvlText w:val="%7."/>
      <w:lvlJc w:val="left"/>
      <w:pPr>
        <w:tabs>
          <w:tab w:val="num" w:pos="5040"/>
        </w:tabs>
        <w:ind w:left="5040" w:hanging="360"/>
      </w:pPr>
    </w:lvl>
    <w:lvl w:ilvl="7" w:tplc="422C0FD8" w:tentative="1">
      <w:start w:val="1"/>
      <w:numFmt w:val="lowerLetter"/>
      <w:lvlText w:val="%8."/>
      <w:lvlJc w:val="left"/>
      <w:pPr>
        <w:tabs>
          <w:tab w:val="num" w:pos="5760"/>
        </w:tabs>
        <w:ind w:left="5760" w:hanging="360"/>
      </w:pPr>
    </w:lvl>
    <w:lvl w:ilvl="8" w:tplc="2FB4946C" w:tentative="1">
      <w:start w:val="1"/>
      <w:numFmt w:val="lowerRoman"/>
      <w:lvlText w:val="%9."/>
      <w:lvlJc w:val="right"/>
      <w:pPr>
        <w:tabs>
          <w:tab w:val="num" w:pos="6480"/>
        </w:tabs>
        <w:ind w:left="6480" w:hanging="180"/>
      </w:pPr>
    </w:lvl>
  </w:abstractNum>
  <w:num w:numId="1" w16cid:durableId="1909489482">
    <w:abstractNumId w:val="9"/>
  </w:num>
  <w:num w:numId="2" w16cid:durableId="1618104457">
    <w:abstractNumId w:val="7"/>
  </w:num>
  <w:num w:numId="3" w16cid:durableId="2088453132">
    <w:abstractNumId w:val="6"/>
  </w:num>
  <w:num w:numId="4" w16cid:durableId="264311742">
    <w:abstractNumId w:val="5"/>
  </w:num>
  <w:num w:numId="5" w16cid:durableId="1631276544">
    <w:abstractNumId w:val="4"/>
  </w:num>
  <w:num w:numId="6" w16cid:durableId="1847936684">
    <w:abstractNumId w:val="8"/>
  </w:num>
  <w:num w:numId="7" w16cid:durableId="541403366">
    <w:abstractNumId w:val="3"/>
  </w:num>
  <w:num w:numId="8" w16cid:durableId="1735614967">
    <w:abstractNumId w:val="2"/>
  </w:num>
  <w:num w:numId="9" w16cid:durableId="1583023402">
    <w:abstractNumId w:val="1"/>
  </w:num>
  <w:num w:numId="10" w16cid:durableId="331028007">
    <w:abstractNumId w:val="0"/>
  </w:num>
  <w:num w:numId="11" w16cid:durableId="1848519017">
    <w:abstractNumId w:val="11"/>
  </w:num>
  <w:num w:numId="12" w16cid:durableId="1479496304">
    <w:abstractNumId w:val="16"/>
  </w:num>
  <w:num w:numId="13" w16cid:durableId="1536388275">
    <w:abstractNumId w:val="15"/>
  </w:num>
  <w:num w:numId="14" w16cid:durableId="750079705">
    <w:abstractNumId w:val="13"/>
  </w:num>
  <w:num w:numId="15" w16cid:durableId="307051281">
    <w:abstractNumId w:val="14"/>
  </w:num>
  <w:num w:numId="16" w16cid:durableId="1784961206">
    <w:abstractNumId w:val="10"/>
  </w:num>
  <w:num w:numId="17" w16cid:durableId="1538546196">
    <w:abstractNumId w:val="11"/>
  </w:num>
  <w:num w:numId="18" w16cid:durableId="430131446">
    <w:abstractNumId w:val="16"/>
  </w:num>
  <w:num w:numId="19" w16cid:durableId="1747536215">
    <w:abstractNumId w:val="15"/>
  </w:num>
  <w:num w:numId="20" w16cid:durableId="481316527">
    <w:abstractNumId w:val="17"/>
  </w:num>
  <w:num w:numId="21" w16cid:durableId="11010252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C8"/>
    <w:rsid w:val="00221486"/>
    <w:rsid w:val="005F2E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833F5"/>
  <w15:chartTrackingRefBased/>
  <w15:docId w15:val="{596B142E-DDCB-45E8-BF0C-DC25C452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link w:val="TextonotaalfinalCar"/>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221486"/>
    <w:rPr>
      <w:rFonts w:ascii="Arial" w:hAnsi="Arial"/>
      <w:b/>
      <w:i/>
      <w:sz w:val="24"/>
      <w:szCs w:val="22"/>
      <w:lang w:val="en-GB" w:eastAsia="en-GB"/>
    </w:rPr>
  </w:style>
  <w:style w:type="character" w:customStyle="1" w:styleId="ATSNormalChar">
    <w:name w:val="ATS Normal Char"/>
    <w:link w:val="ATSNormal"/>
    <w:locked/>
    <w:rsid w:val="00221486"/>
    <w:rPr>
      <w:sz w:val="22"/>
      <w:szCs w:val="24"/>
      <w:lang w:val="en-GB" w:eastAsia="en-GB"/>
    </w:rPr>
  </w:style>
  <w:style w:type="character" w:customStyle="1" w:styleId="TextonotaalfinalCar">
    <w:name w:val="Texto nota al final Car"/>
    <w:link w:val="Textonotaalfinal"/>
    <w:semiHidden/>
    <w:locked/>
    <w:rsid w:val="00221486"/>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iaato.org/supporting-science/the-iaato-antarctic-fellowshi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aat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ato.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aato.org/antarctic-fellowship-recipients-announced-on-antarctic-treaty-anniversa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1526</Words>
  <Characters>9321</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2023-05-09T14:18:00Z</dcterms:modified>
</cp:coreProperties>
</file>