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BC85" w14:textId="77777777" w:rsidR="00C26F2D" w:rsidRPr="00BF077B" w:rsidRDefault="00450517" w:rsidP="00BF077B">
      <w:pPr>
        <w:pStyle w:val="ATSNormal"/>
        <w:rPr>
          <w:rStyle w:val="Ttulodellibro"/>
        </w:rPr>
      </w:pPr>
    </w:p>
    <w:p w14:paraId="459A10C9" w14:textId="77777777" w:rsidR="002F0A13" w:rsidRDefault="00450517" w:rsidP="004B4A60">
      <w:pPr>
        <w:rPr>
          <w:b/>
          <w:u w:val="single"/>
          <w:lang w:val="es-ES_tradnl"/>
        </w:rPr>
      </w:pPr>
    </w:p>
    <w:p w14:paraId="4282BA06" w14:textId="77777777" w:rsidR="002F0A13" w:rsidRDefault="00450517" w:rsidP="004B4A60">
      <w:pPr>
        <w:rPr>
          <w:b/>
          <w:u w:val="single"/>
          <w:lang w:val="es-ES_tradnl"/>
        </w:rPr>
      </w:pPr>
    </w:p>
    <w:p w14:paraId="2C274B34" w14:textId="77777777" w:rsidR="002F0A13" w:rsidRDefault="00450517" w:rsidP="004B4A60">
      <w:pPr>
        <w:rPr>
          <w:b/>
          <w:u w:val="single"/>
          <w:lang w:val="es-ES_tradnl"/>
        </w:rPr>
      </w:pPr>
    </w:p>
    <w:p w14:paraId="7A7CC741" w14:textId="77777777" w:rsidR="002F0A13" w:rsidRDefault="00450517" w:rsidP="004B4A60">
      <w:pPr>
        <w:rPr>
          <w:b/>
          <w:u w:val="single"/>
          <w:lang w:val="es-ES_tradnl"/>
        </w:rPr>
      </w:pPr>
    </w:p>
    <w:p w14:paraId="1FF4FFC0" w14:textId="77777777" w:rsidR="00C26F2D" w:rsidRDefault="00450517" w:rsidP="004B4A60">
      <w:pPr>
        <w:rPr>
          <w:b/>
          <w:u w:val="single"/>
          <w:lang w:val="es-ES_tradnl"/>
        </w:rPr>
      </w:pPr>
    </w:p>
    <w:p w14:paraId="15043B66" w14:textId="77777777" w:rsidR="004B4A60" w:rsidRPr="0057246E" w:rsidRDefault="00450517" w:rsidP="001B789F">
      <w:pPr>
        <w:pStyle w:val="ATSTitle"/>
      </w:pPr>
      <w:bookmarkStart w:id="0" w:name="name"/>
      <w:r>
        <w:t>Australian Antarctic Science Program Highlights 2022-23</w:t>
      </w:r>
      <w:bookmarkEnd w:id="0"/>
    </w:p>
    <w:p w14:paraId="5E6778F1" w14:textId="77777777" w:rsidR="004B4A60" w:rsidRPr="0057246E" w:rsidRDefault="00450517" w:rsidP="00F75424">
      <w:pPr>
        <w:jc w:val="center"/>
      </w:pPr>
    </w:p>
    <w:p w14:paraId="42979AEE" w14:textId="77777777" w:rsidR="004B4A60" w:rsidRPr="002F0A13" w:rsidRDefault="00450517" w:rsidP="002F0A13"/>
    <w:p w14:paraId="4D1F6D15" w14:textId="77777777" w:rsidR="004B4A60" w:rsidRDefault="00450517" w:rsidP="00F75424">
      <w:pPr>
        <w:jc w:val="center"/>
      </w:pPr>
      <w:bookmarkStart w:id="1" w:name="memo"/>
      <w:bookmarkEnd w:id="1"/>
    </w:p>
    <w:p w14:paraId="49A8A98D" w14:textId="77777777" w:rsidR="0097629D" w:rsidRDefault="00450517" w:rsidP="00F75424">
      <w:pPr>
        <w:jc w:val="center"/>
      </w:pPr>
    </w:p>
    <w:p w14:paraId="667D67C7" w14:textId="77777777" w:rsidR="0097629D" w:rsidRDefault="00450517" w:rsidP="00F75424">
      <w:pPr>
        <w:jc w:val="center"/>
      </w:pPr>
    </w:p>
    <w:p w14:paraId="74032A29" w14:textId="77777777" w:rsidR="0097629D" w:rsidRDefault="00450517" w:rsidP="00F75424">
      <w:pPr>
        <w:jc w:val="center"/>
      </w:pPr>
    </w:p>
    <w:p w14:paraId="3875642D" w14:textId="77777777" w:rsidR="0097629D" w:rsidRPr="00C26F2D" w:rsidRDefault="00450517" w:rsidP="00F75424">
      <w:pPr>
        <w:jc w:val="center"/>
      </w:pPr>
    </w:p>
    <w:p w14:paraId="0A90E0CD" w14:textId="77777777" w:rsidR="004B4A60" w:rsidRPr="0057246E" w:rsidRDefault="00450517" w:rsidP="004B4A60"/>
    <w:p w14:paraId="730CD2C4" w14:textId="77777777" w:rsidR="00C26F2D" w:rsidRDefault="0045051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1148CAA" w14:textId="77777777" w:rsidR="00450517" w:rsidRDefault="00450517" w:rsidP="00450517">
      <w:pPr>
        <w:pStyle w:val="ATSHeading1"/>
      </w:pPr>
      <w:r w:rsidRPr="000C6276">
        <w:lastRenderedPageBreak/>
        <w:t>Australian Antarctic Science Program</w:t>
      </w:r>
      <w:r>
        <w:t xml:space="preserve"> Highlights    2022-23</w:t>
      </w:r>
    </w:p>
    <w:p w14:paraId="7C652C4C" w14:textId="77777777" w:rsidR="00450517" w:rsidRPr="00C20AFE" w:rsidRDefault="00450517" w:rsidP="00450517">
      <w:pPr>
        <w:pStyle w:val="ATSNormal"/>
        <w:jc w:val="center"/>
        <w:rPr>
          <w:b/>
        </w:rPr>
      </w:pPr>
      <w:r>
        <w:rPr>
          <w:b/>
        </w:rPr>
        <w:t>Information Paper submitted by Australia</w:t>
      </w:r>
    </w:p>
    <w:p w14:paraId="506157F2" w14:textId="77777777" w:rsidR="00450517" w:rsidRPr="00DE77E5" w:rsidRDefault="00450517" w:rsidP="00450517">
      <w:pPr>
        <w:pStyle w:val="ATSHeading2"/>
      </w:pPr>
      <w:r w:rsidRPr="00DE77E5">
        <w:t>Sum</w:t>
      </w:r>
      <w:r>
        <w:t>mary</w:t>
      </w:r>
    </w:p>
    <w:p w14:paraId="4177ADF7" w14:textId="77777777" w:rsidR="00450517" w:rsidRDefault="00450517" w:rsidP="00450517">
      <w:pPr>
        <w:pStyle w:val="ATSNormal"/>
      </w:pPr>
      <w:r>
        <w:t>Australia operated a successful Antarctic science program in 2022-23. Forty-seven</w:t>
      </w:r>
      <w:r w:rsidRPr="00BD1F0E">
        <w:t xml:space="preserve"> projects we</w:t>
      </w:r>
      <w:r>
        <w:t>re supported, across multiple disciplines and through strong collaboration with Australian and international research programs and institutions. Research highlights include: retrieval of the first test ice cores from the site of the Million Year Ice Core Project; participation in the International Year of Polar Prediction – Southern Hemisphere (YOPP-SH), with Davis station acting as the East Antarctica super site; establishment of a field camp in the Bunger Hills to support the upcoming Denman Terrestrial Campaign; and field work at Australia’s three continental stations to support ongoing climate science, wildlife monitoring, and environmental protection and management.</w:t>
      </w:r>
    </w:p>
    <w:p w14:paraId="2759A869" w14:textId="77777777" w:rsidR="00450517" w:rsidRPr="00B72419" w:rsidRDefault="00450517" w:rsidP="00450517">
      <w:pPr>
        <w:pStyle w:val="ATSHeading2"/>
      </w:pPr>
      <w:r w:rsidRPr="00B72419">
        <w:t>Overview</w:t>
      </w:r>
    </w:p>
    <w:p w14:paraId="359E8928" w14:textId="77777777" w:rsidR="00450517" w:rsidRPr="00241665" w:rsidRDefault="00450517" w:rsidP="00450517">
      <w:pPr>
        <w:pStyle w:val="ATSNormal"/>
      </w:pPr>
      <w:r w:rsidRPr="00241665">
        <w:t xml:space="preserve">The Australian Antarctic Science Program </w:t>
      </w:r>
      <w:r>
        <w:t xml:space="preserve">(AASP) </w:t>
      </w:r>
      <w:r w:rsidRPr="00241665">
        <w:t xml:space="preserve">is made up of Australian </w:t>
      </w:r>
      <w:r>
        <w:t>G</w:t>
      </w:r>
      <w:r w:rsidRPr="00241665">
        <w:t xml:space="preserve">overnment agencies and Australian and international </w:t>
      </w:r>
      <w:r w:rsidRPr="002D3ACF">
        <w:t xml:space="preserve">universities and research institutions. In 2022/23 the program undertook 47 science projects across multiple disciplines. Well over 50 per cent of these projects included international collaborations across 23 countries. The </w:t>
      </w:r>
      <w:r>
        <w:t>AASP</w:t>
      </w:r>
      <w:r w:rsidRPr="002D3ACF">
        <w:t xml:space="preserve"> continues to benefit enormously from national and international research and operational collaborations.</w:t>
      </w:r>
    </w:p>
    <w:p w14:paraId="1E00822C" w14:textId="77777777" w:rsidR="00450517" w:rsidRPr="00241665" w:rsidRDefault="00450517" w:rsidP="00450517">
      <w:pPr>
        <w:pStyle w:val="ATSNormal"/>
      </w:pPr>
      <w:r w:rsidRPr="00241665">
        <w:t xml:space="preserve">The </w:t>
      </w:r>
      <w:r>
        <w:t>p</w:t>
      </w:r>
      <w:r w:rsidRPr="00241665">
        <w:t xml:space="preserve">rogram has a strong focus on research designed to inform the protection and management of Antarctica. This includes research that contributes to understanding and addressing regional and global issues through international organisations such as the Committee for Environmental Protection (CEP) and Antarctic Treaty Consultative Meeting (ATCM), the Commission for the Conservation of Antarctic Marine Living Resources (CCAMLR), the Intergovernmental Panel on Climate Change (IPCC), </w:t>
      </w:r>
      <w:r>
        <w:t xml:space="preserve">the </w:t>
      </w:r>
      <w:r w:rsidRPr="00241665">
        <w:t xml:space="preserve">International Whaling Commission (IWC), and </w:t>
      </w:r>
      <w:r>
        <w:t xml:space="preserve">the </w:t>
      </w:r>
      <w:r w:rsidRPr="00241665">
        <w:t>Agreement on the Conservation of Albatrosses and Petrels (ACAP).</w:t>
      </w:r>
    </w:p>
    <w:p w14:paraId="148EA622" w14:textId="77777777" w:rsidR="00450517" w:rsidRDefault="00450517" w:rsidP="00450517">
      <w:pPr>
        <w:pStyle w:val="ATSNormal"/>
      </w:pPr>
      <w:r w:rsidRPr="00241665">
        <w:t xml:space="preserve">The Australian Antarctic Division (AAD) of the Department of </w:t>
      </w:r>
      <w:r>
        <w:t>Climate Change, Energy, the Environment and Water l</w:t>
      </w:r>
      <w:r w:rsidRPr="00241665">
        <w:t xml:space="preserve">eads, manages and coordinates the </w:t>
      </w:r>
      <w:r>
        <w:t>AASP with oversight provided by the Australian Antarctic Science Council</w:t>
      </w:r>
      <w:r w:rsidRPr="00241665">
        <w:t xml:space="preserve">. Public summaries of all science projects, past and present, are available on the </w:t>
      </w:r>
      <w:hyperlink r:id="rId11" w:history="1">
        <w:r w:rsidRPr="00241665">
          <w:rPr>
            <w:rStyle w:val="Hipervnculo"/>
          </w:rPr>
          <w:t>AAD website</w:t>
        </w:r>
      </w:hyperlink>
      <w:r w:rsidRPr="00241665">
        <w:t>.</w:t>
      </w:r>
      <w:r>
        <w:t xml:space="preserve"> </w:t>
      </w:r>
    </w:p>
    <w:p w14:paraId="3F881927" w14:textId="77777777" w:rsidR="00450517" w:rsidRPr="00290645" w:rsidRDefault="00450517" w:rsidP="00450517">
      <w:pPr>
        <w:pStyle w:val="ATSNormal"/>
        <w:rPr>
          <w:szCs w:val="22"/>
          <w:lang w:val="en-AU"/>
        </w:rPr>
      </w:pPr>
      <w:r w:rsidRPr="00290645">
        <w:t xml:space="preserve">In 2022, two new programs were initiated at the </w:t>
      </w:r>
      <w:r>
        <w:t>AAD</w:t>
      </w:r>
      <w:r w:rsidRPr="00290645">
        <w:t xml:space="preserve"> – the East Antarctic Monitoring Program (EAMP) and the Integrated Digital East Antarctica Program (IDEA). </w:t>
      </w:r>
      <w:r>
        <w:t>EAMP</w:t>
      </w:r>
      <w:r w:rsidRPr="00290645">
        <w:t xml:space="preserve"> will provide a framework for sustained, long-term scientific observations of essential biological and physico-chemical variables in East Antarctica and the Southern Ocean. IDEA will facilitate and coordinate the acquisition, integration, analysis, synthesis and delivery of Antarctic and Southern Ocean data and data products, providing seamless access to multiple and integrated sources of data and data products to underpin science and inform decision making. Both initiatives will facilitate collaboration and cooperation nationally and internationally. </w:t>
      </w:r>
    </w:p>
    <w:p w14:paraId="6339CCD9" w14:textId="77777777" w:rsidR="00450517" w:rsidRDefault="00450517" w:rsidP="00450517">
      <w:pPr>
        <w:pStyle w:val="ATSBullet1"/>
        <w:numPr>
          <w:ilvl w:val="0"/>
          <w:numId w:val="0"/>
        </w:numPr>
        <w:spacing w:before="0"/>
        <w:rPr>
          <w:szCs w:val="22"/>
        </w:rPr>
      </w:pPr>
      <w:r>
        <w:t>Work is currently underway to develop a decadal plan for Australian Antarctic science. The decadal plan</w:t>
      </w:r>
      <w:r w:rsidRPr="00934055">
        <w:t xml:space="preserve"> </w:t>
      </w:r>
      <w:r w:rsidRPr="00934055">
        <w:rPr>
          <w:szCs w:val="22"/>
        </w:rPr>
        <w:t xml:space="preserve">will </w:t>
      </w:r>
      <w:r>
        <w:rPr>
          <w:szCs w:val="22"/>
        </w:rPr>
        <w:t xml:space="preserve">establish a strategically prioritised, integrated and collaborative Australian Antarctic Science Program and will: </w:t>
      </w:r>
    </w:p>
    <w:p w14:paraId="3B749F50" w14:textId="77777777" w:rsidR="00450517" w:rsidRPr="00C63B9C" w:rsidRDefault="00450517" w:rsidP="00450517">
      <w:pPr>
        <w:pStyle w:val="ATSBullet1"/>
        <w:numPr>
          <w:ilvl w:val="0"/>
          <w:numId w:val="11"/>
        </w:numPr>
      </w:pPr>
      <w:r w:rsidRPr="00C63B9C">
        <w:t>articulat</w:t>
      </w:r>
      <w:r>
        <w:t>e</w:t>
      </w:r>
      <w:r w:rsidRPr="00C63B9C">
        <w:t xml:space="preserve"> the priority science questions and policy needs to be addressed by </w:t>
      </w:r>
      <w:r>
        <w:t xml:space="preserve">Australian </w:t>
      </w:r>
      <w:r w:rsidRPr="00C63B9C">
        <w:t>Government supported research over the next 10 years</w:t>
      </w:r>
      <w:r>
        <w:t>;</w:t>
      </w:r>
    </w:p>
    <w:p w14:paraId="04108AEB" w14:textId="77777777" w:rsidR="00450517" w:rsidRPr="00C63B9C" w:rsidRDefault="00450517" w:rsidP="00450517">
      <w:pPr>
        <w:pStyle w:val="ATSBullet1"/>
        <w:numPr>
          <w:ilvl w:val="0"/>
          <w:numId w:val="11"/>
        </w:numPr>
      </w:pPr>
      <w:r w:rsidRPr="00C63B9C">
        <w:t>identify the research programs that will be conducted to address these priorities</w:t>
      </w:r>
      <w:r>
        <w:t>; and</w:t>
      </w:r>
    </w:p>
    <w:p w14:paraId="09AE1E75" w14:textId="77777777" w:rsidR="00450517" w:rsidRPr="00C63B9C" w:rsidRDefault="00450517" w:rsidP="00450517">
      <w:pPr>
        <w:pStyle w:val="ATSBullet1"/>
        <w:numPr>
          <w:ilvl w:val="0"/>
          <w:numId w:val="11"/>
        </w:numPr>
      </w:pPr>
      <w:r w:rsidRPr="00C63B9C">
        <w:lastRenderedPageBreak/>
        <w:t>assess the existing and required capabilities to address these priorities, identifying any gaps, and developing plans to fill these gaps</w:t>
      </w:r>
      <w:r>
        <w:t xml:space="preserve">, </w:t>
      </w:r>
      <w:r w:rsidRPr="00C63B9C">
        <w:t>and setting out agreed deliverables, timelines, performance measures and responsibilities</w:t>
      </w:r>
      <w:r>
        <w:t>.</w:t>
      </w:r>
    </w:p>
    <w:p w14:paraId="77D3341C" w14:textId="77777777" w:rsidR="00450517" w:rsidRDefault="00450517" w:rsidP="00450517">
      <w:pPr>
        <w:pStyle w:val="ATSNormal"/>
      </w:pPr>
      <w:r w:rsidRPr="007F4510">
        <w:t>The</w:t>
      </w:r>
      <w:r>
        <w:t xml:space="preserve"> decadal plan</w:t>
      </w:r>
      <w:r w:rsidRPr="00934055">
        <w:t xml:space="preserve"> </w:t>
      </w:r>
      <w:r>
        <w:t>is expected to be completed by the end of 2023.</w:t>
      </w:r>
    </w:p>
    <w:p w14:paraId="7C830C8E" w14:textId="77777777" w:rsidR="00450517" w:rsidRDefault="00450517" w:rsidP="00450517">
      <w:pPr>
        <w:pStyle w:val="ATSHeading2"/>
      </w:pPr>
      <w:r>
        <w:t>Research Highlights</w:t>
      </w:r>
      <w:r w:rsidRPr="00B72419">
        <w:t xml:space="preserve"> 20</w:t>
      </w:r>
      <w:r>
        <w:t>22-</w:t>
      </w:r>
      <w:r w:rsidRPr="00B72419">
        <w:t>2</w:t>
      </w:r>
      <w:r>
        <w:t>3</w:t>
      </w:r>
    </w:p>
    <w:p w14:paraId="4A85A37D" w14:textId="77777777" w:rsidR="00450517" w:rsidRDefault="00450517" w:rsidP="00450517">
      <w:pPr>
        <w:pStyle w:val="ATSHeading3"/>
        <w:rPr>
          <w:lang w:val="en-AU"/>
        </w:rPr>
      </w:pPr>
      <w:r>
        <w:rPr>
          <w:lang w:val="en-AU"/>
        </w:rPr>
        <w:t>Million Year Ice Core project</w:t>
      </w:r>
    </w:p>
    <w:p w14:paraId="03DDCEA7" w14:textId="77777777" w:rsidR="00450517" w:rsidRPr="00286105" w:rsidRDefault="00450517" w:rsidP="00450517">
      <w:pPr>
        <w:pStyle w:val="ATSNormal"/>
        <w:rPr>
          <w:lang w:val="en-AU"/>
        </w:rPr>
      </w:pPr>
      <w:r w:rsidRPr="00286105">
        <w:rPr>
          <w:lang w:val="en-AU"/>
        </w:rPr>
        <w:t xml:space="preserve">Australia </w:t>
      </w:r>
      <w:r>
        <w:rPr>
          <w:lang w:val="en-AU"/>
        </w:rPr>
        <w:t>completed</w:t>
      </w:r>
      <w:r w:rsidRPr="00286105">
        <w:rPr>
          <w:lang w:val="en-AU"/>
        </w:rPr>
        <w:t xml:space="preserve"> the first journey to the </w:t>
      </w:r>
      <w:r>
        <w:rPr>
          <w:lang w:val="en-AU"/>
        </w:rPr>
        <w:t xml:space="preserve">drill </w:t>
      </w:r>
      <w:r w:rsidRPr="00286105">
        <w:rPr>
          <w:lang w:val="en-AU"/>
        </w:rPr>
        <w:t xml:space="preserve">site </w:t>
      </w:r>
      <w:r>
        <w:rPr>
          <w:lang w:val="en-AU"/>
        </w:rPr>
        <w:t>for</w:t>
      </w:r>
      <w:r w:rsidRPr="00286105">
        <w:rPr>
          <w:lang w:val="en-AU"/>
        </w:rPr>
        <w:t xml:space="preserve"> the Million Year Ice Core </w:t>
      </w:r>
      <w:r>
        <w:rPr>
          <w:lang w:val="en-AU"/>
        </w:rPr>
        <w:t>project, at Little Dome C, 1200 km inland from Casey station at an elevation of 3200 m</w:t>
      </w:r>
      <w:r w:rsidRPr="00286105">
        <w:rPr>
          <w:lang w:val="en-AU"/>
        </w:rPr>
        <w:t xml:space="preserve">. </w:t>
      </w:r>
      <w:r>
        <w:rPr>
          <w:lang w:val="en-AU"/>
        </w:rPr>
        <w:t>T</w:t>
      </w:r>
      <w:r w:rsidRPr="00286105">
        <w:rPr>
          <w:lang w:val="en-AU"/>
        </w:rPr>
        <w:t xml:space="preserve">he team proved a safe 2300 km round trip path to the site while testing </w:t>
      </w:r>
      <w:r>
        <w:rPr>
          <w:lang w:val="en-AU"/>
        </w:rPr>
        <w:t xml:space="preserve">the </w:t>
      </w:r>
      <w:r w:rsidRPr="00286105">
        <w:rPr>
          <w:lang w:val="en-AU"/>
        </w:rPr>
        <w:t xml:space="preserve">tractors and traverse machinery required to transport </w:t>
      </w:r>
      <w:r>
        <w:rPr>
          <w:lang w:val="en-AU"/>
        </w:rPr>
        <w:t>all the people and equipment. The team also successfully</w:t>
      </w:r>
      <w:r w:rsidRPr="00286105">
        <w:rPr>
          <w:lang w:val="en-AU"/>
        </w:rPr>
        <w:t xml:space="preserve"> collect</w:t>
      </w:r>
      <w:r>
        <w:rPr>
          <w:lang w:val="en-AU"/>
        </w:rPr>
        <w:t xml:space="preserve">ed </w:t>
      </w:r>
      <w:r w:rsidRPr="00286105">
        <w:rPr>
          <w:lang w:val="en-AU"/>
        </w:rPr>
        <w:t xml:space="preserve">the first </w:t>
      </w:r>
      <w:r>
        <w:rPr>
          <w:lang w:val="en-AU"/>
        </w:rPr>
        <w:t xml:space="preserve">ice </w:t>
      </w:r>
      <w:r w:rsidRPr="00286105">
        <w:rPr>
          <w:lang w:val="en-AU"/>
        </w:rPr>
        <w:t>cores</w:t>
      </w:r>
      <w:r>
        <w:rPr>
          <w:lang w:val="en-AU"/>
        </w:rPr>
        <w:t>, representing the climate record over the past 200 years,</w:t>
      </w:r>
      <w:r w:rsidRPr="00286105">
        <w:rPr>
          <w:lang w:val="en-AU"/>
        </w:rPr>
        <w:t xml:space="preserve"> </w:t>
      </w:r>
      <w:r>
        <w:rPr>
          <w:lang w:val="en-AU"/>
        </w:rPr>
        <w:t xml:space="preserve">which </w:t>
      </w:r>
      <w:r w:rsidRPr="00286105">
        <w:rPr>
          <w:lang w:val="en-AU"/>
        </w:rPr>
        <w:t xml:space="preserve">were successfully flown back to Australia </w:t>
      </w:r>
      <w:r>
        <w:rPr>
          <w:lang w:val="en-AU"/>
        </w:rPr>
        <w:t>without degradation or defrosting</w:t>
      </w:r>
      <w:r w:rsidRPr="00286105">
        <w:rPr>
          <w:lang w:val="en-AU"/>
        </w:rPr>
        <w:t xml:space="preserve">. </w:t>
      </w:r>
      <w:r>
        <w:rPr>
          <w:lang w:val="en-AU"/>
        </w:rPr>
        <w:t xml:space="preserve">The 2023-24 season </w:t>
      </w:r>
      <w:r w:rsidRPr="00286105">
        <w:rPr>
          <w:shd w:val="clear" w:color="auto" w:fill="FEFEFE"/>
        </w:rPr>
        <w:t xml:space="preserve">will see drilling begin to retrieve an ice core to an ultimate depth of 2.8 km. </w:t>
      </w:r>
      <w:r w:rsidRPr="00286105">
        <w:rPr>
          <w:lang w:val="en-AU"/>
        </w:rPr>
        <w:t>This project will provide new information to test climate models and resolve long-standing questions about the timing of ice ages.</w:t>
      </w:r>
      <w:r>
        <w:rPr>
          <w:lang w:val="en-AU"/>
        </w:rPr>
        <w:t xml:space="preserve"> Further information about the project is available </w:t>
      </w:r>
      <w:hyperlink r:id="rId12" w:history="1">
        <w:r w:rsidRPr="00135034">
          <w:rPr>
            <w:rStyle w:val="Hipervnculo"/>
            <w:lang w:val="en-AU"/>
          </w:rPr>
          <w:t>the AAD website</w:t>
        </w:r>
      </w:hyperlink>
      <w:r>
        <w:rPr>
          <w:lang w:val="en-AU"/>
        </w:rPr>
        <w:t xml:space="preserve">. </w:t>
      </w:r>
    </w:p>
    <w:p w14:paraId="6F4D80C8" w14:textId="77777777" w:rsidR="00450517" w:rsidRDefault="00450517" w:rsidP="00450517">
      <w:pPr>
        <w:pStyle w:val="ATSNormal"/>
        <w:jc w:val="center"/>
      </w:pPr>
      <w:r>
        <w:rPr>
          <w:noProof/>
          <w:lang w:val="en-AU" w:eastAsia="en-AU"/>
        </w:rPr>
        <w:drawing>
          <wp:inline distT="0" distB="0" distL="0" distR="0" wp14:anchorId="7C7B7CED" wp14:editId="28748909">
            <wp:extent cx="4990864" cy="3757965"/>
            <wp:effectExtent l="0" t="0" r="635" b="0"/>
            <wp:docPr id="1" name="Picture 1" descr="Personas paradas en la nie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as paradas en la nieve&#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3695" cy="3760097"/>
                    </a:xfrm>
                    <a:prstGeom prst="rect">
                      <a:avLst/>
                    </a:prstGeom>
                  </pic:spPr>
                </pic:pic>
              </a:graphicData>
            </a:graphic>
          </wp:inline>
        </w:drawing>
      </w:r>
    </w:p>
    <w:p w14:paraId="0B5267A1" w14:textId="77777777" w:rsidR="00450517" w:rsidRDefault="00450517" w:rsidP="00450517">
      <w:pPr>
        <w:pStyle w:val="ATSNormal"/>
        <w:jc w:val="center"/>
        <w:rPr>
          <w:i/>
        </w:rPr>
      </w:pPr>
      <w:r w:rsidRPr="006C046B">
        <w:rPr>
          <w:i/>
        </w:rPr>
        <w:t>Test drill</w:t>
      </w:r>
      <w:r>
        <w:rPr>
          <w:i/>
        </w:rPr>
        <w:t>ing</w:t>
      </w:r>
      <w:r w:rsidRPr="006C046B">
        <w:rPr>
          <w:i/>
        </w:rPr>
        <w:t xml:space="preserve"> for the Million Year Ice Core Project</w:t>
      </w:r>
      <w:r>
        <w:rPr>
          <w:i/>
        </w:rPr>
        <w:t xml:space="preserve"> at Little Dome C</w:t>
      </w:r>
      <w:r w:rsidRPr="006C046B">
        <w:rPr>
          <w:i/>
        </w:rPr>
        <w:t>. (Phot</w:t>
      </w:r>
      <w:r>
        <w:rPr>
          <w:i/>
        </w:rPr>
        <w:t>o</w:t>
      </w:r>
      <w:r w:rsidRPr="006C046B">
        <w:rPr>
          <w:i/>
        </w:rPr>
        <w:t xml:space="preserve">: </w:t>
      </w:r>
      <w:r>
        <w:rPr>
          <w:i/>
        </w:rPr>
        <w:t>AAD</w:t>
      </w:r>
      <w:r w:rsidRPr="006C046B">
        <w:rPr>
          <w:i/>
        </w:rPr>
        <w:t>)</w:t>
      </w:r>
    </w:p>
    <w:p w14:paraId="735E3F69" w14:textId="77777777" w:rsidR="00450517" w:rsidRDefault="00450517" w:rsidP="00450517">
      <w:pPr>
        <w:pStyle w:val="ATSHeading3"/>
        <w:rPr>
          <w:lang w:val="en-AU"/>
        </w:rPr>
      </w:pPr>
      <w:r>
        <w:rPr>
          <w:lang w:val="en-AU"/>
        </w:rPr>
        <w:t>Preparations for Denman Terrestrial Campaign</w:t>
      </w:r>
    </w:p>
    <w:p w14:paraId="01B39AA1" w14:textId="77777777" w:rsidR="00450517" w:rsidRDefault="00450517" w:rsidP="00450517">
      <w:pPr>
        <w:pStyle w:val="ATSNormal"/>
        <w:rPr>
          <w:color w:val="000000" w:themeColor="text1"/>
          <w:lang w:val="en-AU"/>
        </w:rPr>
      </w:pPr>
      <w:r>
        <w:rPr>
          <w:lang w:val="en-AU"/>
        </w:rPr>
        <w:t xml:space="preserve">A </w:t>
      </w:r>
      <w:r w:rsidRPr="001F1AA6">
        <w:rPr>
          <w:lang w:val="en-AU"/>
        </w:rPr>
        <w:t>field camp w</w:t>
      </w:r>
      <w:r>
        <w:rPr>
          <w:lang w:val="en-AU"/>
        </w:rPr>
        <w:t xml:space="preserve">as </w:t>
      </w:r>
      <w:r w:rsidRPr="001F1AA6">
        <w:rPr>
          <w:lang w:val="en-AU"/>
        </w:rPr>
        <w:t>established</w:t>
      </w:r>
      <w:r>
        <w:rPr>
          <w:lang w:val="en-AU"/>
        </w:rPr>
        <w:t xml:space="preserve"> </w:t>
      </w:r>
      <w:r w:rsidRPr="001F1AA6">
        <w:rPr>
          <w:lang w:val="en-AU"/>
        </w:rPr>
        <w:t>at Edgeworth David Base, 440 k</w:t>
      </w:r>
      <w:r>
        <w:rPr>
          <w:lang w:val="en-AU"/>
        </w:rPr>
        <w:t>m</w:t>
      </w:r>
      <w:r w:rsidRPr="001F1AA6">
        <w:rPr>
          <w:lang w:val="en-AU"/>
        </w:rPr>
        <w:t xml:space="preserve"> west of Casey station </w:t>
      </w:r>
      <w:r>
        <w:rPr>
          <w:lang w:val="en-AU"/>
        </w:rPr>
        <w:t xml:space="preserve">in the Bunger Hills, </w:t>
      </w:r>
      <w:r w:rsidRPr="001F1AA6">
        <w:rPr>
          <w:lang w:val="en-AU"/>
        </w:rPr>
        <w:t>near the Denman Glacier.</w:t>
      </w:r>
      <w:r>
        <w:rPr>
          <w:lang w:val="en-AU"/>
        </w:rPr>
        <w:t xml:space="preserve"> Commencing next season, the camp wi</w:t>
      </w:r>
      <w:r w:rsidRPr="001F1AA6">
        <w:rPr>
          <w:lang w:val="en-AU"/>
        </w:rPr>
        <w:t xml:space="preserve">ll support </w:t>
      </w:r>
      <w:r>
        <w:rPr>
          <w:lang w:val="en-AU"/>
        </w:rPr>
        <w:t>the</w:t>
      </w:r>
      <w:r w:rsidRPr="001F1AA6">
        <w:rPr>
          <w:lang w:val="en-AU"/>
        </w:rPr>
        <w:t xml:space="preserve"> three-year </w:t>
      </w:r>
      <w:r>
        <w:rPr>
          <w:lang w:val="en-AU"/>
        </w:rPr>
        <w:t xml:space="preserve">Denman Terrestrial Campaign, which will address key research questions including the risk of ice mass loss over time and the </w:t>
      </w:r>
      <w:r w:rsidRPr="00E45123">
        <w:rPr>
          <w:color w:val="000000" w:themeColor="text1"/>
          <w:lang w:val="en-AU"/>
        </w:rPr>
        <w:t>responses of biodiversity to climate and environmental change.</w:t>
      </w:r>
      <w:r>
        <w:rPr>
          <w:color w:val="000000" w:themeColor="text1"/>
          <w:lang w:val="en-AU"/>
        </w:rPr>
        <w:t xml:space="preserve"> </w:t>
      </w:r>
      <w:r>
        <w:rPr>
          <w:lang w:val="en-AU"/>
        </w:rPr>
        <w:t xml:space="preserve">Further information about the project is available on the </w:t>
      </w:r>
      <w:hyperlink r:id="rId14" w:history="1">
        <w:r w:rsidRPr="00A737AF">
          <w:rPr>
            <w:rStyle w:val="Hipervnculo"/>
            <w:lang w:val="en-AU"/>
          </w:rPr>
          <w:t>AAD website</w:t>
        </w:r>
      </w:hyperlink>
      <w:r>
        <w:rPr>
          <w:lang w:val="en-AU"/>
        </w:rPr>
        <w:t xml:space="preserve">. </w:t>
      </w:r>
    </w:p>
    <w:p w14:paraId="623FD326" w14:textId="77777777" w:rsidR="00450517" w:rsidRPr="00E45123" w:rsidRDefault="00450517" w:rsidP="00450517">
      <w:pPr>
        <w:pStyle w:val="ATSHeading3"/>
        <w:rPr>
          <w:lang w:val="en-AU"/>
        </w:rPr>
      </w:pPr>
      <w:r>
        <w:rPr>
          <w:lang w:val="en-AU"/>
        </w:rPr>
        <w:t>Contribution to International Year of Polar Prediction</w:t>
      </w:r>
    </w:p>
    <w:p w14:paraId="45944FA5" w14:textId="77777777" w:rsidR="00450517" w:rsidRDefault="00450517" w:rsidP="00450517">
      <w:pPr>
        <w:pStyle w:val="ATSNormal"/>
      </w:pPr>
      <w:r w:rsidRPr="00E45123">
        <w:t xml:space="preserve">The AAD contributed to the </w:t>
      </w:r>
      <w:r>
        <w:t>I</w:t>
      </w:r>
      <w:r w:rsidRPr="00E45123">
        <w:t>nternational Year of Polar Predict</w:t>
      </w:r>
      <w:r>
        <w:t>ion</w:t>
      </w:r>
      <w:r w:rsidRPr="00E45123">
        <w:t xml:space="preserve"> – Southern Hemisphere (YOPP-SH) co-ordinated field campaign around Antarctica from April – August 2022, with </w:t>
      </w:r>
      <w:r w:rsidRPr="00E45123">
        <w:lastRenderedPageBreak/>
        <w:t xml:space="preserve">Davis </w:t>
      </w:r>
      <w:r>
        <w:t xml:space="preserve">station </w:t>
      </w:r>
      <w:r w:rsidRPr="00E45123">
        <w:t>acting as the East Antarctic</w:t>
      </w:r>
      <w:r>
        <w:t>a</w:t>
      </w:r>
      <w:r w:rsidRPr="00E45123">
        <w:t xml:space="preserve"> supersite. One of the YOPP-SH goals is to challenge numerical prediction models by presenting them with detailed cloud and snowfall observations. A suite of instruments operated at Davis collected data for this purpose. These data will be used to evaluate and improve the performance of high-resolution models </w:t>
      </w:r>
      <w:r>
        <w:t>for</w:t>
      </w:r>
      <w:r w:rsidRPr="00E45123">
        <w:t xml:space="preserve"> the Davis region.</w:t>
      </w:r>
    </w:p>
    <w:p w14:paraId="65C03A91" w14:textId="77777777" w:rsidR="00450517" w:rsidRDefault="00450517" w:rsidP="00450517">
      <w:pPr>
        <w:pStyle w:val="ATSHeading3"/>
        <w:keepNext/>
      </w:pPr>
      <w:r>
        <w:t>Marine acoustics research</w:t>
      </w:r>
    </w:p>
    <w:p w14:paraId="1A93AD69" w14:textId="77777777" w:rsidR="00450517" w:rsidRDefault="00450517" w:rsidP="00450517">
      <w:pPr>
        <w:pStyle w:val="ATSNormal"/>
      </w:pPr>
      <w:bookmarkStart w:id="8" w:name="_Hlk132097635"/>
      <w:r w:rsidRPr="00290645">
        <w:t xml:space="preserve">The annual recovery and deployment of </w:t>
      </w:r>
      <w:r>
        <w:t>a</w:t>
      </w:r>
      <w:r w:rsidRPr="00290645">
        <w:t xml:space="preserve"> moored acoustic recorder (MAR) off Casey </w:t>
      </w:r>
      <w:r>
        <w:t>s</w:t>
      </w:r>
      <w:r w:rsidRPr="00290645">
        <w:t xml:space="preserve">tation was successfully completed. </w:t>
      </w:r>
      <w:r>
        <w:t>This</w:t>
      </w:r>
      <w:r w:rsidRPr="00290645">
        <w:t xml:space="preserve"> mark</w:t>
      </w:r>
      <w:r>
        <w:t>ed</w:t>
      </w:r>
      <w:r w:rsidRPr="00290645">
        <w:t xml:space="preserve"> the AAD's 10</w:t>
      </w:r>
      <w:r w:rsidRPr="00095D20">
        <w:rPr>
          <w:vertAlign w:val="superscript"/>
        </w:rPr>
        <w:t>th</w:t>
      </w:r>
      <w:r>
        <w:t xml:space="preserve"> </w:t>
      </w:r>
      <w:r w:rsidRPr="00290645">
        <w:t>consecutive year of long-term autonomous underwater acoustic monitoring off East Antarctica, and the 15</w:t>
      </w:r>
      <w:r w:rsidRPr="00095D20">
        <w:rPr>
          <w:vertAlign w:val="superscript"/>
        </w:rPr>
        <w:t>th</w:t>
      </w:r>
      <w:r>
        <w:t xml:space="preserve"> </w:t>
      </w:r>
      <w:r w:rsidRPr="00290645">
        <w:t>year of data</w:t>
      </w:r>
      <w:r>
        <w:t xml:space="preserve"> collection</w:t>
      </w:r>
      <w:r w:rsidRPr="00290645">
        <w:t xml:space="preserve">. The hundreds of thousands of hours of Antarctic underwater sounds recorded by these moorings, and those of international collaborators, are one of </w:t>
      </w:r>
      <w:r>
        <w:t>IWC</w:t>
      </w:r>
      <w:r w:rsidRPr="00290645">
        <w:t>’s primary modern data</w:t>
      </w:r>
      <w:r>
        <w:t xml:space="preserve"> </w:t>
      </w:r>
      <w:r w:rsidRPr="00290645">
        <w:t xml:space="preserve">sources </w:t>
      </w:r>
      <w:r>
        <w:t xml:space="preserve">for </w:t>
      </w:r>
      <w:r w:rsidRPr="00290645">
        <w:t xml:space="preserve">critically endangered Antarctic blue whales, and also provide valuable information on a dozen other Antarctic animals. The data also provide a means of monitoring for trends in sounds of ice, storms, </w:t>
      </w:r>
      <w:r>
        <w:t>and</w:t>
      </w:r>
      <w:r w:rsidRPr="00290645">
        <w:t xml:space="preserve"> human activities including shipping</w:t>
      </w:r>
      <w:r>
        <w:t xml:space="preserve"> and</w:t>
      </w:r>
      <w:r w:rsidRPr="00290645">
        <w:t xml:space="preserve"> geophysical surveys. </w:t>
      </w:r>
      <w:r>
        <w:t>Australia’s</w:t>
      </w:r>
      <w:r w:rsidRPr="00290645">
        <w:t xml:space="preserve"> present fleet of </w:t>
      </w:r>
      <w:r>
        <w:t xml:space="preserve">Antarctic </w:t>
      </w:r>
      <w:r w:rsidRPr="00290645">
        <w:t>MARs were designed, built, and have been operated by AAD</w:t>
      </w:r>
      <w:r>
        <w:t xml:space="preserve"> Science Technical Support</w:t>
      </w:r>
      <w:r w:rsidRPr="00290645">
        <w:t xml:space="preserve"> since 2013.</w:t>
      </w:r>
    </w:p>
    <w:p w14:paraId="2E705BBA" w14:textId="77777777" w:rsidR="00450517" w:rsidRPr="00290645" w:rsidRDefault="00450517" w:rsidP="00450517">
      <w:pPr>
        <w:pStyle w:val="ATSHeading3"/>
      </w:pPr>
      <w:r>
        <w:t>Australian Research Council Special Research Initiatives – SAEF and ACEAS</w:t>
      </w:r>
    </w:p>
    <w:bookmarkEnd w:id="8"/>
    <w:p w14:paraId="277BCC75" w14:textId="77777777" w:rsidR="00450517" w:rsidRPr="00290645" w:rsidRDefault="00450517" w:rsidP="00450517">
      <w:pPr>
        <w:pStyle w:val="ATSNormal"/>
        <w:rPr>
          <w:shd w:val="clear" w:color="auto" w:fill="FFFFFF"/>
        </w:rPr>
      </w:pPr>
      <w:r w:rsidRPr="00290645">
        <w:rPr>
          <w:shd w:val="clear" w:color="auto" w:fill="FFFFFF"/>
        </w:rPr>
        <w:t xml:space="preserve">A </w:t>
      </w:r>
      <w:r w:rsidRPr="00290645">
        <w:rPr>
          <w:i/>
        </w:rPr>
        <w:t>Securing Antarctica’s Environmental Future</w:t>
      </w:r>
      <w:r w:rsidRPr="00290645">
        <w:t xml:space="preserve"> (SAEF) project </w:t>
      </w:r>
      <w:r>
        <w:t xml:space="preserve">team </w:t>
      </w:r>
      <w:r w:rsidRPr="00290645">
        <w:rPr>
          <w:shd w:val="clear" w:color="auto" w:fill="FFFFFF"/>
        </w:rPr>
        <w:t xml:space="preserve">used drones, artificial intelligence and machine learning </w:t>
      </w:r>
      <w:r>
        <w:rPr>
          <w:shd w:val="clear" w:color="auto" w:fill="FFFFFF"/>
        </w:rPr>
        <w:t xml:space="preserve">over </w:t>
      </w:r>
      <w:r w:rsidRPr="00290645">
        <w:rPr>
          <w:shd w:val="clear" w:color="auto" w:fill="FFFFFF"/>
        </w:rPr>
        <w:t xml:space="preserve">two months at Casey </w:t>
      </w:r>
      <w:r>
        <w:rPr>
          <w:shd w:val="clear" w:color="auto" w:fill="FFFFFF"/>
        </w:rPr>
        <w:t>s</w:t>
      </w:r>
      <w:r w:rsidRPr="00290645">
        <w:rPr>
          <w:shd w:val="clear" w:color="auto" w:fill="FFFFFF"/>
        </w:rPr>
        <w:t xml:space="preserve">tation to develop improved methods to monitor the moss beds that have been shown to be declining in general health over the past 20 years. The new technology included a world-first state-of-the-art monitoring platform, the “Artificial </w:t>
      </w:r>
      <w:r w:rsidRPr="008B0EBD">
        <w:t>Intelligence</w:t>
      </w:r>
      <w:r w:rsidRPr="00290645">
        <w:rPr>
          <w:shd w:val="clear" w:color="auto" w:fill="FFFFFF"/>
        </w:rPr>
        <w:t xml:space="preserve"> of Things” (AIoT) platform, which allows for continuous images of the moss beds, air and moss temperatures, light intensity, humidity and soil-air energy exchange to be </w:t>
      </w:r>
      <w:r>
        <w:rPr>
          <w:shd w:val="clear" w:color="auto" w:fill="FFFFFF"/>
        </w:rPr>
        <w:t>transmitted</w:t>
      </w:r>
      <w:r w:rsidRPr="00290645">
        <w:rPr>
          <w:shd w:val="clear" w:color="auto" w:fill="FFFFFF"/>
        </w:rPr>
        <w:t xml:space="preserve"> to Australia. This work forms part of a broader program continuing next season in the Bunger Hills</w:t>
      </w:r>
      <w:r>
        <w:rPr>
          <w:shd w:val="clear" w:color="auto" w:fill="FFFFFF"/>
        </w:rPr>
        <w:t xml:space="preserve"> as part of the Denman Terrestrial Campaign</w:t>
      </w:r>
      <w:r w:rsidRPr="00290645">
        <w:rPr>
          <w:shd w:val="clear" w:color="auto" w:fill="FFFFFF"/>
        </w:rPr>
        <w:t>. A team from the SAEF program also work</w:t>
      </w:r>
      <w:r>
        <w:rPr>
          <w:shd w:val="clear" w:color="auto" w:fill="FFFFFF"/>
        </w:rPr>
        <w:t>ed</w:t>
      </w:r>
      <w:r w:rsidRPr="00290645">
        <w:rPr>
          <w:shd w:val="clear" w:color="auto" w:fill="FFFFFF"/>
        </w:rPr>
        <w:t xml:space="preserve"> on Macquarie Island sampling the lakes, soils, invertebrates, taking peat cores and surveying critically endangered and invasive plant species to inform the remote sensing work being undertaken as part of the broader project.</w:t>
      </w:r>
    </w:p>
    <w:p w14:paraId="535F6ED5" w14:textId="77777777" w:rsidR="00450517" w:rsidRDefault="00450517" w:rsidP="00450517">
      <w:pPr>
        <w:pStyle w:val="ATSNormal"/>
        <w:rPr>
          <w:color w:val="222222"/>
          <w:shd w:val="clear" w:color="auto" w:fill="FEFEFE"/>
        </w:rPr>
      </w:pPr>
      <w:r w:rsidRPr="00290645">
        <w:rPr>
          <w:color w:val="222222"/>
          <w:shd w:val="clear" w:color="auto" w:fill="FEFEFE"/>
        </w:rPr>
        <w:t xml:space="preserve">Scientists with the </w:t>
      </w:r>
      <w:r w:rsidRPr="00290645">
        <w:rPr>
          <w:i/>
          <w:color w:val="222222"/>
          <w:shd w:val="clear" w:color="auto" w:fill="FEFEFE"/>
        </w:rPr>
        <w:t>Australian Centre for Excellence in Antarctic Science</w:t>
      </w:r>
      <w:r w:rsidRPr="00290645">
        <w:rPr>
          <w:color w:val="222222"/>
          <w:shd w:val="clear" w:color="auto" w:fill="FEFEFE"/>
        </w:rPr>
        <w:t xml:space="preserve"> (ACEAS) deployed seismometers in defined configurations at locations close to Casey </w:t>
      </w:r>
      <w:r>
        <w:rPr>
          <w:color w:val="222222"/>
          <w:shd w:val="clear" w:color="auto" w:fill="FEFEFE"/>
        </w:rPr>
        <w:t>s</w:t>
      </w:r>
      <w:r w:rsidRPr="00290645">
        <w:rPr>
          <w:color w:val="222222"/>
          <w:shd w:val="clear" w:color="auto" w:fill="FEFEFE"/>
        </w:rPr>
        <w:t xml:space="preserve">tation to collect data to inform ice-sheet-bedrock interface zone models. This will help </w:t>
      </w:r>
      <w:r>
        <w:rPr>
          <w:color w:val="222222"/>
          <w:shd w:val="clear" w:color="auto" w:fill="FEFEFE"/>
        </w:rPr>
        <w:t>improve</w:t>
      </w:r>
      <w:r w:rsidRPr="00290645">
        <w:rPr>
          <w:color w:val="222222"/>
          <w:shd w:val="clear" w:color="auto" w:fill="FEFEFE"/>
        </w:rPr>
        <w:t xml:space="preserve"> understanding of how changes in Antarctic ice sheets may impact sea-level rise and will be expanded in the following seasons at the Denman Glacier and further inland.</w:t>
      </w:r>
    </w:p>
    <w:p w14:paraId="0F2BC26A" w14:textId="77777777" w:rsidR="00450517" w:rsidRDefault="00450517" w:rsidP="00450517">
      <w:pPr>
        <w:pStyle w:val="ATSNormal"/>
        <w:rPr>
          <w:color w:val="222222"/>
          <w:shd w:val="clear" w:color="auto" w:fill="FEFEFE"/>
        </w:rPr>
      </w:pPr>
    </w:p>
    <w:p w14:paraId="1CCE189A" w14:textId="77777777" w:rsidR="00450517" w:rsidRDefault="00450517" w:rsidP="00450517">
      <w:pPr>
        <w:pStyle w:val="ATSNormal"/>
        <w:rPr>
          <w:color w:val="222222"/>
          <w:shd w:val="clear" w:color="auto" w:fill="FEFEFE"/>
        </w:rPr>
      </w:pPr>
    </w:p>
    <w:p w14:paraId="29929959" w14:textId="77777777" w:rsidR="00450517" w:rsidRDefault="00450517" w:rsidP="00450517">
      <w:pPr>
        <w:pStyle w:val="ATSNormal"/>
        <w:rPr>
          <w:color w:val="222222"/>
          <w:shd w:val="clear" w:color="auto" w:fill="FEFEFE"/>
        </w:rPr>
      </w:pPr>
    </w:p>
    <w:p w14:paraId="7811B728" w14:textId="77777777" w:rsidR="00450517" w:rsidRPr="00290645" w:rsidRDefault="00450517" w:rsidP="00450517">
      <w:pPr>
        <w:pStyle w:val="ATSHeading3"/>
      </w:pPr>
      <w:r>
        <w:t>Long-term monitoring</w:t>
      </w:r>
    </w:p>
    <w:p w14:paraId="5AAC72D7" w14:textId="77777777" w:rsidR="00450517" w:rsidRPr="00290645" w:rsidRDefault="00450517" w:rsidP="00450517">
      <w:pPr>
        <w:pStyle w:val="ATSNormal"/>
        <w:rPr>
          <w:szCs w:val="22"/>
        </w:rPr>
      </w:pPr>
      <w:r w:rsidRPr="00290645">
        <w:t xml:space="preserve">The Australian Antarctic Program continued its focus on maintaining long term monitoring projects, many of which </w:t>
      </w:r>
      <w:r w:rsidRPr="00290645">
        <w:rPr>
          <w:szCs w:val="22"/>
        </w:rPr>
        <w:t xml:space="preserve">employ technology solutions to ensure the automated collection of data. </w:t>
      </w:r>
      <w:r>
        <w:rPr>
          <w:szCs w:val="22"/>
        </w:rPr>
        <w:t>E</w:t>
      </w:r>
      <w:r w:rsidRPr="00290645">
        <w:rPr>
          <w:szCs w:val="22"/>
        </w:rPr>
        <w:t xml:space="preserve">xamples include: </w:t>
      </w:r>
    </w:p>
    <w:p w14:paraId="24BE7EF2" w14:textId="77777777" w:rsidR="00450517" w:rsidRPr="00290645" w:rsidRDefault="00450517" w:rsidP="00450517">
      <w:pPr>
        <w:pStyle w:val="ATSBullet1"/>
        <w:numPr>
          <w:ilvl w:val="0"/>
          <w:numId w:val="11"/>
        </w:numPr>
      </w:pPr>
      <w:r w:rsidRPr="00290645">
        <w:t xml:space="preserve">cosmic ray monitoring using </w:t>
      </w:r>
      <w:r w:rsidRPr="008B0EBD">
        <w:rPr>
          <w:color w:val="222222"/>
          <w:shd w:val="clear" w:color="auto" w:fill="FFFFFF" w:themeFill="background1"/>
        </w:rPr>
        <w:t>neutron monitors and muon telescopes</w:t>
      </w:r>
      <w:r w:rsidRPr="008B0EBD">
        <w:rPr>
          <w:shd w:val="clear" w:color="auto" w:fill="FFFFFF" w:themeFill="background1"/>
        </w:rPr>
        <w:t xml:space="preserve"> at Mawson</w:t>
      </w:r>
      <w:r w:rsidRPr="00290645">
        <w:t xml:space="preserve"> station and Kingston</w:t>
      </w:r>
      <w:r>
        <w:t>, Tasmania,</w:t>
      </w:r>
      <w:r w:rsidRPr="00290645">
        <w:t xml:space="preserve"> to contribute to international databases and space weather warning systems</w:t>
      </w:r>
    </w:p>
    <w:p w14:paraId="3B18BF6A" w14:textId="77777777" w:rsidR="00450517" w:rsidRPr="00290645" w:rsidRDefault="00450517" w:rsidP="00450517">
      <w:pPr>
        <w:pStyle w:val="ATSBullet1"/>
        <w:numPr>
          <w:ilvl w:val="0"/>
          <w:numId w:val="11"/>
        </w:numPr>
      </w:pPr>
      <w:r w:rsidRPr="00290645">
        <w:t xml:space="preserve">collecting year-round and multi-year datasets using a network of GPS and seismic monitors to provide information on the internal structure of the solid earth deformation and structure in East Antarctica </w:t>
      </w:r>
    </w:p>
    <w:p w14:paraId="3F741382" w14:textId="77777777" w:rsidR="00450517" w:rsidRPr="00290645" w:rsidRDefault="00450517" w:rsidP="00450517">
      <w:pPr>
        <w:pStyle w:val="ATSBullet1"/>
        <w:numPr>
          <w:ilvl w:val="0"/>
          <w:numId w:val="11"/>
        </w:numPr>
      </w:pPr>
      <w:r>
        <w:rPr>
          <w:szCs w:val="22"/>
        </w:rPr>
        <w:t>m</w:t>
      </w:r>
      <w:r w:rsidRPr="00290645">
        <w:rPr>
          <w:szCs w:val="22"/>
        </w:rPr>
        <w:t>onitoring of Antarctic breeding</w:t>
      </w:r>
      <w:r w:rsidRPr="00290645">
        <w:t xml:space="preserve"> seabirds through a network of remotely operating time-lapse cameras </w:t>
      </w:r>
    </w:p>
    <w:p w14:paraId="631D3F6F" w14:textId="77777777" w:rsidR="00450517" w:rsidRPr="00290645" w:rsidRDefault="00450517" w:rsidP="00450517">
      <w:pPr>
        <w:pStyle w:val="ATSBullet1"/>
        <w:numPr>
          <w:ilvl w:val="0"/>
          <w:numId w:val="11"/>
        </w:numPr>
      </w:pPr>
      <w:r w:rsidRPr="00290645">
        <w:t xml:space="preserve">sea level determination using tide gauges deployed at all three Australian continental stations and one subantarctic station </w:t>
      </w:r>
    </w:p>
    <w:p w14:paraId="74178406" w14:textId="77777777" w:rsidR="00450517" w:rsidRPr="00BB6B04" w:rsidRDefault="00450517" w:rsidP="00450517">
      <w:pPr>
        <w:pStyle w:val="ATSBullet1"/>
        <w:numPr>
          <w:ilvl w:val="0"/>
          <w:numId w:val="11"/>
        </w:numPr>
        <w:rPr>
          <w:szCs w:val="22"/>
        </w:rPr>
      </w:pPr>
      <w:r w:rsidRPr="00290645">
        <w:lastRenderedPageBreak/>
        <w:t xml:space="preserve">greenhouse </w:t>
      </w:r>
      <w:r w:rsidRPr="00DD750C">
        <w:rPr>
          <w:szCs w:val="22"/>
        </w:rPr>
        <w:t>gas monitoring at two Australian continental stations and one sub A</w:t>
      </w:r>
      <w:r w:rsidRPr="004B12D0">
        <w:rPr>
          <w:szCs w:val="22"/>
        </w:rPr>
        <w:t>ntarctic station to contribute to the most extensive atmospheric composition observational network in the</w:t>
      </w:r>
      <w:r w:rsidRPr="00BB6B04">
        <w:rPr>
          <w:szCs w:val="22"/>
        </w:rPr>
        <w:t xml:space="preserve"> region.</w:t>
      </w:r>
    </w:p>
    <w:p w14:paraId="4530E04D" w14:textId="77777777" w:rsidR="00450517" w:rsidRPr="00BB6B04" w:rsidRDefault="00450517" w:rsidP="00450517">
      <w:pPr>
        <w:pStyle w:val="ATSHeading3"/>
        <w:rPr>
          <w:szCs w:val="22"/>
        </w:rPr>
      </w:pPr>
      <w:r w:rsidRPr="00BB6B04">
        <w:rPr>
          <w:szCs w:val="22"/>
        </w:rPr>
        <w:t xml:space="preserve">Krill Aquarium </w:t>
      </w:r>
    </w:p>
    <w:p w14:paraId="7F19C934" w14:textId="77777777" w:rsidR="00450517" w:rsidRDefault="00450517" w:rsidP="00450517">
      <w:pPr>
        <w:shd w:val="clear" w:color="auto" w:fill="FEFEFE"/>
        <w:spacing w:after="120"/>
        <w:rPr>
          <w:color w:val="222222"/>
          <w:szCs w:val="22"/>
        </w:rPr>
      </w:pPr>
      <w:r>
        <w:rPr>
          <w:color w:val="222222"/>
          <w:szCs w:val="22"/>
          <w:lang w:val="en-AU" w:eastAsia="en-AU"/>
        </w:rPr>
        <w:t>Plans to establish a</w:t>
      </w:r>
      <w:r w:rsidRPr="00934055">
        <w:rPr>
          <w:color w:val="222222"/>
          <w:szCs w:val="22"/>
          <w:lang w:val="en-AU" w:eastAsia="en-AU"/>
        </w:rPr>
        <w:t xml:space="preserve"> new world-leading Antarctic krill aquarium and research facility in Tasmania </w:t>
      </w:r>
      <w:r>
        <w:rPr>
          <w:color w:val="222222"/>
          <w:szCs w:val="22"/>
          <w:lang w:val="en-AU" w:eastAsia="en-AU"/>
        </w:rPr>
        <w:t>advanced</w:t>
      </w:r>
      <w:r w:rsidRPr="00934055">
        <w:rPr>
          <w:color w:val="222222"/>
          <w:szCs w:val="22"/>
          <w:lang w:val="en-AU" w:eastAsia="en-AU"/>
        </w:rPr>
        <w:t>.</w:t>
      </w:r>
      <w:r>
        <w:rPr>
          <w:color w:val="222222"/>
          <w:szCs w:val="22"/>
          <w:lang w:val="en-AU" w:eastAsia="en-AU"/>
        </w:rPr>
        <w:t xml:space="preserve"> </w:t>
      </w:r>
      <w:r w:rsidRPr="00934055">
        <w:rPr>
          <w:color w:val="222222"/>
          <w:szCs w:val="22"/>
          <w:lang w:val="en-AU" w:eastAsia="en-AU"/>
        </w:rPr>
        <w:t xml:space="preserve">The </w:t>
      </w:r>
      <w:r>
        <w:rPr>
          <w:color w:val="222222"/>
          <w:szCs w:val="22"/>
          <w:lang w:val="en-AU" w:eastAsia="en-AU"/>
        </w:rPr>
        <w:t>AAD</w:t>
      </w:r>
      <w:r w:rsidRPr="00934055">
        <w:rPr>
          <w:color w:val="222222"/>
          <w:szCs w:val="22"/>
          <w:lang w:val="en-AU" w:eastAsia="en-AU"/>
        </w:rPr>
        <w:t xml:space="preserve">, in cooperation with the University of Tasmania </w:t>
      </w:r>
      <w:r>
        <w:rPr>
          <w:color w:val="222222"/>
          <w:szCs w:val="22"/>
          <w:lang w:val="en-AU" w:eastAsia="en-AU"/>
        </w:rPr>
        <w:t>will construct</w:t>
      </w:r>
      <w:r w:rsidRPr="00934055">
        <w:rPr>
          <w:color w:val="222222"/>
          <w:szCs w:val="22"/>
          <w:lang w:val="en-AU" w:eastAsia="en-AU"/>
        </w:rPr>
        <w:t xml:space="preserve"> a Southern Ocean research aquarium </w:t>
      </w:r>
      <w:r>
        <w:rPr>
          <w:color w:val="222222"/>
          <w:szCs w:val="22"/>
          <w:lang w:val="en-AU" w:eastAsia="en-AU"/>
        </w:rPr>
        <w:t xml:space="preserve">in Hobart, expanding upon </w:t>
      </w:r>
      <w:r w:rsidRPr="00934055">
        <w:rPr>
          <w:color w:val="222222"/>
          <w:szCs w:val="22"/>
          <w:lang w:val="en-AU" w:eastAsia="en-AU"/>
        </w:rPr>
        <w:t xml:space="preserve">one of the world’s only Antarctic krill aquarium research facilities </w:t>
      </w:r>
      <w:r>
        <w:rPr>
          <w:color w:val="222222"/>
          <w:szCs w:val="22"/>
          <w:lang w:val="en-AU" w:eastAsia="en-AU"/>
        </w:rPr>
        <w:t xml:space="preserve">at the AAD. The exciting new </w:t>
      </w:r>
      <w:r w:rsidRPr="00924A18">
        <w:rPr>
          <w:color w:val="222222"/>
          <w:szCs w:val="22"/>
        </w:rPr>
        <w:t>laboratory will provide a</w:t>
      </w:r>
      <w:r>
        <w:rPr>
          <w:color w:val="222222"/>
          <w:szCs w:val="22"/>
        </w:rPr>
        <w:t xml:space="preserve"> sophisticated experimental research</w:t>
      </w:r>
      <w:r w:rsidRPr="00924A18">
        <w:rPr>
          <w:color w:val="222222"/>
          <w:szCs w:val="22"/>
        </w:rPr>
        <w:t xml:space="preserve"> platform to understand future impacts of climate change on the </w:t>
      </w:r>
      <w:r>
        <w:rPr>
          <w:color w:val="222222"/>
          <w:szCs w:val="22"/>
        </w:rPr>
        <w:t>krill</w:t>
      </w:r>
      <w:r w:rsidRPr="00924A18">
        <w:rPr>
          <w:color w:val="222222"/>
          <w:szCs w:val="22"/>
        </w:rPr>
        <w:t xml:space="preserve"> to meet a key commitment </w:t>
      </w:r>
      <w:r>
        <w:rPr>
          <w:color w:val="222222"/>
          <w:szCs w:val="22"/>
        </w:rPr>
        <w:t>in</w:t>
      </w:r>
      <w:r w:rsidRPr="00924A18">
        <w:rPr>
          <w:color w:val="222222"/>
          <w:szCs w:val="22"/>
        </w:rPr>
        <w:t xml:space="preserve"> the </w:t>
      </w:r>
      <w:r w:rsidRPr="00775CF5">
        <w:rPr>
          <w:i/>
          <w:color w:val="222222"/>
          <w:szCs w:val="22"/>
        </w:rPr>
        <w:t>Australian Antarctic Strategy and 20 Year Action Plan.</w:t>
      </w:r>
    </w:p>
    <w:p w14:paraId="1B48CAED" w14:textId="77777777" w:rsidR="00450517" w:rsidRPr="009641F6" w:rsidRDefault="00450517" w:rsidP="00450517">
      <w:pPr>
        <w:pStyle w:val="ATSHeading2"/>
        <w:rPr>
          <w:i w:val="0"/>
        </w:rPr>
      </w:pPr>
      <w:r>
        <w:t>Publication Highlights</w:t>
      </w:r>
    </w:p>
    <w:p w14:paraId="529DA377" w14:textId="77777777" w:rsidR="00450517" w:rsidRPr="007D7EC5" w:rsidRDefault="00450517" w:rsidP="00450517">
      <w:pPr>
        <w:pStyle w:val="ATSNormal"/>
      </w:pPr>
      <w:r>
        <w:t>A number of significant manuscripts were published during the period, with highlights including:</w:t>
      </w:r>
    </w:p>
    <w:p w14:paraId="0494DD02" w14:textId="77777777" w:rsidR="00450517" w:rsidRPr="002D7573" w:rsidRDefault="00450517" w:rsidP="00450517">
      <w:pPr>
        <w:pStyle w:val="ATSNumber2"/>
        <w:tabs>
          <w:tab w:val="clear" w:pos="720"/>
          <w:tab w:val="num" w:pos="360"/>
        </w:tabs>
        <w:ind w:left="360"/>
        <w:rPr>
          <w:lang w:eastAsia="en-AU"/>
        </w:rPr>
      </w:pPr>
      <w:r w:rsidRPr="008B0EBD">
        <w:rPr>
          <w:shd w:val="clear" w:color="auto" w:fill="FFFFFF"/>
        </w:rPr>
        <w:t>Lee JR, Terauds A, Carwardine J, Shaw JD, Fuller RA, Possingham HP, … McIvor E, … Bergstrom DM,</w:t>
      </w:r>
      <w:r>
        <w:rPr>
          <w:shd w:val="clear" w:color="auto" w:fill="FFFFFF"/>
        </w:rPr>
        <w:t xml:space="preserve"> </w:t>
      </w:r>
      <w:r w:rsidRPr="006E08E3">
        <w:rPr>
          <w:shd w:val="clear" w:color="auto" w:fill="FFFFFF"/>
        </w:rPr>
        <w:t xml:space="preserve">et al. (2022) Threat management priorities for conserving Antarctic biodiversity. </w:t>
      </w:r>
      <w:r w:rsidRPr="008B0EBD">
        <w:rPr>
          <w:i/>
          <w:shd w:val="clear" w:color="auto" w:fill="FFFFFF"/>
        </w:rPr>
        <w:t>PLoS Biol</w:t>
      </w:r>
      <w:r w:rsidRPr="006E08E3">
        <w:rPr>
          <w:shd w:val="clear" w:color="auto" w:fill="FFFFFF"/>
        </w:rPr>
        <w:t xml:space="preserve"> 20(12): e3001921. </w:t>
      </w:r>
      <w:hyperlink r:id="rId15" w:history="1">
        <w:r w:rsidRPr="00EF7C9E">
          <w:rPr>
            <w:rStyle w:val="Hipervnculo"/>
            <w:szCs w:val="22"/>
            <w:shd w:val="clear" w:color="auto" w:fill="FFFFFF"/>
          </w:rPr>
          <w:t>https://doi.org/10.1371/journal.pbio.3001921</w:t>
        </w:r>
      </w:hyperlink>
    </w:p>
    <w:p w14:paraId="5DEF41DC" w14:textId="77777777" w:rsidR="00450517" w:rsidRDefault="00450517" w:rsidP="00450517">
      <w:pPr>
        <w:pStyle w:val="ATSNormal"/>
        <w:ind w:left="360"/>
      </w:pPr>
      <w:r w:rsidRPr="006E08E3">
        <w:t>An Australian led multi-national research project culminated in th</w:t>
      </w:r>
      <w:r>
        <w:t>is</w:t>
      </w:r>
      <w:r w:rsidRPr="006E08E3">
        <w:t xml:space="preserve"> recent publication. This study found that up to 65% of Antarctic terrestrial species (or species groups) are likely to decline by 2100. It highlighted the potential impact of climate change and showed that simultaneously pursuing global and regional management</w:t>
      </w:r>
      <w:r>
        <w:t xml:space="preserve"> actions will provide the best chance of protecting Antarctica’s terrestrial biodiversity into the future. See Information Paper </w:t>
      </w:r>
      <w:r w:rsidRPr="00594CAA">
        <w:t>45</w:t>
      </w:r>
      <w:r>
        <w:t xml:space="preserve"> </w:t>
      </w:r>
      <w:r w:rsidRPr="000C13BD">
        <w:rPr>
          <w:i/>
        </w:rPr>
        <w:t>Managing threats to Antarctic terrestrial biodiversity</w:t>
      </w:r>
      <w:r>
        <w:t>.</w:t>
      </w:r>
    </w:p>
    <w:p w14:paraId="3EBE6E3D" w14:textId="77777777" w:rsidR="00450517" w:rsidRPr="00302117" w:rsidRDefault="00450517" w:rsidP="00450517">
      <w:pPr>
        <w:pStyle w:val="ATSNumber2"/>
        <w:tabs>
          <w:tab w:val="clear" w:pos="720"/>
          <w:tab w:val="num" w:pos="360"/>
        </w:tabs>
        <w:ind w:left="360"/>
        <w:rPr>
          <w:szCs w:val="22"/>
          <w:lang w:val="en-AU" w:eastAsia="en-AU"/>
        </w:rPr>
      </w:pPr>
      <w:r w:rsidRPr="008B0EBD">
        <w:rPr>
          <w:bCs/>
        </w:rPr>
        <w:t>Pedro, JB</w:t>
      </w:r>
      <w:r w:rsidRPr="008B0EBD">
        <w:t>, et al.,</w:t>
      </w:r>
      <w:r w:rsidRPr="00302117">
        <w:t xml:space="preserve"> (2022). Dansgaard-Oeschger and Heinrich event temperature anomalies in the North Atlantic set by sea ice, frontal position and thermocline structure</w:t>
      </w:r>
      <w:r>
        <w:t>.</w:t>
      </w:r>
      <w:r w:rsidRPr="00302117">
        <w:t xml:space="preserve"> </w:t>
      </w:r>
      <w:r w:rsidRPr="008B0EBD">
        <w:rPr>
          <w:i/>
        </w:rPr>
        <w:t>Quat.Sci.Rev</w:t>
      </w:r>
      <w:r w:rsidRPr="00302117">
        <w:t xml:space="preserve"> 289, 107599, </w:t>
      </w:r>
      <w:hyperlink r:id="rId16" w:history="1">
        <w:r w:rsidRPr="008B0EBD">
          <w:rPr>
            <w:rStyle w:val="Hipervnculo"/>
            <w:szCs w:val="22"/>
            <w:shd w:val="clear" w:color="auto" w:fill="FFFFFF"/>
          </w:rPr>
          <w:t>https://doi.org/10.1016/j.quascirev.2022.107599</w:t>
        </w:r>
      </w:hyperlink>
      <w:r w:rsidRPr="00302117">
        <w:t>.</w:t>
      </w:r>
    </w:p>
    <w:p w14:paraId="2A97E16B" w14:textId="77777777" w:rsidR="00450517" w:rsidRPr="00BB6B04" w:rsidRDefault="00450517" w:rsidP="00450517">
      <w:pPr>
        <w:pStyle w:val="ATSNormal"/>
        <w:ind w:left="360"/>
        <w:rPr>
          <w:szCs w:val="22"/>
          <w:lang w:val="en-AU" w:eastAsia="en-AU"/>
        </w:rPr>
      </w:pPr>
      <w:r>
        <w:rPr>
          <w:color w:val="000000" w:themeColor="text1"/>
        </w:rPr>
        <w:t>This study a</w:t>
      </w:r>
      <w:r w:rsidRPr="00302117">
        <w:rPr>
          <w:color w:val="000000" w:themeColor="text1"/>
        </w:rPr>
        <w:t>dvanc</w:t>
      </w:r>
      <w:r>
        <w:rPr>
          <w:color w:val="000000" w:themeColor="text1"/>
        </w:rPr>
        <w:t>es</w:t>
      </w:r>
      <w:r w:rsidRPr="00302117">
        <w:rPr>
          <w:color w:val="000000" w:themeColor="text1"/>
        </w:rPr>
        <w:t xml:space="preserve"> </w:t>
      </w:r>
      <w:r>
        <w:rPr>
          <w:color w:val="000000" w:themeColor="text1"/>
        </w:rPr>
        <w:t xml:space="preserve">our </w:t>
      </w:r>
      <w:r w:rsidRPr="00302117">
        <w:rPr>
          <w:color w:val="000000" w:themeColor="text1"/>
        </w:rPr>
        <w:t xml:space="preserve">understanding of abrupt climate changes during the last glacial period, specifically </w:t>
      </w:r>
      <w:r w:rsidRPr="007D7EC5">
        <w:t xml:space="preserve">around the roles of sea ice extent, ocean front position and thermocline structure in the </w:t>
      </w:r>
      <w:r w:rsidRPr="00BB6B04">
        <w:rPr>
          <w:szCs w:val="22"/>
        </w:rPr>
        <w:t xml:space="preserve">spatiotemporal pattern of climate changes. While the study has a northern hemisphere focus there are far-field impacts on millennial-scale climate change at southern high latitudes. </w:t>
      </w:r>
    </w:p>
    <w:p w14:paraId="1FAF95BF" w14:textId="77777777" w:rsidR="00450517" w:rsidRPr="00BB6B04" w:rsidRDefault="00450517" w:rsidP="00450517">
      <w:pPr>
        <w:pStyle w:val="ATSNumber2"/>
        <w:shd w:val="clear" w:color="auto" w:fill="FFFFFF"/>
        <w:tabs>
          <w:tab w:val="clear" w:pos="720"/>
          <w:tab w:val="num" w:pos="360"/>
        </w:tabs>
        <w:ind w:left="360"/>
        <w:rPr>
          <w:b/>
          <w:color w:val="767676"/>
          <w:szCs w:val="22"/>
          <w:lang w:val="en-AU" w:eastAsia="en-AU"/>
        </w:rPr>
      </w:pPr>
      <w:r w:rsidRPr="00BB6B04">
        <w:rPr>
          <w:shd w:val="clear" w:color="auto" w:fill="FFFFFF"/>
        </w:rPr>
        <w:t xml:space="preserve">Poppelmeier F, Baggenstos D, Grimmer M, Liu Z, Schmitt J, Fischer H, Stocker T (2023) The effect of past saturation changes on noble gas reconstructions of mean ocean temperature. </w:t>
      </w:r>
      <w:r w:rsidRPr="00BB6B04">
        <w:rPr>
          <w:i/>
          <w:shd w:val="clear" w:color="auto" w:fill="FFFFFF"/>
        </w:rPr>
        <w:t xml:space="preserve">Geophysical Research letters </w:t>
      </w:r>
      <w:r w:rsidRPr="00BB6B04">
        <w:rPr>
          <w:shd w:val="clear" w:color="auto" w:fill="FFFFFF"/>
        </w:rPr>
        <w:t xml:space="preserve">50: e2022GL102055 </w:t>
      </w:r>
      <w:hyperlink r:id="rId17" w:history="1">
        <w:r w:rsidRPr="00BB6B04">
          <w:rPr>
            <w:bCs/>
            <w:color w:val="9E0000"/>
            <w:szCs w:val="22"/>
            <w:u w:val="single"/>
            <w:lang w:val="en-AU" w:eastAsia="en-AU"/>
          </w:rPr>
          <w:t>https://doi.org/10.1029/2022GL102055</w:t>
        </w:r>
      </w:hyperlink>
    </w:p>
    <w:p w14:paraId="2E108BFE" w14:textId="77777777" w:rsidR="00450517" w:rsidRPr="007D7EC5" w:rsidRDefault="00450517" w:rsidP="00450517">
      <w:pPr>
        <w:pStyle w:val="ATSNormal"/>
        <w:ind w:left="360"/>
      </w:pPr>
      <w:r>
        <w:t>This modelling studed tests some of the assumptions that are usually made when using the mean ocean temperature proxy based on noble gases in ice cores. The model explicitly simulated noble gases in the ocean and allowed an assessment of how changes in wind, sea ice, and circulation impact the saturation state of the gases. The study found that noble gas saturation potentially varied significantly in the past, which needs to be taken into account when applying the mean ocean temperature proxy</w:t>
      </w:r>
      <w:r w:rsidRPr="00BB6B04">
        <w:t>.</w:t>
      </w:r>
    </w:p>
    <w:p w14:paraId="4BD74D50" w14:textId="77777777" w:rsidR="00450517" w:rsidRPr="00411DCD" w:rsidRDefault="00450517" w:rsidP="00450517">
      <w:pPr>
        <w:pStyle w:val="ATSNumber2"/>
        <w:tabs>
          <w:tab w:val="clear" w:pos="720"/>
          <w:tab w:val="num" w:pos="360"/>
        </w:tabs>
        <w:ind w:left="360"/>
        <w:rPr>
          <w:szCs w:val="22"/>
        </w:rPr>
      </w:pPr>
      <w:hyperlink r:id="rId18" w:history="1">
        <w:r w:rsidRPr="008B0EBD">
          <w:rPr>
            <w:rStyle w:val="Hipervnculo"/>
            <w:iCs/>
            <w:color w:val="auto"/>
            <w:szCs w:val="22"/>
            <w:u w:val="none"/>
          </w:rPr>
          <w:t>Suter L.</w:t>
        </w:r>
      </w:hyperlink>
      <w:r w:rsidRPr="008B0EBD">
        <w:rPr>
          <w:szCs w:val="22"/>
        </w:rPr>
        <w:t>, </w:t>
      </w:r>
      <w:hyperlink r:id="rId19" w:history="1">
        <w:r w:rsidRPr="008B0EBD">
          <w:rPr>
            <w:rStyle w:val="Hipervnculo"/>
            <w:iCs/>
            <w:color w:val="auto"/>
            <w:szCs w:val="22"/>
            <w:u w:val="none"/>
          </w:rPr>
          <w:t>Wotherspoon SJ</w:t>
        </w:r>
      </w:hyperlink>
      <w:r w:rsidRPr="008B0EBD">
        <w:rPr>
          <w:szCs w:val="22"/>
        </w:rPr>
        <w:t>, </w:t>
      </w:r>
      <w:hyperlink r:id="rId20" w:history="1">
        <w:r w:rsidRPr="008B0EBD">
          <w:rPr>
            <w:rStyle w:val="Hipervnculo"/>
            <w:iCs/>
            <w:color w:val="auto"/>
            <w:szCs w:val="22"/>
            <w:u w:val="none"/>
          </w:rPr>
          <w:t>Kawaguchi S</w:t>
        </w:r>
      </w:hyperlink>
      <w:r w:rsidRPr="008B0EBD">
        <w:rPr>
          <w:szCs w:val="22"/>
        </w:rPr>
        <w:t>, </w:t>
      </w:r>
      <w:hyperlink r:id="rId21" w:history="1">
        <w:r w:rsidRPr="008B0EBD">
          <w:rPr>
            <w:rStyle w:val="Hipervnculo"/>
            <w:iCs/>
            <w:color w:val="auto"/>
            <w:szCs w:val="22"/>
            <w:u w:val="none"/>
          </w:rPr>
          <w:t>King R</w:t>
        </w:r>
      </w:hyperlink>
      <w:r w:rsidRPr="008B0EBD">
        <w:rPr>
          <w:szCs w:val="22"/>
        </w:rPr>
        <w:t>, </w:t>
      </w:r>
      <w:hyperlink r:id="rId22" w:history="1">
        <w:r w:rsidRPr="008B0EBD">
          <w:rPr>
            <w:rStyle w:val="Hipervnculo"/>
            <w:iCs/>
            <w:color w:val="auto"/>
            <w:szCs w:val="22"/>
            <w:u w:val="none"/>
          </w:rPr>
          <w:t>MacDonald AJ</w:t>
        </w:r>
      </w:hyperlink>
      <w:r w:rsidRPr="008B0EBD">
        <w:rPr>
          <w:szCs w:val="22"/>
        </w:rPr>
        <w:t>, </w:t>
      </w:r>
      <w:hyperlink r:id="rId23" w:history="1">
        <w:r w:rsidRPr="008B0EBD">
          <w:rPr>
            <w:rStyle w:val="Hipervnculo"/>
            <w:color w:val="auto"/>
            <w:szCs w:val="22"/>
            <w:u w:val="none"/>
          </w:rPr>
          <w:t>Nester GM</w:t>
        </w:r>
      </w:hyperlink>
      <w:r w:rsidRPr="008B0EBD">
        <w:rPr>
          <w:szCs w:val="22"/>
        </w:rPr>
        <w:t>, </w:t>
      </w:r>
      <w:hyperlink r:id="rId24" w:history="1">
        <w:r w:rsidRPr="008B0EBD">
          <w:rPr>
            <w:rStyle w:val="Hipervnculo"/>
            <w:iCs/>
            <w:color w:val="auto"/>
            <w:szCs w:val="22"/>
            <w:u w:val="none"/>
          </w:rPr>
          <w:t>Polanowski AM</w:t>
        </w:r>
      </w:hyperlink>
      <w:r w:rsidRPr="008B0EBD">
        <w:rPr>
          <w:szCs w:val="22"/>
        </w:rPr>
        <w:t>, </w:t>
      </w:r>
      <w:hyperlink r:id="rId25" w:history="1">
        <w:r w:rsidRPr="008B0EBD">
          <w:rPr>
            <w:rStyle w:val="Hipervnculo"/>
            <w:iCs/>
            <w:color w:val="auto"/>
            <w:szCs w:val="22"/>
            <w:u w:val="none"/>
          </w:rPr>
          <w:t>Raymond B</w:t>
        </w:r>
      </w:hyperlink>
      <w:r w:rsidRPr="008B0EBD">
        <w:rPr>
          <w:szCs w:val="22"/>
        </w:rPr>
        <w:t>, </w:t>
      </w:r>
      <w:hyperlink r:id="rId26" w:history="1">
        <w:r w:rsidRPr="008B0EBD">
          <w:rPr>
            <w:rStyle w:val="Hipervnculo"/>
            <w:color w:val="auto"/>
            <w:szCs w:val="22"/>
            <w:u w:val="none"/>
          </w:rPr>
          <w:t>Deagle BE</w:t>
        </w:r>
      </w:hyperlink>
      <w:r w:rsidRPr="00411DCD">
        <w:rPr>
          <w:szCs w:val="22"/>
        </w:rPr>
        <w:t> (2023) Environmental DNA of Antarctic krill (</w:t>
      </w:r>
      <w:r w:rsidRPr="001D1534">
        <w:rPr>
          <w:i/>
          <w:szCs w:val="22"/>
        </w:rPr>
        <w:t>Euphausia</w:t>
      </w:r>
      <w:r w:rsidRPr="00411DCD">
        <w:rPr>
          <w:szCs w:val="22"/>
        </w:rPr>
        <w:t xml:space="preserve"> </w:t>
      </w:r>
      <w:r w:rsidRPr="001D1534">
        <w:rPr>
          <w:i/>
          <w:szCs w:val="22"/>
        </w:rPr>
        <w:t>superba</w:t>
      </w:r>
      <w:r w:rsidRPr="00411DCD">
        <w:rPr>
          <w:szCs w:val="22"/>
        </w:rPr>
        <w:t>): Measuring DNA fragmentation adds a temporal aspect to quantitative surveys.</w:t>
      </w:r>
      <w:r>
        <w:rPr>
          <w:szCs w:val="22"/>
        </w:rPr>
        <w:t xml:space="preserve"> </w:t>
      </w:r>
      <w:r w:rsidRPr="00411DCD">
        <w:rPr>
          <w:rStyle w:val="nfasis"/>
          <w:szCs w:val="22"/>
        </w:rPr>
        <w:t xml:space="preserve">Environmental DNA </w:t>
      </w:r>
      <w:r w:rsidRPr="008B0EBD">
        <w:rPr>
          <w:rStyle w:val="nfasis"/>
          <w:szCs w:val="22"/>
        </w:rPr>
        <w:t>00</w:t>
      </w:r>
      <w:r w:rsidRPr="00411DCD">
        <w:rPr>
          <w:szCs w:val="22"/>
        </w:rPr>
        <w:t>:1</w:t>
      </w:r>
      <w:r>
        <w:rPr>
          <w:szCs w:val="22"/>
        </w:rPr>
        <w:t>-</w:t>
      </w:r>
      <w:r w:rsidRPr="00411DCD">
        <w:rPr>
          <w:szCs w:val="22"/>
        </w:rPr>
        <w:t>1</w:t>
      </w:r>
      <w:r>
        <w:rPr>
          <w:szCs w:val="22"/>
        </w:rPr>
        <w:t xml:space="preserve">5 </w:t>
      </w:r>
      <w:hyperlink r:id="rId27" w:history="1">
        <w:r w:rsidRPr="00BB6B04">
          <w:rPr>
            <w:rStyle w:val="Hipervnculo"/>
            <w:color w:val="9E0000"/>
            <w:szCs w:val="22"/>
          </w:rPr>
          <w:t>https://onlinelibrary.wiley.com/doi/10.1002/edn3.394</w:t>
        </w:r>
      </w:hyperlink>
      <w:r w:rsidRPr="00411DCD">
        <w:rPr>
          <w:color w:val="7030A0"/>
          <w:szCs w:val="22"/>
        </w:rPr>
        <w:t>.</w:t>
      </w:r>
    </w:p>
    <w:p w14:paraId="1DBDDF30" w14:textId="77777777" w:rsidR="00450517" w:rsidRDefault="00450517" w:rsidP="00450517">
      <w:pPr>
        <w:pStyle w:val="ATSNormal"/>
        <w:ind w:left="360"/>
        <w:rPr>
          <w:shd w:val="clear" w:color="auto" w:fill="FFFFFF"/>
        </w:rPr>
      </w:pPr>
      <w:r>
        <w:rPr>
          <w:shd w:val="clear" w:color="auto" w:fill="FFFFFF"/>
        </w:rPr>
        <w:t>This study aimed to enhance e</w:t>
      </w:r>
      <w:r w:rsidRPr="00411DCD">
        <w:rPr>
          <w:shd w:val="clear" w:color="auto" w:fill="FFFFFF"/>
        </w:rPr>
        <w:t xml:space="preserve">nvironmental DNA (eDNA)-based monitoring </w:t>
      </w:r>
      <w:r>
        <w:rPr>
          <w:shd w:val="clear" w:color="auto" w:fill="FFFFFF"/>
        </w:rPr>
        <w:t xml:space="preserve">of Antarctic krill to </w:t>
      </w:r>
      <w:r w:rsidRPr="00411DCD">
        <w:rPr>
          <w:shd w:val="clear" w:color="auto" w:fill="FFFFFF"/>
        </w:rPr>
        <w:t>complement conventional krill surveys.</w:t>
      </w:r>
      <w:r>
        <w:rPr>
          <w:shd w:val="clear" w:color="auto" w:fill="FFFFFF"/>
        </w:rPr>
        <w:t xml:space="preserve"> </w:t>
      </w:r>
      <w:r w:rsidRPr="00411DCD">
        <w:rPr>
          <w:shd w:val="clear" w:color="auto" w:fill="FFFFFF"/>
        </w:rPr>
        <w:t>Antarctic krill eDNA</w:t>
      </w:r>
      <w:r>
        <w:rPr>
          <w:shd w:val="clear" w:color="auto" w:fill="FFFFFF"/>
        </w:rPr>
        <w:t xml:space="preserve"> could be quantified in addition to </w:t>
      </w:r>
      <w:r w:rsidRPr="00411DCD">
        <w:rPr>
          <w:shd w:val="clear" w:color="auto" w:fill="FFFFFF"/>
        </w:rPr>
        <w:t>estimat</w:t>
      </w:r>
      <w:r>
        <w:rPr>
          <w:shd w:val="clear" w:color="auto" w:fill="FFFFFF"/>
        </w:rPr>
        <w:t>ing</w:t>
      </w:r>
      <w:r w:rsidRPr="00411DCD">
        <w:rPr>
          <w:shd w:val="clear" w:color="auto" w:fill="FFFFFF"/>
        </w:rPr>
        <w:t xml:space="preserve"> a relative time since </w:t>
      </w:r>
      <w:r>
        <w:rPr>
          <w:shd w:val="clear" w:color="auto" w:fill="FFFFFF"/>
        </w:rPr>
        <w:t>shedding</w:t>
      </w:r>
      <w:r w:rsidRPr="00411DCD">
        <w:rPr>
          <w:shd w:val="clear" w:color="auto" w:fill="FFFFFF"/>
        </w:rPr>
        <w:t xml:space="preserve"> (“recent” vs “older”). </w:t>
      </w:r>
      <w:r>
        <w:rPr>
          <w:shd w:val="clear" w:color="auto" w:fill="FFFFFF"/>
        </w:rPr>
        <w:t xml:space="preserve">The </w:t>
      </w:r>
      <w:r w:rsidRPr="00411DCD">
        <w:rPr>
          <w:shd w:val="clear" w:color="auto" w:fill="FFFFFF"/>
        </w:rPr>
        <w:t xml:space="preserve">method </w:t>
      </w:r>
      <w:r>
        <w:rPr>
          <w:shd w:val="clear" w:color="auto" w:fill="FFFFFF"/>
        </w:rPr>
        <w:t xml:space="preserve">developed </w:t>
      </w:r>
      <w:r w:rsidRPr="00411DCD">
        <w:rPr>
          <w:shd w:val="clear" w:color="auto" w:fill="FFFFFF"/>
        </w:rPr>
        <w:t>could not only determine where Antarctic krill eDNA is present but shed</w:t>
      </w:r>
      <w:r>
        <w:rPr>
          <w:shd w:val="clear" w:color="auto" w:fill="FFFFFF"/>
        </w:rPr>
        <w:t>s</w:t>
      </w:r>
      <w:r w:rsidRPr="00411DCD">
        <w:rPr>
          <w:shd w:val="clear" w:color="auto" w:fill="FFFFFF"/>
        </w:rPr>
        <w:t xml:space="preserve"> light </w:t>
      </w:r>
      <w:r w:rsidRPr="00411DCD">
        <w:rPr>
          <w:shd w:val="clear" w:color="auto" w:fill="FFFFFF"/>
        </w:rPr>
        <w:lastRenderedPageBreak/>
        <w:t xml:space="preserve">on how </w:t>
      </w:r>
      <w:r>
        <w:rPr>
          <w:shd w:val="clear" w:color="auto" w:fill="FFFFFF"/>
        </w:rPr>
        <w:t>krill</w:t>
      </w:r>
      <w:r w:rsidRPr="00411DCD">
        <w:rPr>
          <w:shd w:val="clear" w:color="auto" w:fill="FFFFFF"/>
        </w:rPr>
        <w:t xml:space="preserve"> may be using certain habitats, expanding our understanding of this important species’ life cycle and contributing to more accurate abundance and distribution estimates.</w:t>
      </w:r>
    </w:p>
    <w:p w14:paraId="18280836" w14:textId="77777777" w:rsidR="00450517" w:rsidRPr="00411DCD" w:rsidRDefault="00450517" w:rsidP="00450517">
      <w:pPr>
        <w:pStyle w:val="ATSNumber2"/>
        <w:tabs>
          <w:tab w:val="clear" w:pos="720"/>
          <w:tab w:val="num" w:pos="360"/>
        </w:tabs>
        <w:ind w:left="360"/>
      </w:pPr>
      <w:r w:rsidRPr="0060305A">
        <w:rPr>
          <w:rStyle w:val="author"/>
          <w:szCs w:val="22"/>
          <w:shd w:val="clear" w:color="auto" w:fill="FFFFFF"/>
        </w:rPr>
        <w:t>Emmerson L</w:t>
      </w:r>
      <w:r w:rsidRPr="007F4510">
        <w:rPr>
          <w:shd w:val="clear" w:color="auto" w:fill="FFFFFF"/>
        </w:rPr>
        <w:t xml:space="preserve">, </w:t>
      </w:r>
      <w:r w:rsidRPr="0060305A">
        <w:rPr>
          <w:rStyle w:val="author"/>
          <w:szCs w:val="22"/>
          <w:shd w:val="clear" w:color="auto" w:fill="FFFFFF"/>
        </w:rPr>
        <w:t>Southwell C</w:t>
      </w:r>
      <w:r w:rsidRPr="008B0EBD">
        <w:rPr>
          <w:shd w:val="clear" w:color="auto" w:fill="FFFFFF"/>
        </w:rPr>
        <w:t> (</w:t>
      </w:r>
      <w:r w:rsidRPr="008B0EBD">
        <w:rPr>
          <w:rStyle w:val="pubyear"/>
          <w:szCs w:val="22"/>
          <w:shd w:val="clear" w:color="auto" w:fill="FFFFFF"/>
        </w:rPr>
        <w:t>2022</w:t>
      </w:r>
      <w:r w:rsidRPr="008B0EBD">
        <w:rPr>
          <w:shd w:val="clear" w:color="auto" w:fill="FFFFFF"/>
        </w:rPr>
        <w:t>) </w:t>
      </w:r>
      <w:r w:rsidRPr="008B0EBD">
        <w:rPr>
          <w:rStyle w:val="articletitle"/>
          <w:szCs w:val="22"/>
          <w:shd w:val="clear" w:color="auto" w:fill="FFFFFF"/>
        </w:rPr>
        <w:t>Environment-triggered demographic changes cascade and compound to propel a dramatic decline of an Antarctic seabird metapopulation</w:t>
      </w:r>
      <w:r w:rsidRPr="008B0EBD">
        <w:rPr>
          <w:shd w:val="clear" w:color="auto" w:fill="FFFFFF"/>
        </w:rPr>
        <w:t>. </w:t>
      </w:r>
      <w:r w:rsidRPr="0060305A">
        <w:rPr>
          <w:i/>
          <w:iCs/>
          <w:shd w:val="clear" w:color="auto" w:fill="FFFFFF"/>
        </w:rPr>
        <w:t>Global Change Biology</w:t>
      </w:r>
      <w:r w:rsidRPr="0060305A">
        <w:rPr>
          <w:i/>
          <w:shd w:val="clear" w:color="auto" w:fill="FFFFFF"/>
        </w:rPr>
        <w:t xml:space="preserve"> </w:t>
      </w:r>
      <w:r w:rsidRPr="008B0EBD">
        <w:rPr>
          <w:rStyle w:val="vol"/>
          <w:szCs w:val="22"/>
          <w:shd w:val="clear" w:color="auto" w:fill="FFFFFF"/>
        </w:rPr>
        <w:t>28</w:t>
      </w:r>
      <w:r>
        <w:rPr>
          <w:rStyle w:val="vol"/>
          <w:szCs w:val="22"/>
          <w:shd w:val="clear" w:color="auto" w:fill="FFFFFF"/>
        </w:rPr>
        <w:t>:</w:t>
      </w:r>
      <w:r w:rsidRPr="008B0EBD">
        <w:rPr>
          <w:rStyle w:val="pagefirst"/>
          <w:szCs w:val="22"/>
          <w:shd w:val="clear" w:color="auto" w:fill="FFFFFF"/>
        </w:rPr>
        <w:t>7234</w:t>
      </w:r>
      <w:r w:rsidRPr="008B0EBD">
        <w:rPr>
          <w:shd w:val="clear" w:color="auto" w:fill="FFFFFF"/>
        </w:rPr>
        <w:t>-</w:t>
      </w:r>
      <w:r w:rsidRPr="008B0EBD">
        <w:rPr>
          <w:rStyle w:val="pagelast"/>
          <w:szCs w:val="22"/>
          <w:shd w:val="clear" w:color="auto" w:fill="FFFFFF"/>
        </w:rPr>
        <w:t>7249</w:t>
      </w:r>
      <w:r w:rsidRPr="008B0EBD">
        <w:rPr>
          <w:shd w:val="clear" w:color="auto" w:fill="FFFFFF"/>
        </w:rPr>
        <w:t> </w:t>
      </w:r>
      <w:hyperlink r:id="rId28" w:history="1">
        <w:r w:rsidRPr="00BB6B04">
          <w:rPr>
            <w:rStyle w:val="Hipervnculo"/>
            <w:color w:val="9E0000"/>
            <w:szCs w:val="22"/>
            <w:shd w:val="clear" w:color="auto" w:fill="FFFFFF"/>
          </w:rPr>
          <w:t>https://doi.org/10.1111/gcb.16437</w:t>
        </w:r>
      </w:hyperlink>
      <w:r w:rsidRPr="00411DCD">
        <w:t>.</w:t>
      </w:r>
    </w:p>
    <w:p w14:paraId="52CFB5F0" w14:textId="77777777" w:rsidR="00450517" w:rsidRPr="00411DCD" w:rsidRDefault="00450517" w:rsidP="00450517">
      <w:pPr>
        <w:pStyle w:val="ATSNormal"/>
        <w:ind w:left="360"/>
      </w:pPr>
      <w:r w:rsidRPr="00411DCD">
        <w:rPr>
          <w:shd w:val="clear" w:color="auto" w:fill="FFFFFF"/>
        </w:rPr>
        <w:t xml:space="preserve">This study interrogated key demographic parameters and their biophysical drivers to understand the role of intrinsic and extrinsic </w:t>
      </w:r>
      <w:r>
        <w:rPr>
          <w:shd w:val="clear" w:color="auto" w:fill="FFFFFF"/>
        </w:rPr>
        <w:t>processes</w:t>
      </w:r>
      <w:r w:rsidRPr="00411DCD">
        <w:rPr>
          <w:shd w:val="clear" w:color="auto" w:fill="FFFFFF"/>
        </w:rPr>
        <w:t xml:space="preserve"> during a recent near halving of a large Adélie penguin (</w:t>
      </w:r>
      <w:r w:rsidRPr="00411DCD">
        <w:rPr>
          <w:i/>
          <w:iCs/>
          <w:shd w:val="clear" w:color="auto" w:fill="FFFFFF"/>
        </w:rPr>
        <w:t>Pygoscelis adeliae</w:t>
      </w:r>
      <w:r w:rsidRPr="00411DCD">
        <w:rPr>
          <w:shd w:val="clear" w:color="auto" w:fill="FFFFFF"/>
        </w:rPr>
        <w:t xml:space="preserve">) metapopulation. The loss of 154,000 breeding birds along the 100-km East Antarctic coastline centred around 63°E over the last decade diverges from a sustained increase over preceding decades and is contrary to recent models that predict a continued increase. The study showed that failure to capture both intrinsic and extrinsic drivers in predictive population models may mean that the real impacts of climate change on species' populations are more severe than projections would lead us to believe. </w:t>
      </w:r>
    </w:p>
    <w:p w14:paraId="0583AC7B" w14:textId="77777777" w:rsidR="00450517" w:rsidRPr="00411DCD" w:rsidRDefault="00450517" w:rsidP="00450517">
      <w:pPr>
        <w:pStyle w:val="ATSNumber2"/>
        <w:tabs>
          <w:tab w:val="clear" w:pos="720"/>
          <w:tab w:val="num" w:pos="360"/>
        </w:tabs>
        <w:ind w:left="360"/>
      </w:pPr>
      <w:r w:rsidRPr="008B0EBD">
        <w:rPr>
          <w:shd w:val="clear" w:color="auto" w:fill="FFFFFF"/>
        </w:rPr>
        <w:t>Stark JS.</w:t>
      </w:r>
      <w:r w:rsidRPr="00411DCD">
        <w:rPr>
          <w:shd w:val="clear" w:color="auto" w:fill="FFFFFF"/>
        </w:rPr>
        <w:t xml:space="preserve"> (2022) Effects of lubricant oil and diesel on macrofaunal communities in marine sediments: A five</w:t>
      </w:r>
      <w:r>
        <w:rPr>
          <w:shd w:val="clear" w:color="auto" w:fill="FFFFFF"/>
        </w:rPr>
        <w:t>-</w:t>
      </w:r>
      <w:r w:rsidRPr="00411DCD">
        <w:rPr>
          <w:shd w:val="clear" w:color="auto" w:fill="FFFFFF"/>
        </w:rPr>
        <w:t xml:space="preserve">year field experiment in Antarctica. </w:t>
      </w:r>
      <w:r w:rsidRPr="008B0EBD">
        <w:rPr>
          <w:i/>
          <w:shd w:val="clear" w:color="auto" w:fill="FFFFFF"/>
        </w:rPr>
        <w:t>Environmental Pollution</w:t>
      </w:r>
      <w:r w:rsidRPr="00411DCD">
        <w:rPr>
          <w:shd w:val="clear" w:color="auto" w:fill="FFFFFF"/>
        </w:rPr>
        <w:t xml:space="preserve"> 311:119885. </w:t>
      </w:r>
      <w:hyperlink r:id="rId29" w:history="1">
        <w:r w:rsidRPr="00660C0A">
          <w:rPr>
            <w:rStyle w:val="Hipervnculo"/>
            <w:color w:val="9E0000"/>
            <w:szCs w:val="22"/>
            <w:shd w:val="clear" w:color="auto" w:fill="FFFFFF"/>
          </w:rPr>
          <w:t>https://pubmed.ncbi.nlm.nih.gov/35977637/</w:t>
        </w:r>
      </w:hyperlink>
    </w:p>
    <w:p w14:paraId="277C9A91" w14:textId="77777777" w:rsidR="00450517" w:rsidRPr="00411DCD" w:rsidRDefault="00450517" w:rsidP="00450517">
      <w:pPr>
        <w:pStyle w:val="ATSNormal"/>
        <w:ind w:left="360"/>
        <w:rPr>
          <w:shd w:val="clear" w:color="auto" w:fill="FFFFFF"/>
        </w:rPr>
      </w:pPr>
      <w:r w:rsidRPr="00411DCD">
        <w:rPr>
          <w:shd w:val="clear" w:color="auto" w:fill="FFFFFF"/>
        </w:rPr>
        <w:t xml:space="preserve">This study </w:t>
      </w:r>
      <w:r>
        <w:rPr>
          <w:shd w:val="clear" w:color="auto" w:fill="FFFFFF"/>
        </w:rPr>
        <w:t xml:space="preserve">involved a controlled field experiment in a shallow Antarctic marine embayment to </w:t>
      </w:r>
      <w:r w:rsidRPr="00411DCD">
        <w:rPr>
          <w:shd w:val="clear" w:color="auto" w:fill="FFFFFF"/>
        </w:rPr>
        <w:t xml:space="preserve">investigate the effects of four different hydrocarbon products (diesel fuel and three lubricating oils) on sediment macrofaunal communities </w:t>
      </w:r>
      <w:r>
        <w:rPr>
          <w:shd w:val="clear" w:color="auto" w:fill="FFFFFF"/>
        </w:rPr>
        <w:t xml:space="preserve">in the </w:t>
      </w:r>
      <w:r w:rsidRPr="00411DCD">
        <w:rPr>
          <w:shd w:val="clear" w:color="auto" w:fill="FFFFFF"/>
        </w:rPr>
        <w:t xml:space="preserve">Antarctic </w:t>
      </w:r>
      <w:r>
        <w:rPr>
          <w:shd w:val="clear" w:color="auto" w:fill="FFFFFF"/>
        </w:rPr>
        <w:t xml:space="preserve">near-shore </w:t>
      </w:r>
      <w:r w:rsidRPr="00411DCD">
        <w:rPr>
          <w:shd w:val="clear" w:color="auto" w:fill="FFFFFF"/>
        </w:rPr>
        <w:t xml:space="preserve">marine </w:t>
      </w:r>
      <w:r>
        <w:rPr>
          <w:shd w:val="clear" w:color="auto" w:fill="FFFFFF"/>
        </w:rPr>
        <w:t>environment</w:t>
      </w:r>
      <w:r w:rsidRPr="00411DCD">
        <w:rPr>
          <w:shd w:val="clear" w:color="auto" w:fill="FFFFFF"/>
        </w:rPr>
        <w:t>. Th</w:t>
      </w:r>
      <w:r>
        <w:rPr>
          <w:shd w:val="clear" w:color="auto" w:fill="FFFFFF"/>
        </w:rPr>
        <w:t>e experiment</w:t>
      </w:r>
      <w:r w:rsidRPr="00411DCD">
        <w:rPr>
          <w:shd w:val="clear" w:color="auto" w:fill="FFFFFF"/>
        </w:rPr>
        <w:t xml:space="preserve"> showed that</w:t>
      </w:r>
      <w:r>
        <w:rPr>
          <w:shd w:val="clear" w:color="auto" w:fill="FFFFFF"/>
        </w:rPr>
        <w:t xml:space="preserve"> the impacts of spilled hydrocarbons in Antarctica will </w:t>
      </w:r>
      <w:r w:rsidRPr="00411DCD">
        <w:rPr>
          <w:shd w:val="clear" w:color="auto" w:fill="FFFFFF"/>
        </w:rPr>
        <w:t xml:space="preserve">persist well beyond </w:t>
      </w:r>
      <w:r>
        <w:rPr>
          <w:shd w:val="clear" w:color="auto" w:fill="FFFFFF"/>
        </w:rPr>
        <w:t>five</w:t>
      </w:r>
      <w:r w:rsidRPr="00411DCD">
        <w:rPr>
          <w:shd w:val="clear" w:color="auto" w:fill="FFFFFF"/>
        </w:rPr>
        <w:t xml:space="preserve"> years, but diesel impacts </w:t>
      </w:r>
      <w:r>
        <w:rPr>
          <w:shd w:val="clear" w:color="auto" w:fill="FFFFFF"/>
        </w:rPr>
        <w:t xml:space="preserve">will </w:t>
      </w:r>
      <w:r w:rsidRPr="00411DCD">
        <w:rPr>
          <w:shd w:val="clear" w:color="auto" w:fill="FFFFFF"/>
        </w:rPr>
        <w:t>recover faster than oil.</w:t>
      </w:r>
    </w:p>
    <w:p w14:paraId="724262C5" w14:textId="77777777" w:rsidR="00450517" w:rsidRPr="00506206" w:rsidRDefault="00450517" w:rsidP="00450517">
      <w:pPr>
        <w:pStyle w:val="ATSNumber2"/>
        <w:tabs>
          <w:tab w:val="clear" w:pos="720"/>
          <w:tab w:val="num" w:pos="360"/>
        </w:tabs>
        <w:ind w:left="360"/>
        <w:jc w:val="left"/>
        <w:rPr>
          <w:szCs w:val="22"/>
        </w:rPr>
      </w:pPr>
      <w:r w:rsidRPr="008B0EBD">
        <w:rPr>
          <w:color w:val="202020"/>
          <w:szCs w:val="22"/>
          <w:shd w:val="clear" w:color="auto" w:fill="FFFFFF"/>
        </w:rPr>
        <w:t>Cox MJ, Macaulay G, Brasier MJ, Burns A, Johnson OJ, King R</w:t>
      </w:r>
      <w:r w:rsidRPr="008B0EBD">
        <w:rPr>
          <w:szCs w:val="22"/>
        </w:rPr>
        <w:t>, </w:t>
      </w:r>
      <w:hyperlink r:id="rId30" w:history="1">
        <w:r w:rsidRPr="008B0EBD">
          <w:rPr>
            <w:rStyle w:val="Hipervnculo"/>
            <w:iCs/>
            <w:color w:val="auto"/>
            <w:szCs w:val="22"/>
            <w:u w:val="none"/>
          </w:rPr>
          <w:t>Maschette D</w:t>
        </w:r>
      </w:hyperlink>
      <w:r w:rsidRPr="008B0EBD">
        <w:rPr>
          <w:szCs w:val="22"/>
        </w:rPr>
        <w:t>, </w:t>
      </w:r>
      <w:hyperlink r:id="rId31" w:history="1">
        <w:r w:rsidRPr="008B0EBD">
          <w:rPr>
            <w:rStyle w:val="Hipervnculo"/>
            <w:color w:val="auto"/>
            <w:szCs w:val="22"/>
            <w:u w:val="none"/>
          </w:rPr>
          <w:t>Melvin J</w:t>
        </w:r>
      </w:hyperlink>
      <w:r w:rsidRPr="008B0EBD">
        <w:rPr>
          <w:szCs w:val="22"/>
        </w:rPr>
        <w:t>, </w:t>
      </w:r>
      <w:hyperlink r:id="rId32" w:history="1">
        <w:r w:rsidRPr="008B0EBD">
          <w:rPr>
            <w:rStyle w:val="Hipervnculo"/>
            <w:color w:val="auto"/>
            <w:szCs w:val="22"/>
            <w:u w:val="none"/>
          </w:rPr>
          <w:t>Smith AJR.</w:t>
        </w:r>
      </w:hyperlink>
      <w:r w:rsidRPr="008B0EBD">
        <w:rPr>
          <w:szCs w:val="22"/>
        </w:rPr>
        <w:t>, </w:t>
      </w:r>
      <w:hyperlink r:id="rId33" w:history="1">
        <w:r w:rsidRPr="008B0EBD">
          <w:rPr>
            <w:rStyle w:val="Hipervnculo"/>
            <w:color w:val="auto"/>
            <w:szCs w:val="22"/>
            <w:u w:val="none"/>
          </w:rPr>
          <w:t>Weldrick CK</w:t>
        </w:r>
      </w:hyperlink>
      <w:r w:rsidRPr="008B0EBD">
        <w:rPr>
          <w:szCs w:val="22"/>
        </w:rPr>
        <w:t>, </w:t>
      </w:r>
      <w:hyperlink r:id="rId34" w:history="1">
        <w:r w:rsidRPr="008B0EBD">
          <w:rPr>
            <w:rStyle w:val="Hipervnculo"/>
            <w:iCs/>
            <w:color w:val="auto"/>
            <w:szCs w:val="22"/>
            <w:u w:val="none"/>
          </w:rPr>
          <w:t>Wotherspoon SJ</w:t>
        </w:r>
      </w:hyperlink>
      <w:r w:rsidRPr="008B0EBD">
        <w:rPr>
          <w:szCs w:val="22"/>
        </w:rPr>
        <w:t>, </w:t>
      </w:r>
      <w:hyperlink r:id="rId35" w:history="1">
        <w:r w:rsidRPr="008B0EBD">
          <w:rPr>
            <w:rStyle w:val="Hipervnculo"/>
            <w:iCs/>
            <w:color w:val="auto"/>
            <w:szCs w:val="22"/>
            <w:u w:val="none"/>
          </w:rPr>
          <w:t>Kawaguchi S</w:t>
        </w:r>
      </w:hyperlink>
      <w:r w:rsidRPr="008B0EBD">
        <w:rPr>
          <w:color w:val="202020"/>
          <w:szCs w:val="22"/>
          <w:shd w:val="clear" w:color="auto" w:fill="FFFFFF"/>
        </w:rPr>
        <w:t xml:space="preserve"> (2022) Two scales of distribution and biomass of Antarctic krill</w:t>
      </w:r>
      <w:r w:rsidRPr="00506206">
        <w:rPr>
          <w:color w:val="202020"/>
          <w:szCs w:val="22"/>
          <w:shd w:val="clear" w:color="auto" w:fill="FFFFFF"/>
        </w:rPr>
        <w:t xml:space="preserve"> (</w:t>
      </w:r>
      <w:r w:rsidRPr="00506206">
        <w:rPr>
          <w:rStyle w:val="nfasis"/>
          <w:color w:val="202020"/>
          <w:szCs w:val="22"/>
          <w:shd w:val="clear" w:color="auto" w:fill="FFFFFF"/>
        </w:rPr>
        <w:t>Euphausia superba</w:t>
      </w:r>
      <w:r w:rsidRPr="00506206">
        <w:rPr>
          <w:color w:val="202020"/>
          <w:szCs w:val="22"/>
          <w:shd w:val="clear" w:color="auto" w:fill="FFFFFF"/>
        </w:rPr>
        <w:t xml:space="preserve">) in the eastern sector of the CCAMLR Division 58.4.2 (55°E to 80°E). PLoS ONE 17(8): e0271078. </w:t>
      </w:r>
      <w:hyperlink r:id="rId36" w:history="1">
        <w:r w:rsidRPr="00506206">
          <w:rPr>
            <w:rStyle w:val="Hipervnculo"/>
            <w:szCs w:val="22"/>
            <w:shd w:val="clear" w:color="auto" w:fill="FFFFFF"/>
          </w:rPr>
          <w:t>https://doi.org/10.1371/journal.pone.0271078</w:t>
        </w:r>
      </w:hyperlink>
    </w:p>
    <w:p w14:paraId="77D4254F" w14:textId="77777777" w:rsidR="00450517" w:rsidRPr="00506206" w:rsidRDefault="00450517" w:rsidP="00450517">
      <w:pPr>
        <w:pStyle w:val="ATSNormal"/>
        <w:ind w:left="360"/>
      </w:pPr>
      <w:r w:rsidRPr="00506206">
        <w:t>This study provides a biomass estimate for Antarctic krill in the eastern sector of the CCAMLR Division 58.4.2 using data collected during an acoustic-trawl survey carried out in February and March 2021.</w:t>
      </w:r>
      <w:r w:rsidRPr="00506206">
        <w:rPr>
          <w:color w:val="202020"/>
          <w:shd w:val="clear" w:color="auto" w:fill="FFFFFF"/>
        </w:rPr>
        <w:t xml:space="preserve"> </w:t>
      </w:r>
      <w:r>
        <w:rPr>
          <w:color w:val="202020"/>
          <w:shd w:val="clear" w:color="auto" w:fill="FFFFFF"/>
        </w:rPr>
        <w:t>The</w:t>
      </w:r>
      <w:r w:rsidRPr="00506206">
        <w:rPr>
          <w:color w:val="202020"/>
          <w:shd w:val="clear" w:color="auto" w:fill="FFFFFF"/>
        </w:rPr>
        <w:t xml:space="preserve"> biomass density was estimated as 8.3 gm</w:t>
      </w:r>
      <w:r w:rsidRPr="00506206">
        <w:rPr>
          <w:color w:val="202020"/>
          <w:shd w:val="clear" w:color="auto" w:fill="FFFFFF"/>
          <w:vertAlign w:val="superscript"/>
        </w:rPr>
        <w:t>-2</w:t>
      </w:r>
      <w:r w:rsidRPr="00506206">
        <w:rPr>
          <w:color w:val="202020"/>
          <w:shd w:val="clear" w:color="auto" w:fill="FFFFFF"/>
        </w:rPr>
        <w:t xml:space="preserve"> giving a total areal krill biomass of 6.48 million tonnes. The </w:t>
      </w:r>
      <w:r>
        <w:rPr>
          <w:color w:val="202020"/>
          <w:shd w:val="clear" w:color="auto" w:fill="FFFFFF"/>
        </w:rPr>
        <w:t xml:space="preserve">study </w:t>
      </w:r>
      <w:r w:rsidRPr="00506206">
        <w:rPr>
          <w:color w:val="202020"/>
          <w:shd w:val="clear" w:color="auto" w:fill="FFFFFF"/>
        </w:rPr>
        <w:t>assessed the efficacy of extrapolating smaller surveys to a wider area.</w:t>
      </w:r>
    </w:p>
    <w:p w14:paraId="20A850BF" w14:textId="77777777" w:rsidR="00450517" w:rsidRDefault="00450517" w:rsidP="00450517">
      <w:pPr>
        <w:pStyle w:val="ATSNumber2"/>
        <w:tabs>
          <w:tab w:val="clear" w:pos="720"/>
          <w:tab w:val="num" w:pos="360"/>
        </w:tabs>
        <w:ind w:left="360"/>
        <w:rPr>
          <w:lang w:val="en-AU"/>
        </w:rPr>
      </w:pPr>
      <w:r w:rsidRPr="008B0EBD">
        <w:rPr>
          <w:lang w:val="en-AU"/>
        </w:rPr>
        <w:t>Thompson SS, Kulessa B, Luckman A, Halpin JA, Greenbaum JS, Pelle T, Habbal F, Guo J, Jong LM, Roberts JL, Sun B</w:t>
      </w:r>
      <w:r w:rsidRPr="00506206">
        <w:rPr>
          <w:lang w:val="en-AU"/>
        </w:rPr>
        <w:t>, and Blankenship DD (2023) Glaciological history and structural evolution of the</w:t>
      </w:r>
      <w:r w:rsidRPr="00D73FB2">
        <w:rPr>
          <w:lang w:val="en-AU"/>
        </w:rPr>
        <w:t xml:space="preserve"> Shackleton Ice Shelf system, East Antarctica, over the past 60 years, </w:t>
      </w:r>
      <w:r w:rsidRPr="008B0EBD">
        <w:rPr>
          <w:i/>
          <w:lang w:val="en-AU"/>
        </w:rPr>
        <w:t>The Cryosphere</w:t>
      </w:r>
      <w:r w:rsidRPr="00D73FB2">
        <w:rPr>
          <w:lang w:val="en-AU"/>
        </w:rPr>
        <w:t xml:space="preserve"> 17</w:t>
      </w:r>
      <w:r>
        <w:rPr>
          <w:lang w:val="en-AU"/>
        </w:rPr>
        <w:t>:</w:t>
      </w:r>
      <w:r w:rsidRPr="00D73FB2">
        <w:rPr>
          <w:lang w:val="en-AU"/>
        </w:rPr>
        <w:t xml:space="preserve">157–174 </w:t>
      </w:r>
      <w:hyperlink r:id="rId37" w:history="1">
        <w:r w:rsidRPr="00EF7C9E">
          <w:rPr>
            <w:rStyle w:val="Hipervnculo"/>
            <w:szCs w:val="22"/>
            <w:lang w:val="en-AU" w:eastAsia="en-AU"/>
          </w:rPr>
          <w:t>https://tc.copernicus.org/articles/17/157/2023/tc-17-157-2023.html</w:t>
        </w:r>
      </w:hyperlink>
    </w:p>
    <w:p w14:paraId="742E6B67" w14:textId="77777777" w:rsidR="00450517" w:rsidRPr="003843AA" w:rsidRDefault="00450517" w:rsidP="00450517">
      <w:pPr>
        <w:pStyle w:val="ATSNormal"/>
        <w:ind w:left="360"/>
        <w:rPr>
          <w:shd w:val="clear" w:color="auto" w:fill="FFFFFF"/>
        </w:rPr>
      </w:pPr>
      <w:r>
        <w:rPr>
          <w:shd w:val="clear" w:color="auto" w:fill="FFFFFF"/>
        </w:rPr>
        <w:t xml:space="preserve">This paper seeks to better understand the </w:t>
      </w:r>
      <w:r w:rsidRPr="00897C12">
        <w:rPr>
          <w:shd w:val="clear" w:color="auto" w:fill="FFFFFF"/>
        </w:rPr>
        <w:t>controls driving Denman Glacier's dynamic evolution</w:t>
      </w:r>
      <w:r>
        <w:rPr>
          <w:shd w:val="clear" w:color="auto" w:fill="FFFFFF"/>
        </w:rPr>
        <w:t xml:space="preserve"> by focussing on</w:t>
      </w:r>
      <w:r w:rsidRPr="00897C12">
        <w:rPr>
          <w:shd w:val="clear" w:color="auto" w:fill="FFFFFF"/>
        </w:rPr>
        <w:t xml:space="preserve"> the Shackleton system, comprised of the Shackleton Ice Shelf, Denman Glacier, and the adjacent Scott, Northcliff, Roscoe and Apfel glaciers, about which almost nothing is known.</w:t>
      </w:r>
      <w:r>
        <w:rPr>
          <w:shd w:val="clear" w:color="auto" w:fill="FFFFFF"/>
        </w:rPr>
        <w:t xml:space="preserve"> This study draws on 60 years of observations and integrating </w:t>
      </w:r>
      <w:r w:rsidRPr="00897C12">
        <w:rPr>
          <w:shd w:val="clear" w:color="auto" w:fill="FFFFFF"/>
        </w:rPr>
        <w:t>new satellite observations of ice structure and airborne radar data with changes in ice front position and ice flow velocities</w:t>
      </w:r>
      <w:r>
        <w:rPr>
          <w:shd w:val="clear" w:color="auto" w:fill="FFFFFF"/>
        </w:rPr>
        <w:t xml:space="preserve">. </w:t>
      </w:r>
      <w:r w:rsidRPr="003843AA">
        <w:rPr>
          <w:shd w:val="clear" w:color="auto" w:fill="FFFFFF"/>
        </w:rPr>
        <w:t xml:space="preserve">Over the period 2017–2022 </w:t>
      </w:r>
      <w:r>
        <w:rPr>
          <w:shd w:val="clear" w:color="auto" w:fill="FFFFFF"/>
        </w:rPr>
        <w:t>the study found</w:t>
      </w:r>
      <w:r w:rsidRPr="003843AA">
        <w:rPr>
          <w:shd w:val="clear" w:color="auto" w:fill="FFFFFF"/>
        </w:rPr>
        <w:t xml:space="preserve"> a significant increase in ice flow speed (up to 50 %) on the floating part of Scott Glacier, coincident with small-scale calving and rift propagation close to the ice front.</w:t>
      </w:r>
    </w:p>
    <w:p w14:paraId="33DB3B37" w14:textId="77777777" w:rsidR="00450517" w:rsidRPr="008671C5" w:rsidRDefault="00450517" w:rsidP="00450517">
      <w:pPr>
        <w:spacing w:before="100" w:beforeAutospacing="1" w:after="100" w:afterAutospacing="1"/>
        <w:rPr>
          <w:lang w:val="en-US"/>
        </w:rPr>
      </w:pPr>
    </w:p>
    <w:p w14:paraId="768395BE" w14:textId="77777777" w:rsidR="00450517" w:rsidRPr="00450517" w:rsidRDefault="00450517" w:rsidP="00952E9F">
      <w:pPr>
        <w:rPr>
          <w:lang w:val="en-US"/>
        </w:rPr>
      </w:pPr>
    </w:p>
    <w:sectPr w:rsidR="00450517" w:rsidRPr="00450517" w:rsidSect="00283F0F">
      <w:headerReference w:type="default" r:id="rId38"/>
      <w:footerReference w:type="default" r:id="rId3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8867" w14:textId="77777777" w:rsidR="00000000" w:rsidRDefault="00450517">
      <w:r>
        <w:separator/>
      </w:r>
    </w:p>
  </w:endnote>
  <w:endnote w:type="continuationSeparator" w:id="0">
    <w:p w14:paraId="0DC18002" w14:textId="77777777" w:rsidR="00000000" w:rsidRDefault="0045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7B1" w14:textId="77777777" w:rsidR="00FA0B9F" w:rsidRDefault="00450517" w:rsidP="00CF5C82">
    <w:pPr>
      <w:framePr w:wrap="around" w:vAnchor="text" w:hAnchor="margin" w:xAlign="right" w:y="1"/>
    </w:pPr>
    <w:r>
      <w:fldChar w:fldCharType="begin"/>
    </w:r>
    <w:r>
      <w:instrText xml:space="preserve">PAGE  </w:instrText>
    </w:r>
    <w:r>
      <w:fldChar w:fldCharType="separate"/>
    </w:r>
    <w:r>
      <w:fldChar w:fldCharType="end"/>
    </w:r>
  </w:p>
  <w:p w14:paraId="2671EA53" w14:textId="77777777" w:rsidR="00FA0B9F" w:rsidRDefault="0045051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B408" w14:textId="77777777" w:rsidR="00FA0B9F" w:rsidRDefault="0045051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365A90" w14:textId="526EAE40" w:rsidR="00FA0B9F" w:rsidRDefault="00450517" w:rsidP="0045051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1632" w14:textId="77777777" w:rsidR="00E311C9" w:rsidRDefault="0045051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1867BD8" w14:textId="77777777" w:rsidR="00E311C9" w:rsidRDefault="0045051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B9CB" w14:textId="77777777" w:rsidR="00000000" w:rsidRDefault="00450517">
      <w:r>
        <w:separator/>
      </w:r>
    </w:p>
  </w:footnote>
  <w:footnote w:type="continuationSeparator" w:id="0">
    <w:p w14:paraId="3D288D8E" w14:textId="77777777" w:rsidR="00000000" w:rsidRDefault="00450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A84365" w14:paraId="17212AD4" w14:textId="77777777" w:rsidTr="002E12EC">
      <w:trPr>
        <w:trHeight w:val="344"/>
        <w:jc w:val="center"/>
      </w:trPr>
      <w:tc>
        <w:tcPr>
          <w:tcW w:w="5495" w:type="dxa"/>
        </w:tcPr>
        <w:p w14:paraId="2BDC3359" w14:textId="77777777" w:rsidR="00DB7C09" w:rsidRDefault="00450517" w:rsidP="00F968D4"/>
      </w:tc>
      <w:tc>
        <w:tcPr>
          <w:tcW w:w="4253" w:type="dxa"/>
          <w:gridSpan w:val="2"/>
        </w:tcPr>
        <w:p w14:paraId="39AA94A1" w14:textId="77777777" w:rsidR="00DB7C09" w:rsidRPr="00BD47E4" w:rsidRDefault="00450517" w:rsidP="002A07BC">
          <w:pPr>
            <w:jc w:val="right"/>
            <w:rPr>
              <w:b/>
              <w:sz w:val="32"/>
              <w:szCs w:val="32"/>
            </w:rPr>
          </w:pPr>
          <w:bookmarkStart w:id="2" w:name="type"/>
          <w:r w:rsidRPr="00BD47E4">
            <w:rPr>
              <w:b/>
              <w:sz w:val="32"/>
              <w:szCs w:val="32"/>
            </w:rPr>
            <w:t>IP</w:t>
          </w:r>
          <w:bookmarkEnd w:id="2"/>
        </w:p>
      </w:tc>
      <w:tc>
        <w:tcPr>
          <w:tcW w:w="1524" w:type="dxa"/>
          <w:gridSpan w:val="2"/>
        </w:tcPr>
        <w:p w14:paraId="6014C046" w14:textId="77777777" w:rsidR="00DB7C09" w:rsidRPr="00BD47E4" w:rsidRDefault="00450517" w:rsidP="00DB7C09">
          <w:pPr>
            <w:rPr>
              <w:b/>
              <w:sz w:val="32"/>
              <w:szCs w:val="32"/>
            </w:rPr>
          </w:pPr>
          <w:bookmarkStart w:id="3" w:name="number"/>
          <w:r w:rsidRPr="00BD47E4">
            <w:rPr>
              <w:b/>
              <w:sz w:val="32"/>
              <w:szCs w:val="32"/>
            </w:rPr>
            <w:t>71</w:t>
          </w:r>
          <w:bookmarkEnd w:id="3"/>
        </w:p>
      </w:tc>
    </w:tr>
    <w:tr w:rsidR="00A84365" w14:paraId="6AAD5D04" w14:textId="77777777" w:rsidTr="002E12EC">
      <w:trPr>
        <w:trHeight w:val="2165"/>
        <w:jc w:val="center"/>
      </w:trPr>
      <w:tc>
        <w:tcPr>
          <w:tcW w:w="5495" w:type="dxa"/>
        </w:tcPr>
        <w:p w14:paraId="6E74C1FB" w14:textId="77777777" w:rsidR="00490760" w:rsidRPr="00EE4D48" w:rsidRDefault="00450517" w:rsidP="002A07BC">
          <w:pPr>
            <w:rPr>
              <w:b/>
              <w:sz w:val="28"/>
              <w:szCs w:val="28"/>
            </w:rPr>
          </w:pPr>
          <w:r>
            <w:rPr>
              <w:noProof/>
            </w:rPr>
            <w:drawing>
              <wp:inline distT="0" distB="0" distL="0" distR="0" wp14:anchorId="015AE805" wp14:editId="1783C5D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9774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042B884" w14:textId="77777777" w:rsidR="00490760" w:rsidRPr="00FE5146" w:rsidRDefault="00450517" w:rsidP="00490760">
          <w:pPr>
            <w:jc w:val="right"/>
            <w:rPr>
              <w:sz w:val="144"/>
              <w:szCs w:val="144"/>
            </w:rPr>
          </w:pPr>
          <w:r w:rsidRPr="00FE5146">
            <w:rPr>
              <w:sz w:val="144"/>
              <w:szCs w:val="144"/>
            </w:rPr>
            <w:t>ENG</w:t>
          </w:r>
        </w:p>
      </w:tc>
    </w:tr>
    <w:tr w:rsidR="00A84365" w14:paraId="39925CBC" w14:textId="77777777" w:rsidTr="002E12EC">
      <w:trPr>
        <w:trHeight w:val="409"/>
        <w:jc w:val="center"/>
      </w:trPr>
      <w:tc>
        <w:tcPr>
          <w:tcW w:w="8500" w:type="dxa"/>
          <w:gridSpan w:val="2"/>
        </w:tcPr>
        <w:p w14:paraId="17D66415" w14:textId="77777777" w:rsidR="00BD47E4" w:rsidRDefault="00450517" w:rsidP="002C30DA">
          <w:pPr>
            <w:jc w:val="right"/>
          </w:pPr>
          <w:r>
            <w:t>Agenda Item:</w:t>
          </w:r>
        </w:p>
      </w:tc>
      <w:tc>
        <w:tcPr>
          <w:tcW w:w="2382" w:type="dxa"/>
          <w:gridSpan w:val="2"/>
        </w:tcPr>
        <w:p w14:paraId="16CA3640" w14:textId="77777777" w:rsidR="00BD47E4" w:rsidRDefault="00450517" w:rsidP="002C30DA">
          <w:pPr>
            <w:jc w:val="right"/>
          </w:pPr>
          <w:bookmarkStart w:id="4" w:name="agenda"/>
          <w:r>
            <w:t>ATCM 15</w:t>
          </w:r>
          <w:bookmarkEnd w:id="4"/>
        </w:p>
      </w:tc>
      <w:tc>
        <w:tcPr>
          <w:tcW w:w="390" w:type="dxa"/>
        </w:tcPr>
        <w:p w14:paraId="668FE6B3" w14:textId="77777777" w:rsidR="00BD47E4" w:rsidRDefault="00450517" w:rsidP="00387A65">
          <w:pPr>
            <w:jc w:val="right"/>
          </w:pPr>
        </w:p>
      </w:tc>
    </w:tr>
    <w:tr w:rsidR="00A84365" w14:paraId="4521F2BA" w14:textId="77777777" w:rsidTr="002E12EC">
      <w:trPr>
        <w:trHeight w:val="397"/>
        <w:jc w:val="center"/>
      </w:trPr>
      <w:tc>
        <w:tcPr>
          <w:tcW w:w="8500" w:type="dxa"/>
          <w:gridSpan w:val="2"/>
        </w:tcPr>
        <w:p w14:paraId="3EFC6DDE" w14:textId="77777777" w:rsidR="00BD47E4" w:rsidRDefault="00450517" w:rsidP="002C30DA">
          <w:pPr>
            <w:jc w:val="right"/>
          </w:pPr>
          <w:r>
            <w:t>Presented by:</w:t>
          </w:r>
        </w:p>
      </w:tc>
      <w:tc>
        <w:tcPr>
          <w:tcW w:w="2382" w:type="dxa"/>
          <w:gridSpan w:val="2"/>
        </w:tcPr>
        <w:p w14:paraId="750FA1C1" w14:textId="77777777" w:rsidR="00BD47E4" w:rsidRDefault="00450517" w:rsidP="002C30DA">
          <w:pPr>
            <w:jc w:val="right"/>
          </w:pPr>
          <w:bookmarkStart w:id="5" w:name="party"/>
          <w:r>
            <w:t>Australia</w:t>
          </w:r>
          <w:bookmarkEnd w:id="5"/>
        </w:p>
      </w:tc>
      <w:tc>
        <w:tcPr>
          <w:tcW w:w="390" w:type="dxa"/>
        </w:tcPr>
        <w:p w14:paraId="73BD6D95" w14:textId="77777777" w:rsidR="00BD47E4" w:rsidRDefault="00450517" w:rsidP="00387A65">
          <w:pPr>
            <w:jc w:val="right"/>
          </w:pPr>
        </w:p>
      </w:tc>
    </w:tr>
    <w:tr w:rsidR="00A84365" w14:paraId="652D26DC" w14:textId="77777777" w:rsidTr="002E12EC">
      <w:trPr>
        <w:trHeight w:val="409"/>
        <w:jc w:val="center"/>
      </w:trPr>
      <w:tc>
        <w:tcPr>
          <w:tcW w:w="8500" w:type="dxa"/>
          <w:gridSpan w:val="2"/>
        </w:tcPr>
        <w:p w14:paraId="42699E50" w14:textId="77777777" w:rsidR="00BD47E4" w:rsidRDefault="00450517" w:rsidP="002C30DA">
          <w:pPr>
            <w:jc w:val="right"/>
          </w:pPr>
          <w:r>
            <w:t>Original:</w:t>
          </w:r>
        </w:p>
      </w:tc>
      <w:tc>
        <w:tcPr>
          <w:tcW w:w="2382" w:type="dxa"/>
          <w:gridSpan w:val="2"/>
        </w:tcPr>
        <w:p w14:paraId="68EB4D9C" w14:textId="77777777" w:rsidR="00BD47E4" w:rsidRDefault="00450517" w:rsidP="002C30DA">
          <w:pPr>
            <w:jc w:val="right"/>
          </w:pPr>
          <w:bookmarkStart w:id="6" w:name="language"/>
          <w:r>
            <w:t>English</w:t>
          </w:r>
          <w:bookmarkEnd w:id="6"/>
        </w:p>
      </w:tc>
      <w:tc>
        <w:tcPr>
          <w:tcW w:w="390" w:type="dxa"/>
        </w:tcPr>
        <w:p w14:paraId="260D3EC1" w14:textId="77777777" w:rsidR="00BD47E4" w:rsidRDefault="00450517" w:rsidP="00387A65">
          <w:pPr>
            <w:jc w:val="right"/>
          </w:pPr>
        </w:p>
      </w:tc>
    </w:tr>
    <w:tr w:rsidR="00A84365" w14:paraId="7B5E0D52" w14:textId="77777777" w:rsidTr="002E12EC">
      <w:trPr>
        <w:trHeight w:val="409"/>
        <w:jc w:val="center"/>
      </w:trPr>
      <w:tc>
        <w:tcPr>
          <w:tcW w:w="8500" w:type="dxa"/>
          <w:gridSpan w:val="2"/>
        </w:tcPr>
        <w:p w14:paraId="1038C155" w14:textId="77777777" w:rsidR="0097629D" w:rsidRDefault="00450517" w:rsidP="002C30DA">
          <w:pPr>
            <w:jc w:val="right"/>
          </w:pPr>
          <w:r>
            <w:t>Submitted:</w:t>
          </w:r>
        </w:p>
      </w:tc>
      <w:tc>
        <w:tcPr>
          <w:tcW w:w="2382" w:type="dxa"/>
          <w:gridSpan w:val="2"/>
        </w:tcPr>
        <w:p w14:paraId="6C5D9392" w14:textId="77777777" w:rsidR="0097629D" w:rsidRDefault="00450517" w:rsidP="0097629D">
          <w:pPr>
            <w:jc w:val="right"/>
          </w:pPr>
          <w:bookmarkStart w:id="7" w:name="date_submission"/>
          <w:r>
            <w:t>26 Apr 2023</w:t>
          </w:r>
          <w:bookmarkEnd w:id="7"/>
        </w:p>
      </w:tc>
      <w:tc>
        <w:tcPr>
          <w:tcW w:w="390" w:type="dxa"/>
        </w:tcPr>
        <w:p w14:paraId="5CF342FF" w14:textId="77777777" w:rsidR="0097629D" w:rsidRDefault="00450517" w:rsidP="00387A65">
          <w:pPr>
            <w:jc w:val="right"/>
          </w:pPr>
        </w:p>
      </w:tc>
    </w:tr>
  </w:tbl>
  <w:p w14:paraId="6231F713" w14:textId="77777777" w:rsidR="00AE5DD0" w:rsidRDefault="004505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84365" w14:paraId="33B27098" w14:textId="77777777">
      <w:trPr>
        <w:trHeight w:val="354"/>
        <w:jc w:val="center"/>
      </w:trPr>
      <w:tc>
        <w:tcPr>
          <w:tcW w:w="9694" w:type="dxa"/>
        </w:tcPr>
        <w:p w14:paraId="24FEED0D" w14:textId="55573320" w:rsidR="00AE5DD0" w:rsidRPr="00BD47E4" w:rsidRDefault="00450517" w:rsidP="00C26F2D">
          <w:pPr>
            <w:jc w:val="right"/>
            <w:rPr>
              <w:b/>
              <w:sz w:val="32"/>
              <w:szCs w:val="32"/>
            </w:rPr>
          </w:pPr>
          <w:r>
            <w:rPr>
              <w:b/>
              <w:sz w:val="32"/>
              <w:szCs w:val="32"/>
            </w:rPr>
            <w:t>IP</w:t>
          </w:r>
        </w:p>
      </w:tc>
      <w:tc>
        <w:tcPr>
          <w:tcW w:w="1332" w:type="dxa"/>
        </w:tcPr>
        <w:p w14:paraId="62D8D6B9" w14:textId="22297EA5" w:rsidR="00AE5DD0" w:rsidRPr="00BD47E4" w:rsidRDefault="00450517" w:rsidP="00080F4C">
          <w:pPr>
            <w:rPr>
              <w:b/>
              <w:sz w:val="32"/>
              <w:szCs w:val="32"/>
            </w:rPr>
          </w:pPr>
          <w:r>
            <w:rPr>
              <w:b/>
              <w:sz w:val="32"/>
              <w:szCs w:val="32"/>
            </w:rPr>
            <w:t>71</w:t>
          </w:r>
        </w:p>
      </w:tc>
    </w:tr>
  </w:tbl>
  <w:p w14:paraId="5F963495" w14:textId="77777777" w:rsidR="00AE5DD0" w:rsidRDefault="004505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F98DA38">
      <w:start w:val="1"/>
      <w:numFmt w:val="bullet"/>
      <w:pStyle w:val="ATSBullet1"/>
      <w:lvlText w:val=""/>
      <w:lvlJc w:val="left"/>
      <w:pPr>
        <w:tabs>
          <w:tab w:val="num" w:pos="360"/>
        </w:tabs>
        <w:ind w:left="360" w:hanging="360"/>
      </w:pPr>
      <w:rPr>
        <w:rFonts w:ascii="Symbol" w:hAnsi="Symbol" w:hint="default"/>
        <w:color w:val="auto"/>
      </w:rPr>
    </w:lvl>
    <w:lvl w:ilvl="1" w:tplc="556A3FEC" w:tentative="1">
      <w:start w:val="1"/>
      <w:numFmt w:val="bullet"/>
      <w:lvlText w:val="o"/>
      <w:lvlJc w:val="left"/>
      <w:pPr>
        <w:tabs>
          <w:tab w:val="num" w:pos="1440"/>
        </w:tabs>
        <w:ind w:left="1440" w:hanging="360"/>
      </w:pPr>
      <w:rPr>
        <w:rFonts w:ascii="Courier New" w:hAnsi="Courier New" w:cs="Courier New" w:hint="default"/>
      </w:rPr>
    </w:lvl>
    <w:lvl w:ilvl="2" w:tplc="CDA26560" w:tentative="1">
      <w:start w:val="1"/>
      <w:numFmt w:val="bullet"/>
      <w:lvlText w:val=""/>
      <w:lvlJc w:val="left"/>
      <w:pPr>
        <w:tabs>
          <w:tab w:val="num" w:pos="2160"/>
        </w:tabs>
        <w:ind w:left="2160" w:hanging="360"/>
      </w:pPr>
      <w:rPr>
        <w:rFonts w:ascii="Wingdings" w:hAnsi="Wingdings" w:hint="default"/>
      </w:rPr>
    </w:lvl>
    <w:lvl w:ilvl="3" w:tplc="7DA223C0" w:tentative="1">
      <w:start w:val="1"/>
      <w:numFmt w:val="bullet"/>
      <w:lvlText w:val=""/>
      <w:lvlJc w:val="left"/>
      <w:pPr>
        <w:tabs>
          <w:tab w:val="num" w:pos="2880"/>
        </w:tabs>
        <w:ind w:left="2880" w:hanging="360"/>
      </w:pPr>
      <w:rPr>
        <w:rFonts w:ascii="Symbol" w:hAnsi="Symbol" w:hint="default"/>
      </w:rPr>
    </w:lvl>
    <w:lvl w:ilvl="4" w:tplc="04AEDBEC" w:tentative="1">
      <w:start w:val="1"/>
      <w:numFmt w:val="bullet"/>
      <w:lvlText w:val="o"/>
      <w:lvlJc w:val="left"/>
      <w:pPr>
        <w:tabs>
          <w:tab w:val="num" w:pos="3600"/>
        </w:tabs>
        <w:ind w:left="3600" w:hanging="360"/>
      </w:pPr>
      <w:rPr>
        <w:rFonts w:ascii="Courier New" w:hAnsi="Courier New" w:cs="Courier New" w:hint="default"/>
      </w:rPr>
    </w:lvl>
    <w:lvl w:ilvl="5" w:tplc="A71C6E62" w:tentative="1">
      <w:start w:val="1"/>
      <w:numFmt w:val="bullet"/>
      <w:lvlText w:val=""/>
      <w:lvlJc w:val="left"/>
      <w:pPr>
        <w:tabs>
          <w:tab w:val="num" w:pos="4320"/>
        </w:tabs>
        <w:ind w:left="4320" w:hanging="360"/>
      </w:pPr>
      <w:rPr>
        <w:rFonts w:ascii="Wingdings" w:hAnsi="Wingdings" w:hint="default"/>
      </w:rPr>
    </w:lvl>
    <w:lvl w:ilvl="6" w:tplc="FE5A6DDC" w:tentative="1">
      <w:start w:val="1"/>
      <w:numFmt w:val="bullet"/>
      <w:lvlText w:val=""/>
      <w:lvlJc w:val="left"/>
      <w:pPr>
        <w:tabs>
          <w:tab w:val="num" w:pos="5040"/>
        </w:tabs>
        <w:ind w:left="5040" w:hanging="360"/>
      </w:pPr>
      <w:rPr>
        <w:rFonts w:ascii="Symbol" w:hAnsi="Symbol" w:hint="default"/>
      </w:rPr>
    </w:lvl>
    <w:lvl w:ilvl="7" w:tplc="18BE8A7C" w:tentative="1">
      <w:start w:val="1"/>
      <w:numFmt w:val="bullet"/>
      <w:lvlText w:val="o"/>
      <w:lvlJc w:val="left"/>
      <w:pPr>
        <w:tabs>
          <w:tab w:val="num" w:pos="5760"/>
        </w:tabs>
        <w:ind w:left="5760" w:hanging="360"/>
      </w:pPr>
      <w:rPr>
        <w:rFonts w:ascii="Courier New" w:hAnsi="Courier New" w:cs="Courier New" w:hint="default"/>
      </w:rPr>
    </w:lvl>
    <w:lvl w:ilvl="8" w:tplc="590A2DB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48A2AF4">
      <w:start w:val="1"/>
      <w:numFmt w:val="decimal"/>
      <w:lvlText w:val="%1)"/>
      <w:lvlJc w:val="left"/>
      <w:pPr>
        <w:tabs>
          <w:tab w:val="num" w:pos="340"/>
        </w:tabs>
        <w:ind w:left="340" w:hanging="340"/>
      </w:pPr>
      <w:rPr>
        <w:rFonts w:hint="default"/>
      </w:rPr>
    </w:lvl>
    <w:lvl w:ilvl="1" w:tplc="61DA4A26" w:tentative="1">
      <w:start w:val="1"/>
      <w:numFmt w:val="lowerLetter"/>
      <w:lvlText w:val="%2."/>
      <w:lvlJc w:val="left"/>
      <w:pPr>
        <w:tabs>
          <w:tab w:val="num" w:pos="1440"/>
        </w:tabs>
        <w:ind w:left="1440" w:hanging="360"/>
      </w:pPr>
    </w:lvl>
    <w:lvl w:ilvl="2" w:tplc="23F4A04C" w:tentative="1">
      <w:start w:val="1"/>
      <w:numFmt w:val="lowerRoman"/>
      <w:lvlText w:val="%3."/>
      <w:lvlJc w:val="right"/>
      <w:pPr>
        <w:tabs>
          <w:tab w:val="num" w:pos="2160"/>
        </w:tabs>
        <w:ind w:left="2160" w:hanging="180"/>
      </w:pPr>
    </w:lvl>
    <w:lvl w:ilvl="3" w:tplc="07768F88" w:tentative="1">
      <w:start w:val="1"/>
      <w:numFmt w:val="decimal"/>
      <w:lvlText w:val="%4."/>
      <w:lvlJc w:val="left"/>
      <w:pPr>
        <w:tabs>
          <w:tab w:val="num" w:pos="2880"/>
        </w:tabs>
        <w:ind w:left="2880" w:hanging="360"/>
      </w:pPr>
    </w:lvl>
    <w:lvl w:ilvl="4" w:tplc="01380E2E" w:tentative="1">
      <w:start w:val="1"/>
      <w:numFmt w:val="lowerLetter"/>
      <w:lvlText w:val="%5."/>
      <w:lvlJc w:val="left"/>
      <w:pPr>
        <w:tabs>
          <w:tab w:val="num" w:pos="3600"/>
        </w:tabs>
        <w:ind w:left="3600" w:hanging="360"/>
      </w:pPr>
    </w:lvl>
    <w:lvl w:ilvl="5" w:tplc="38AEE776" w:tentative="1">
      <w:start w:val="1"/>
      <w:numFmt w:val="lowerRoman"/>
      <w:lvlText w:val="%6."/>
      <w:lvlJc w:val="right"/>
      <w:pPr>
        <w:tabs>
          <w:tab w:val="num" w:pos="4320"/>
        </w:tabs>
        <w:ind w:left="4320" w:hanging="180"/>
      </w:pPr>
    </w:lvl>
    <w:lvl w:ilvl="6" w:tplc="300CB994" w:tentative="1">
      <w:start w:val="1"/>
      <w:numFmt w:val="decimal"/>
      <w:lvlText w:val="%7."/>
      <w:lvlJc w:val="left"/>
      <w:pPr>
        <w:tabs>
          <w:tab w:val="num" w:pos="5040"/>
        </w:tabs>
        <w:ind w:left="5040" w:hanging="360"/>
      </w:pPr>
    </w:lvl>
    <w:lvl w:ilvl="7" w:tplc="D520C44C" w:tentative="1">
      <w:start w:val="1"/>
      <w:numFmt w:val="lowerLetter"/>
      <w:lvlText w:val="%8."/>
      <w:lvlJc w:val="left"/>
      <w:pPr>
        <w:tabs>
          <w:tab w:val="num" w:pos="5760"/>
        </w:tabs>
        <w:ind w:left="5760" w:hanging="360"/>
      </w:pPr>
    </w:lvl>
    <w:lvl w:ilvl="8" w:tplc="29146EE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0269BB2">
      <w:start w:val="1"/>
      <w:numFmt w:val="decimal"/>
      <w:lvlText w:val="%1."/>
      <w:lvlJc w:val="left"/>
      <w:pPr>
        <w:tabs>
          <w:tab w:val="num" w:pos="1057"/>
        </w:tabs>
        <w:ind w:left="1057" w:hanging="360"/>
      </w:pPr>
      <w:rPr>
        <w:rFonts w:hint="default"/>
      </w:rPr>
    </w:lvl>
    <w:lvl w:ilvl="1" w:tplc="73D08216" w:tentative="1">
      <w:start w:val="1"/>
      <w:numFmt w:val="lowerLetter"/>
      <w:lvlText w:val="%2."/>
      <w:lvlJc w:val="left"/>
      <w:pPr>
        <w:tabs>
          <w:tab w:val="num" w:pos="2137"/>
        </w:tabs>
        <w:ind w:left="2137" w:hanging="360"/>
      </w:pPr>
    </w:lvl>
    <w:lvl w:ilvl="2" w:tplc="153A9104" w:tentative="1">
      <w:start w:val="1"/>
      <w:numFmt w:val="lowerRoman"/>
      <w:lvlText w:val="%3."/>
      <w:lvlJc w:val="right"/>
      <w:pPr>
        <w:tabs>
          <w:tab w:val="num" w:pos="2857"/>
        </w:tabs>
        <w:ind w:left="2857" w:hanging="180"/>
      </w:pPr>
    </w:lvl>
    <w:lvl w:ilvl="3" w:tplc="E896609C" w:tentative="1">
      <w:start w:val="1"/>
      <w:numFmt w:val="decimal"/>
      <w:lvlText w:val="%4."/>
      <w:lvlJc w:val="left"/>
      <w:pPr>
        <w:tabs>
          <w:tab w:val="num" w:pos="3577"/>
        </w:tabs>
        <w:ind w:left="3577" w:hanging="360"/>
      </w:pPr>
    </w:lvl>
    <w:lvl w:ilvl="4" w:tplc="B6CE8144" w:tentative="1">
      <w:start w:val="1"/>
      <w:numFmt w:val="lowerLetter"/>
      <w:lvlText w:val="%5."/>
      <w:lvlJc w:val="left"/>
      <w:pPr>
        <w:tabs>
          <w:tab w:val="num" w:pos="4297"/>
        </w:tabs>
        <w:ind w:left="4297" w:hanging="360"/>
      </w:pPr>
    </w:lvl>
    <w:lvl w:ilvl="5" w:tplc="847C1B7E" w:tentative="1">
      <w:start w:val="1"/>
      <w:numFmt w:val="lowerRoman"/>
      <w:lvlText w:val="%6."/>
      <w:lvlJc w:val="right"/>
      <w:pPr>
        <w:tabs>
          <w:tab w:val="num" w:pos="5017"/>
        </w:tabs>
        <w:ind w:left="5017" w:hanging="180"/>
      </w:pPr>
    </w:lvl>
    <w:lvl w:ilvl="6" w:tplc="35263934" w:tentative="1">
      <w:start w:val="1"/>
      <w:numFmt w:val="decimal"/>
      <w:lvlText w:val="%7."/>
      <w:lvlJc w:val="left"/>
      <w:pPr>
        <w:tabs>
          <w:tab w:val="num" w:pos="5737"/>
        </w:tabs>
        <w:ind w:left="5737" w:hanging="360"/>
      </w:pPr>
    </w:lvl>
    <w:lvl w:ilvl="7" w:tplc="C91A775C" w:tentative="1">
      <w:start w:val="1"/>
      <w:numFmt w:val="lowerLetter"/>
      <w:lvlText w:val="%8."/>
      <w:lvlJc w:val="left"/>
      <w:pPr>
        <w:tabs>
          <w:tab w:val="num" w:pos="6457"/>
        </w:tabs>
        <w:ind w:left="6457" w:hanging="360"/>
      </w:pPr>
    </w:lvl>
    <w:lvl w:ilvl="8" w:tplc="A40851B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E00D73E">
      <w:start w:val="1"/>
      <w:numFmt w:val="decimal"/>
      <w:pStyle w:val="ATSNumber1"/>
      <w:lvlText w:val="%1)"/>
      <w:lvlJc w:val="left"/>
      <w:pPr>
        <w:tabs>
          <w:tab w:val="num" w:pos="720"/>
        </w:tabs>
        <w:ind w:left="720" w:hanging="360"/>
      </w:pPr>
    </w:lvl>
    <w:lvl w:ilvl="1" w:tplc="278CA8FE" w:tentative="1">
      <w:start w:val="1"/>
      <w:numFmt w:val="lowerLetter"/>
      <w:lvlText w:val="%2."/>
      <w:lvlJc w:val="left"/>
      <w:pPr>
        <w:tabs>
          <w:tab w:val="num" w:pos="1440"/>
        </w:tabs>
        <w:ind w:left="1440" w:hanging="360"/>
      </w:pPr>
    </w:lvl>
    <w:lvl w:ilvl="2" w:tplc="8C10BDD2" w:tentative="1">
      <w:start w:val="1"/>
      <w:numFmt w:val="lowerRoman"/>
      <w:lvlText w:val="%3."/>
      <w:lvlJc w:val="right"/>
      <w:pPr>
        <w:tabs>
          <w:tab w:val="num" w:pos="2160"/>
        </w:tabs>
        <w:ind w:left="2160" w:hanging="180"/>
      </w:pPr>
    </w:lvl>
    <w:lvl w:ilvl="3" w:tplc="B3ECED50" w:tentative="1">
      <w:start w:val="1"/>
      <w:numFmt w:val="decimal"/>
      <w:lvlText w:val="%4."/>
      <w:lvlJc w:val="left"/>
      <w:pPr>
        <w:tabs>
          <w:tab w:val="num" w:pos="2880"/>
        </w:tabs>
        <w:ind w:left="2880" w:hanging="360"/>
      </w:pPr>
    </w:lvl>
    <w:lvl w:ilvl="4" w:tplc="BAEED568" w:tentative="1">
      <w:start w:val="1"/>
      <w:numFmt w:val="lowerLetter"/>
      <w:lvlText w:val="%5."/>
      <w:lvlJc w:val="left"/>
      <w:pPr>
        <w:tabs>
          <w:tab w:val="num" w:pos="3600"/>
        </w:tabs>
        <w:ind w:left="3600" w:hanging="360"/>
      </w:pPr>
    </w:lvl>
    <w:lvl w:ilvl="5" w:tplc="94B2F24E" w:tentative="1">
      <w:start w:val="1"/>
      <w:numFmt w:val="lowerRoman"/>
      <w:lvlText w:val="%6."/>
      <w:lvlJc w:val="right"/>
      <w:pPr>
        <w:tabs>
          <w:tab w:val="num" w:pos="4320"/>
        </w:tabs>
        <w:ind w:left="4320" w:hanging="180"/>
      </w:pPr>
    </w:lvl>
    <w:lvl w:ilvl="6" w:tplc="447CD3CE" w:tentative="1">
      <w:start w:val="1"/>
      <w:numFmt w:val="decimal"/>
      <w:lvlText w:val="%7."/>
      <w:lvlJc w:val="left"/>
      <w:pPr>
        <w:tabs>
          <w:tab w:val="num" w:pos="5040"/>
        </w:tabs>
        <w:ind w:left="5040" w:hanging="360"/>
      </w:pPr>
    </w:lvl>
    <w:lvl w:ilvl="7" w:tplc="1416D8DC" w:tentative="1">
      <w:start w:val="1"/>
      <w:numFmt w:val="lowerLetter"/>
      <w:lvlText w:val="%8."/>
      <w:lvlJc w:val="left"/>
      <w:pPr>
        <w:tabs>
          <w:tab w:val="num" w:pos="5760"/>
        </w:tabs>
        <w:ind w:left="5760" w:hanging="360"/>
      </w:pPr>
    </w:lvl>
    <w:lvl w:ilvl="8" w:tplc="EBDE490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D18C19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1BE967A" w:tentative="1">
      <w:start w:val="1"/>
      <w:numFmt w:val="bullet"/>
      <w:lvlText w:val="o"/>
      <w:lvlJc w:val="left"/>
      <w:pPr>
        <w:tabs>
          <w:tab w:val="num" w:pos="2517"/>
        </w:tabs>
        <w:ind w:left="2517" w:hanging="360"/>
      </w:pPr>
      <w:rPr>
        <w:rFonts w:ascii="Courier New" w:hAnsi="Courier New" w:cs="Courier New" w:hint="default"/>
      </w:rPr>
    </w:lvl>
    <w:lvl w:ilvl="2" w:tplc="519C41FC" w:tentative="1">
      <w:start w:val="1"/>
      <w:numFmt w:val="bullet"/>
      <w:lvlText w:val=""/>
      <w:lvlJc w:val="left"/>
      <w:pPr>
        <w:tabs>
          <w:tab w:val="num" w:pos="3237"/>
        </w:tabs>
        <w:ind w:left="3237" w:hanging="360"/>
      </w:pPr>
      <w:rPr>
        <w:rFonts w:ascii="Wingdings" w:hAnsi="Wingdings" w:hint="default"/>
      </w:rPr>
    </w:lvl>
    <w:lvl w:ilvl="3" w:tplc="CD24939E" w:tentative="1">
      <w:start w:val="1"/>
      <w:numFmt w:val="bullet"/>
      <w:lvlText w:val=""/>
      <w:lvlJc w:val="left"/>
      <w:pPr>
        <w:tabs>
          <w:tab w:val="num" w:pos="3957"/>
        </w:tabs>
        <w:ind w:left="3957" w:hanging="360"/>
      </w:pPr>
      <w:rPr>
        <w:rFonts w:ascii="Symbol" w:hAnsi="Symbol" w:hint="default"/>
      </w:rPr>
    </w:lvl>
    <w:lvl w:ilvl="4" w:tplc="B81A33BC" w:tentative="1">
      <w:start w:val="1"/>
      <w:numFmt w:val="bullet"/>
      <w:lvlText w:val="o"/>
      <w:lvlJc w:val="left"/>
      <w:pPr>
        <w:tabs>
          <w:tab w:val="num" w:pos="4677"/>
        </w:tabs>
        <w:ind w:left="4677" w:hanging="360"/>
      </w:pPr>
      <w:rPr>
        <w:rFonts w:ascii="Courier New" w:hAnsi="Courier New" w:cs="Courier New" w:hint="default"/>
      </w:rPr>
    </w:lvl>
    <w:lvl w:ilvl="5" w:tplc="0A6E9E42" w:tentative="1">
      <w:start w:val="1"/>
      <w:numFmt w:val="bullet"/>
      <w:lvlText w:val=""/>
      <w:lvlJc w:val="left"/>
      <w:pPr>
        <w:tabs>
          <w:tab w:val="num" w:pos="5397"/>
        </w:tabs>
        <w:ind w:left="5397" w:hanging="360"/>
      </w:pPr>
      <w:rPr>
        <w:rFonts w:ascii="Wingdings" w:hAnsi="Wingdings" w:hint="default"/>
      </w:rPr>
    </w:lvl>
    <w:lvl w:ilvl="6" w:tplc="EE34C266" w:tentative="1">
      <w:start w:val="1"/>
      <w:numFmt w:val="bullet"/>
      <w:lvlText w:val=""/>
      <w:lvlJc w:val="left"/>
      <w:pPr>
        <w:tabs>
          <w:tab w:val="num" w:pos="6117"/>
        </w:tabs>
        <w:ind w:left="6117" w:hanging="360"/>
      </w:pPr>
      <w:rPr>
        <w:rFonts w:ascii="Symbol" w:hAnsi="Symbol" w:hint="default"/>
      </w:rPr>
    </w:lvl>
    <w:lvl w:ilvl="7" w:tplc="48AC6908" w:tentative="1">
      <w:start w:val="1"/>
      <w:numFmt w:val="bullet"/>
      <w:lvlText w:val="o"/>
      <w:lvlJc w:val="left"/>
      <w:pPr>
        <w:tabs>
          <w:tab w:val="num" w:pos="6837"/>
        </w:tabs>
        <w:ind w:left="6837" w:hanging="360"/>
      </w:pPr>
      <w:rPr>
        <w:rFonts w:ascii="Courier New" w:hAnsi="Courier New" w:cs="Courier New" w:hint="default"/>
      </w:rPr>
    </w:lvl>
    <w:lvl w:ilvl="8" w:tplc="F8D83D8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E3AE2F8">
      <w:start w:val="1"/>
      <w:numFmt w:val="decimal"/>
      <w:pStyle w:val="ATSNumber2"/>
      <w:lvlText w:val="%1."/>
      <w:lvlJc w:val="left"/>
      <w:pPr>
        <w:tabs>
          <w:tab w:val="num" w:pos="720"/>
        </w:tabs>
        <w:ind w:left="720" w:hanging="360"/>
      </w:pPr>
      <w:rPr>
        <w:rFonts w:hint="default"/>
      </w:rPr>
    </w:lvl>
    <w:lvl w:ilvl="1" w:tplc="EEB2BA6E" w:tentative="1">
      <w:start w:val="1"/>
      <w:numFmt w:val="lowerLetter"/>
      <w:lvlText w:val="%2."/>
      <w:lvlJc w:val="left"/>
      <w:pPr>
        <w:tabs>
          <w:tab w:val="num" w:pos="1440"/>
        </w:tabs>
        <w:ind w:left="1440" w:hanging="360"/>
      </w:pPr>
    </w:lvl>
    <w:lvl w:ilvl="2" w:tplc="90B85046" w:tentative="1">
      <w:start w:val="1"/>
      <w:numFmt w:val="lowerRoman"/>
      <w:lvlText w:val="%3."/>
      <w:lvlJc w:val="right"/>
      <w:pPr>
        <w:tabs>
          <w:tab w:val="num" w:pos="2160"/>
        </w:tabs>
        <w:ind w:left="2160" w:hanging="180"/>
      </w:pPr>
    </w:lvl>
    <w:lvl w:ilvl="3" w:tplc="08BEA516" w:tentative="1">
      <w:start w:val="1"/>
      <w:numFmt w:val="decimal"/>
      <w:lvlText w:val="%4."/>
      <w:lvlJc w:val="left"/>
      <w:pPr>
        <w:tabs>
          <w:tab w:val="num" w:pos="2880"/>
        </w:tabs>
        <w:ind w:left="2880" w:hanging="360"/>
      </w:pPr>
    </w:lvl>
    <w:lvl w:ilvl="4" w:tplc="E2CE84F2" w:tentative="1">
      <w:start w:val="1"/>
      <w:numFmt w:val="lowerLetter"/>
      <w:lvlText w:val="%5."/>
      <w:lvlJc w:val="left"/>
      <w:pPr>
        <w:tabs>
          <w:tab w:val="num" w:pos="3600"/>
        </w:tabs>
        <w:ind w:left="3600" w:hanging="360"/>
      </w:pPr>
    </w:lvl>
    <w:lvl w:ilvl="5" w:tplc="C7D83E54" w:tentative="1">
      <w:start w:val="1"/>
      <w:numFmt w:val="lowerRoman"/>
      <w:lvlText w:val="%6."/>
      <w:lvlJc w:val="right"/>
      <w:pPr>
        <w:tabs>
          <w:tab w:val="num" w:pos="4320"/>
        </w:tabs>
        <w:ind w:left="4320" w:hanging="180"/>
      </w:pPr>
    </w:lvl>
    <w:lvl w:ilvl="6" w:tplc="9E56C73E" w:tentative="1">
      <w:start w:val="1"/>
      <w:numFmt w:val="decimal"/>
      <w:lvlText w:val="%7."/>
      <w:lvlJc w:val="left"/>
      <w:pPr>
        <w:tabs>
          <w:tab w:val="num" w:pos="5040"/>
        </w:tabs>
        <w:ind w:left="5040" w:hanging="360"/>
      </w:pPr>
    </w:lvl>
    <w:lvl w:ilvl="7" w:tplc="36F0DD9C" w:tentative="1">
      <w:start w:val="1"/>
      <w:numFmt w:val="lowerLetter"/>
      <w:lvlText w:val="%8."/>
      <w:lvlJc w:val="left"/>
      <w:pPr>
        <w:tabs>
          <w:tab w:val="num" w:pos="5760"/>
        </w:tabs>
        <w:ind w:left="5760" w:hanging="360"/>
      </w:pPr>
    </w:lvl>
    <w:lvl w:ilvl="8" w:tplc="4D66B680" w:tentative="1">
      <w:start w:val="1"/>
      <w:numFmt w:val="lowerRoman"/>
      <w:lvlText w:val="%9."/>
      <w:lvlJc w:val="right"/>
      <w:pPr>
        <w:tabs>
          <w:tab w:val="num" w:pos="6480"/>
        </w:tabs>
        <w:ind w:left="6480" w:hanging="180"/>
      </w:pPr>
    </w:lvl>
  </w:abstractNum>
  <w:num w:numId="1" w16cid:durableId="1122194031">
    <w:abstractNumId w:val="9"/>
  </w:num>
  <w:num w:numId="2" w16cid:durableId="1885829950">
    <w:abstractNumId w:val="7"/>
  </w:num>
  <w:num w:numId="3" w16cid:durableId="1258558314">
    <w:abstractNumId w:val="6"/>
  </w:num>
  <w:num w:numId="4" w16cid:durableId="554975978">
    <w:abstractNumId w:val="5"/>
  </w:num>
  <w:num w:numId="5" w16cid:durableId="955794353">
    <w:abstractNumId w:val="4"/>
  </w:num>
  <w:num w:numId="6" w16cid:durableId="1316453691">
    <w:abstractNumId w:val="8"/>
  </w:num>
  <w:num w:numId="7" w16cid:durableId="1057625182">
    <w:abstractNumId w:val="3"/>
  </w:num>
  <w:num w:numId="8" w16cid:durableId="1944261760">
    <w:abstractNumId w:val="2"/>
  </w:num>
  <w:num w:numId="9" w16cid:durableId="486436869">
    <w:abstractNumId w:val="1"/>
  </w:num>
  <w:num w:numId="10" w16cid:durableId="2085182000">
    <w:abstractNumId w:val="0"/>
  </w:num>
  <w:num w:numId="11" w16cid:durableId="1688671361">
    <w:abstractNumId w:val="11"/>
  </w:num>
  <w:num w:numId="12" w16cid:durableId="1357729435">
    <w:abstractNumId w:val="15"/>
  </w:num>
  <w:num w:numId="13" w16cid:durableId="1457986826">
    <w:abstractNumId w:val="14"/>
  </w:num>
  <w:num w:numId="14" w16cid:durableId="1316766220">
    <w:abstractNumId w:val="12"/>
  </w:num>
  <w:num w:numId="15" w16cid:durableId="1505785305">
    <w:abstractNumId w:val="13"/>
  </w:num>
  <w:num w:numId="16" w16cid:durableId="319894095">
    <w:abstractNumId w:val="10"/>
  </w:num>
  <w:num w:numId="17" w16cid:durableId="266817476">
    <w:abstractNumId w:val="11"/>
  </w:num>
  <w:num w:numId="18" w16cid:durableId="124928790">
    <w:abstractNumId w:val="15"/>
  </w:num>
  <w:num w:numId="19" w16cid:durableId="1233854203">
    <w:abstractNumId w:val="14"/>
  </w:num>
  <w:num w:numId="20" w16cid:durableId="1965039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65"/>
    <w:rsid w:val="00450517"/>
    <w:rsid w:val="00A843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657D8"/>
  <w15:chartTrackingRefBased/>
  <w15:docId w15:val="{55AED01E-A819-47A0-8EE2-A4AA579C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50517"/>
    <w:rPr>
      <w:rFonts w:ascii="Arial" w:hAnsi="Arial"/>
      <w:b/>
      <w:i/>
      <w:sz w:val="24"/>
      <w:szCs w:val="22"/>
      <w:lang w:val="en-GB" w:eastAsia="en-GB"/>
    </w:rPr>
  </w:style>
  <w:style w:type="character" w:styleId="nfasis">
    <w:name w:val="Emphasis"/>
    <w:basedOn w:val="Fuentedeprrafopredeter"/>
    <w:uiPriority w:val="20"/>
    <w:qFormat/>
    <w:rsid w:val="00450517"/>
    <w:rPr>
      <w:i/>
      <w:iCs/>
    </w:rPr>
  </w:style>
  <w:style w:type="character" w:customStyle="1" w:styleId="author">
    <w:name w:val="author"/>
    <w:basedOn w:val="Fuentedeprrafopredeter"/>
    <w:rsid w:val="00450517"/>
  </w:style>
  <w:style w:type="character" w:customStyle="1" w:styleId="pubyear">
    <w:name w:val="pubyear"/>
    <w:basedOn w:val="Fuentedeprrafopredeter"/>
    <w:rsid w:val="00450517"/>
  </w:style>
  <w:style w:type="character" w:customStyle="1" w:styleId="articletitle">
    <w:name w:val="articletitle"/>
    <w:basedOn w:val="Fuentedeprrafopredeter"/>
    <w:rsid w:val="00450517"/>
  </w:style>
  <w:style w:type="character" w:customStyle="1" w:styleId="vol">
    <w:name w:val="vol"/>
    <w:basedOn w:val="Fuentedeprrafopredeter"/>
    <w:rsid w:val="00450517"/>
  </w:style>
  <w:style w:type="character" w:customStyle="1" w:styleId="pagefirst">
    <w:name w:val="pagefirst"/>
    <w:basedOn w:val="Fuentedeprrafopredeter"/>
    <w:rsid w:val="00450517"/>
  </w:style>
  <w:style w:type="character" w:customStyle="1" w:styleId="pagelast">
    <w:name w:val="pagelast"/>
    <w:basedOn w:val="Fuentedeprrafopredeter"/>
    <w:rsid w:val="0045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kgs-apps-int-dmz.aad.gov.au/public/pubn/search.cfm?action=lookup&amp;author=Suter%20L%2E" TargetMode="External"/><Relationship Id="rId26" Type="http://schemas.openxmlformats.org/officeDocument/2006/relationships/hyperlink" Target="https://kgs-apps-int-dmz.aad.gov.au/public/pubn/search.cfm?action=lookup&amp;author=Deagle%20B%2EE%2E" TargetMode="External"/><Relationship Id="rId39" Type="http://schemas.openxmlformats.org/officeDocument/2006/relationships/footer" Target="footer3.xml"/><Relationship Id="rId21" Type="http://schemas.openxmlformats.org/officeDocument/2006/relationships/hyperlink" Target="https://kgs-apps-int-dmz.aad.gov.au/public/pubn/search.cfm?action=lookup&amp;author=King%20R%2E" TargetMode="External"/><Relationship Id="rId34" Type="http://schemas.openxmlformats.org/officeDocument/2006/relationships/hyperlink" Target="https://kgs-apps-int-dmz.aad.gov.au/public/pubn/search.cfm?action=lookup&amp;author=Wotherspoon%20S%2EJ%2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quascirev.2022.107599" TargetMode="External"/><Relationship Id="rId20" Type="http://schemas.openxmlformats.org/officeDocument/2006/relationships/hyperlink" Target="https://kgs-apps-int-dmz.aad.gov.au/public/pubn/search.cfm?action=lookup&amp;author=Kawaguchi%20S%2E" TargetMode="External"/><Relationship Id="rId29" Type="http://schemas.openxmlformats.org/officeDocument/2006/relationships/hyperlink" Target="https://pubmed.ncbi.nlm.nih.gov/3597763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e3.aad.gov.au/public/projects/" TargetMode="External"/><Relationship Id="rId24" Type="http://schemas.openxmlformats.org/officeDocument/2006/relationships/hyperlink" Target="https://kgs-apps-int-dmz.aad.gov.au/public/pubn/search.cfm?action=lookup&amp;author=Polanowski%20A%2EM%2E" TargetMode="External"/><Relationship Id="rId32" Type="http://schemas.openxmlformats.org/officeDocument/2006/relationships/hyperlink" Target="https://kgs-apps-int-dmz.aad.gov.au/public/pubn/search.cfm?action=lookup&amp;author=Smith%20A%2EJ%2ER%2E" TargetMode="External"/><Relationship Id="rId37" Type="http://schemas.openxmlformats.org/officeDocument/2006/relationships/hyperlink" Target="https://tc.copernicus.org/articles/17/157/2023/tc-17-157-2023.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371/journal.pbio.3001921" TargetMode="External"/><Relationship Id="rId23" Type="http://schemas.openxmlformats.org/officeDocument/2006/relationships/hyperlink" Target="https://kgs-apps-int-dmz.aad.gov.au/public/pubn/search.cfm?action=lookup&amp;author=Nester%20G%2EM" TargetMode="External"/><Relationship Id="rId28" Type="http://schemas.openxmlformats.org/officeDocument/2006/relationships/hyperlink" Target="https://doi.org/10.1111/gcb.16437" TargetMode="External"/><Relationship Id="rId36" Type="http://schemas.openxmlformats.org/officeDocument/2006/relationships/hyperlink" Target="https://doi.org/10.1371/journal.pone.0271078" TargetMode="External"/><Relationship Id="rId10" Type="http://schemas.openxmlformats.org/officeDocument/2006/relationships/footer" Target="footer2.xml"/><Relationship Id="rId19" Type="http://schemas.openxmlformats.org/officeDocument/2006/relationships/hyperlink" Target="https://kgs-apps-int-dmz.aad.gov.au/public/pubn/search.cfm?action=lookup&amp;author=Wotherspoon%20S%2EJ%2E" TargetMode="External"/><Relationship Id="rId31" Type="http://schemas.openxmlformats.org/officeDocument/2006/relationships/hyperlink" Target="https://kgs-apps-int-dmz.aad.gov.au/public/pubn/search.cfm?action=lookup&amp;author=Melvin%20J%2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tarctica.gov.au/science/climate-processes-and-change/antarctic-palaeoclimate/denman-terrestrial-campaign/" TargetMode="External"/><Relationship Id="rId22" Type="http://schemas.openxmlformats.org/officeDocument/2006/relationships/hyperlink" Target="https://kgs-apps-int-dmz.aad.gov.au/public/pubn/search.cfm?action=lookup&amp;author=MacDonald%20A%2EJ%2E" TargetMode="External"/><Relationship Id="rId27" Type="http://schemas.openxmlformats.org/officeDocument/2006/relationships/hyperlink" Target="https://onlinelibrary.wiley.com/doi/10.1002/edn3.394" TargetMode="External"/><Relationship Id="rId30" Type="http://schemas.openxmlformats.org/officeDocument/2006/relationships/hyperlink" Target="https://kgs-apps-int-dmz.aad.gov.au/public/pubn/search.cfm?action=lookup&amp;author=Maschette%20D%2E" TargetMode="External"/><Relationship Id="rId35" Type="http://schemas.openxmlformats.org/officeDocument/2006/relationships/hyperlink" Target="https://kgs-apps-int-dmz.aad.gov.au/public/pubn/search.cfm?action=lookup&amp;author=Kawaguchi%20S%2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antarctica.gov.au/science/climate-processes-and-change/antarctic-palaeoclimate/million-year-ice-core/" TargetMode="External"/><Relationship Id="rId17" Type="http://schemas.openxmlformats.org/officeDocument/2006/relationships/hyperlink" Target="https://doi.org/10.1029/2022GL102055" TargetMode="External"/><Relationship Id="rId25" Type="http://schemas.openxmlformats.org/officeDocument/2006/relationships/hyperlink" Target="https://kgs-apps-int-dmz.aad.gov.au/public/pubn/search.cfm?action=lookup&amp;author=Raymond%20B%2E" TargetMode="External"/><Relationship Id="rId33" Type="http://schemas.openxmlformats.org/officeDocument/2006/relationships/hyperlink" Target="https://kgs-apps-int-dmz.aad.gov.au/public/pubn/search.cfm?action=lookup&amp;author=Weldrick%20C%2EK%2E"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2359</Words>
  <Characters>16574</Characters>
  <Application>Microsoft Office Word</Application>
  <DocSecurity>0</DocSecurity>
  <Lines>138</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2023-04-27T13:46:00Z</dcterms:modified>
</cp:coreProperties>
</file>