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64C6" w14:textId="77777777" w:rsidR="00C26F2D" w:rsidRPr="00BF077B" w:rsidRDefault="00972F0C" w:rsidP="00BF077B">
      <w:pPr>
        <w:pStyle w:val="ATSNormal"/>
        <w:rPr>
          <w:rStyle w:val="Ttulodellibro"/>
        </w:rPr>
      </w:pPr>
    </w:p>
    <w:p w14:paraId="6045B4C1" w14:textId="77777777" w:rsidR="002F0A13" w:rsidRDefault="00972F0C" w:rsidP="004B4A60">
      <w:pPr>
        <w:rPr>
          <w:b/>
          <w:u w:val="single"/>
          <w:lang w:val="es-ES_tradnl"/>
        </w:rPr>
      </w:pPr>
    </w:p>
    <w:p w14:paraId="6D342C1F" w14:textId="77777777" w:rsidR="002F0A13" w:rsidRDefault="00972F0C" w:rsidP="004B4A60">
      <w:pPr>
        <w:rPr>
          <w:b/>
          <w:u w:val="single"/>
          <w:lang w:val="es-ES_tradnl"/>
        </w:rPr>
      </w:pPr>
    </w:p>
    <w:p w14:paraId="058DA391" w14:textId="77777777" w:rsidR="002F0A13" w:rsidRDefault="00972F0C" w:rsidP="004B4A60">
      <w:pPr>
        <w:rPr>
          <w:b/>
          <w:u w:val="single"/>
          <w:lang w:val="es-ES_tradnl"/>
        </w:rPr>
      </w:pPr>
    </w:p>
    <w:p w14:paraId="25C8A05C" w14:textId="77777777" w:rsidR="002F0A13" w:rsidRDefault="00972F0C" w:rsidP="004B4A60">
      <w:pPr>
        <w:rPr>
          <w:b/>
          <w:u w:val="single"/>
          <w:lang w:val="es-ES_tradnl"/>
        </w:rPr>
      </w:pPr>
    </w:p>
    <w:p w14:paraId="1CBCA31F" w14:textId="77777777" w:rsidR="00C26F2D" w:rsidRDefault="00972F0C" w:rsidP="004B4A60">
      <w:pPr>
        <w:rPr>
          <w:b/>
          <w:u w:val="single"/>
          <w:lang w:val="es-ES_tradnl"/>
        </w:rPr>
      </w:pPr>
    </w:p>
    <w:p w14:paraId="0BCA8A7F" w14:textId="77777777" w:rsidR="004B4A60" w:rsidRPr="0057246E" w:rsidRDefault="00972F0C" w:rsidP="001B789F">
      <w:pPr>
        <w:pStyle w:val="ATSTitle"/>
      </w:pPr>
      <w:bookmarkStart w:id="0" w:name="name"/>
      <w:r>
        <w:t>The need for increased protection of Antarctica’s inland waters</w:t>
      </w:r>
      <w:bookmarkEnd w:id="0"/>
    </w:p>
    <w:p w14:paraId="742FE062" w14:textId="77777777" w:rsidR="004B4A60" w:rsidRPr="0057246E" w:rsidRDefault="00972F0C" w:rsidP="00F75424">
      <w:pPr>
        <w:jc w:val="center"/>
      </w:pPr>
    </w:p>
    <w:p w14:paraId="6BBFFCEB" w14:textId="77777777" w:rsidR="004B4A60" w:rsidRPr="002F0A13" w:rsidRDefault="00972F0C" w:rsidP="002F0A13"/>
    <w:p w14:paraId="3F56C42C" w14:textId="77777777" w:rsidR="004B4A60" w:rsidRDefault="00972F0C" w:rsidP="00F75424">
      <w:pPr>
        <w:jc w:val="center"/>
      </w:pPr>
      <w:bookmarkStart w:id="1" w:name="memo"/>
      <w:bookmarkEnd w:id="1"/>
    </w:p>
    <w:p w14:paraId="7EB0AF1C" w14:textId="77777777" w:rsidR="0097629D" w:rsidRDefault="00972F0C" w:rsidP="00F75424">
      <w:pPr>
        <w:jc w:val="center"/>
      </w:pPr>
    </w:p>
    <w:p w14:paraId="5B3AD149" w14:textId="77777777" w:rsidR="0097629D" w:rsidRDefault="00972F0C" w:rsidP="00F75424">
      <w:pPr>
        <w:jc w:val="center"/>
      </w:pPr>
    </w:p>
    <w:p w14:paraId="7A7BD121" w14:textId="77777777" w:rsidR="0097629D" w:rsidRDefault="00972F0C" w:rsidP="00F75424">
      <w:pPr>
        <w:jc w:val="center"/>
      </w:pPr>
    </w:p>
    <w:p w14:paraId="7B12E99A" w14:textId="77777777" w:rsidR="0097629D" w:rsidRPr="00C26F2D" w:rsidRDefault="00972F0C" w:rsidP="00F75424">
      <w:pPr>
        <w:jc w:val="center"/>
      </w:pPr>
    </w:p>
    <w:p w14:paraId="1F98BAA6" w14:textId="77777777" w:rsidR="004B4A60" w:rsidRPr="0057246E" w:rsidRDefault="00972F0C" w:rsidP="004B4A60"/>
    <w:p w14:paraId="413D35F7" w14:textId="77777777" w:rsidR="00C26F2D" w:rsidRDefault="00972F0C"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5654A15" w14:textId="77777777" w:rsidR="00972F0C" w:rsidRPr="00EE18B7" w:rsidRDefault="00972F0C" w:rsidP="00972F0C">
      <w:pPr>
        <w:pStyle w:val="ATSHeading1"/>
      </w:pPr>
      <w:r w:rsidRPr="00EE18B7">
        <w:lastRenderedPageBreak/>
        <w:t>The need for increased protection of Antarctica’s inland waters</w:t>
      </w:r>
    </w:p>
    <w:p w14:paraId="49D8061C" w14:textId="77777777" w:rsidR="00972F0C" w:rsidRPr="00EE18B7" w:rsidRDefault="00972F0C" w:rsidP="00972F0C">
      <w:pPr>
        <w:pStyle w:val="ATSNormal"/>
        <w:jc w:val="center"/>
      </w:pPr>
      <w:r w:rsidRPr="00EE18B7">
        <w:rPr>
          <w:b/>
          <w:bCs/>
          <w:szCs w:val="22"/>
        </w:rPr>
        <w:t xml:space="preserve">An </w:t>
      </w:r>
      <w:r>
        <w:rPr>
          <w:b/>
          <w:bCs/>
          <w:szCs w:val="22"/>
        </w:rPr>
        <w:t>I</w:t>
      </w:r>
      <w:r w:rsidRPr="00EE18B7">
        <w:rPr>
          <w:b/>
          <w:bCs/>
          <w:szCs w:val="22"/>
        </w:rPr>
        <w:t xml:space="preserve">nformation </w:t>
      </w:r>
      <w:r>
        <w:rPr>
          <w:b/>
          <w:bCs/>
          <w:szCs w:val="22"/>
        </w:rPr>
        <w:t>P</w:t>
      </w:r>
      <w:r w:rsidRPr="00EE18B7">
        <w:rPr>
          <w:b/>
          <w:bCs/>
          <w:szCs w:val="22"/>
        </w:rPr>
        <w:t>aper submitted by New Zealand, Spain and the United Kingdom</w:t>
      </w:r>
    </w:p>
    <w:p w14:paraId="7F6F2B06" w14:textId="77777777" w:rsidR="00972F0C" w:rsidRPr="00EE18B7" w:rsidRDefault="00972F0C" w:rsidP="00972F0C">
      <w:pPr>
        <w:pStyle w:val="ATSHeading2"/>
        <w:rPr>
          <w:rFonts w:cs="Arial"/>
          <w:szCs w:val="24"/>
        </w:rPr>
      </w:pPr>
      <w:r w:rsidRPr="00EE18B7">
        <w:rPr>
          <w:rFonts w:cs="Arial"/>
          <w:szCs w:val="24"/>
        </w:rPr>
        <w:t>Summary</w:t>
      </w:r>
    </w:p>
    <w:p w14:paraId="66D270A0" w14:textId="77777777" w:rsidR="00972F0C" w:rsidRPr="00EE18B7" w:rsidRDefault="00972F0C" w:rsidP="00972F0C">
      <w:pPr>
        <w:rPr>
          <w:szCs w:val="22"/>
          <w:lang w:val="en-US" w:eastAsia="en-GB"/>
        </w:rPr>
      </w:pPr>
      <w:r w:rsidRPr="00EE18B7">
        <w:rPr>
          <w:szCs w:val="22"/>
          <w:lang w:val="en-US" w:eastAsia="en-GB"/>
        </w:rPr>
        <w:t xml:space="preserve">In many parts of Antarctica inland waters are focal points of </w:t>
      </w:r>
      <w:r w:rsidRPr="00EE18B7">
        <w:rPr>
          <w:szCs w:val="22"/>
        </w:rPr>
        <w:t>biodiversity</w:t>
      </w:r>
      <w:r>
        <w:rPr>
          <w:szCs w:val="22"/>
        </w:rPr>
        <w:t>, but</w:t>
      </w:r>
      <w:r w:rsidRPr="00EE18B7">
        <w:rPr>
          <w:szCs w:val="22"/>
        </w:rPr>
        <w:t xml:space="preserve"> </w:t>
      </w:r>
      <w:r>
        <w:rPr>
          <w:szCs w:val="22"/>
        </w:rPr>
        <w:t xml:space="preserve">they </w:t>
      </w:r>
      <w:r w:rsidRPr="00EE18B7">
        <w:rPr>
          <w:szCs w:val="22"/>
        </w:rPr>
        <w:t xml:space="preserve">are poorly represented </w:t>
      </w:r>
      <w:r>
        <w:rPr>
          <w:szCs w:val="22"/>
        </w:rPr>
        <w:t>within the current system of Antarctic Specially Protected Areas (ASPAs). O</w:t>
      </w:r>
      <w:r w:rsidRPr="00EE18B7">
        <w:rPr>
          <w:szCs w:val="22"/>
        </w:rPr>
        <w:t xml:space="preserve">nly two </w:t>
      </w:r>
      <w:r>
        <w:rPr>
          <w:szCs w:val="22"/>
        </w:rPr>
        <w:t>ASPA Management Plans cite</w:t>
      </w:r>
      <w:r w:rsidRPr="00EE18B7">
        <w:rPr>
          <w:szCs w:val="22"/>
        </w:rPr>
        <w:t xml:space="preserve"> inland waters as primary values </w:t>
      </w:r>
      <w:r>
        <w:rPr>
          <w:szCs w:val="22"/>
        </w:rPr>
        <w:t>f</w:t>
      </w:r>
      <w:r w:rsidRPr="00EE18B7">
        <w:rPr>
          <w:szCs w:val="22"/>
        </w:rPr>
        <w:t xml:space="preserve">or protection. </w:t>
      </w:r>
      <w:r>
        <w:rPr>
          <w:szCs w:val="22"/>
        </w:rPr>
        <w:t>Protection of inland water and their related biodiversity would be enhanced through (</w:t>
      </w:r>
      <w:proofErr w:type="spellStart"/>
      <w:r>
        <w:rPr>
          <w:szCs w:val="22"/>
        </w:rPr>
        <w:t>i</w:t>
      </w:r>
      <w:proofErr w:type="spellEnd"/>
      <w:r>
        <w:rPr>
          <w:szCs w:val="22"/>
        </w:rPr>
        <w:t>) i</w:t>
      </w:r>
      <w:r w:rsidRPr="00EE18B7">
        <w:rPr>
          <w:szCs w:val="22"/>
        </w:rPr>
        <w:t>ncreased efforts to document aquatic biodiversity</w:t>
      </w:r>
      <w:r>
        <w:rPr>
          <w:szCs w:val="22"/>
        </w:rPr>
        <w:t xml:space="preserve"> and (ii) the implementation of a new </w:t>
      </w:r>
      <w:r w:rsidRPr="00EE18B7">
        <w:rPr>
          <w:szCs w:val="22"/>
        </w:rPr>
        <w:t>approach for selection of representative lakes</w:t>
      </w:r>
      <w:r>
        <w:rPr>
          <w:szCs w:val="22"/>
        </w:rPr>
        <w:t>,</w:t>
      </w:r>
      <w:r w:rsidRPr="00EE18B7">
        <w:rPr>
          <w:szCs w:val="22"/>
        </w:rPr>
        <w:t xml:space="preserve"> and</w:t>
      </w:r>
      <w:r>
        <w:rPr>
          <w:szCs w:val="22"/>
        </w:rPr>
        <w:t xml:space="preserve"> their</w:t>
      </w:r>
      <w:r w:rsidRPr="00EE18B7">
        <w:rPr>
          <w:szCs w:val="22"/>
        </w:rPr>
        <w:t xml:space="preserve"> catchments</w:t>
      </w:r>
      <w:r>
        <w:rPr>
          <w:szCs w:val="22"/>
        </w:rPr>
        <w:t>,</w:t>
      </w:r>
      <w:r w:rsidRPr="00EE18B7">
        <w:rPr>
          <w:szCs w:val="22"/>
        </w:rPr>
        <w:t xml:space="preserve"> for enhanced protection.</w:t>
      </w:r>
    </w:p>
    <w:p w14:paraId="3237963F" w14:textId="77777777" w:rsidR="00972F0C" w:rsidRPr="00EE18B7" w:rsidRDefault="00972F0C" w:rsidP="00972F0C">
      <w:pPr>
        <w:pStyle w:val="ATSHeading2"/>
        <w:rPr>
          <w:rFonts w:cs="Arial"/>
          <w:szCs w:val="24"/>
        </w:rPr>
      </w:pPr>
      <w:r>
        <w:rPr>
          <w:rFonts w:cs="Arial"/>
          <w:szCs w:val="24"/>
        </w:rPr>
        <w:t>Background information</w:t>
      </w:r>
    </w:p>
    <w:p w14:paraId="198BCCD9" w14:textId="77777777" w:rsidR="00972F0C" w:rsidRPr="00EE18B7" w:rsidRDefault="00972F0C" w:rsidP="00972F0C">
      <w:pPr>
        <w:rPr>
          <w:szCs w:val="22"/>
          <w:lang w:val="en-US"/>
        </w:rPr>
      </w:pPr>
      <w:r w:rsidRPr="00EE18B7">
        <w:rPr>
          <w:szCs w:val="22"/>
          <w:lang w:val="en-US"/>
        </w:rPr>
        <w:t xml:space="preserve">Inland aquatic ecosystems such as streams, ponds and lakes occur on ice-free land as well as on ice surfaces across Antarctica.  They have been recorded as far south as ice-free ground occurs, including in the Pensacola Mountains at 83-84° S (Hodgson </w:t>
      </w:r>
      <w:r w:rsidRPr="00EE18B7">
        <w:rPr>
          <w:i/>
          <w:iCs/>
          <w:szCs w:val="22"/>
          <w:lang w:val="en-US"/>
        </w:rPr>
        <w:t>et al.</w:t>
      </w:r>
      <w:r w:rsidRPr="00EE18B7">
        <w:rPr>
          <w:szCs w:val="22"/>
          <w:lang w:val="en-US"/>
        </w:rPr>
        <w:t xml:space="preserve"> 2010) and inland nunataks of the Transantarctic Mountains at 86.5° S (</w:t>
      </w:r>
      <w:proofErr w:type="spellStart"/>
      <w:r w:rsidRPr="00EE18B7">
        <w:rPr>
          <w:szCs w:val="22"/>
          <w:lang w:val="en-US"/>
        </w:rPr>
        <w:t>Broady</w:t>
      </w:r>
      <w:proofErr w:type="spellEnd"/>
      <w:r w:rsidRPr="00EE18B7">
        <w:rPr>
          <w:szCs w:val="22"/>
          <w:lang w:val="en-US"/>
        </w:rPr>
        <w:t xml:space="preserve"> and Weinstein, 1998).  </w:t>
      </w:r>
    </w:p>
    <w:p w14:paraId="233E7222" w14:textId="77777777" w:rsidR="00972F0C" w:rsidRPr="00EE18B7" w:rsidRDefault="00972F0C" w:rsidP="00972F0C">
      <w:pPr>
        <w:rPr>
          <w:szCs w:val="22"/>
          <w:lang w:val="en-US"/>
        </w:rPr>
      </w:pPr>
    </w:p>
    <w:p w14:paraId="2DAD38E7" w14:textId="77777777" w:rsidR="00972F0C" w:rsidRDefault="00972F0C" w:rsidP="00972F0C">
      <w:pPr>
        <w:rPr>
          <w:color w:val="000000"/>
          <w:szCs w:val="22"/>
        </w:rPr>
      </w:pPr>
      <w:r w:rsidRPr="00EE18B7">
        <w:rPr>
          <w:color w:val="1C1D1E"/>
          <w:szCs w:val="22"/>
          <w:shd w:val="clear" w:color="auto" w:fill="FFFFFF"/>
        </w:rPr>
        <w:t xml:space="preserve">The availability of liquid water is the single most important physical driver of Antarctic terrestrial biodiversity, particularly at higher continental latitudes (Convey </w:t>
      </w:r>
      <w:r w:rsidRPr="00EE18B7">
        <w:rPr>
          <w:i/>
          <w:iCs/>
          <w:color w:val="1C1D1E"/>
          <w:szCs w:val="22"/>
          <w:shd w:val="clear" w:color="auto" w:fill="FFFFFF"/>
        </w:rPr>
        <w:t>et al.</w:t>
      </w:r>
      <w:r w:rsidRPr="00EE18B7">
        <w:rPr>
          <w:color w:val="1C1D1E"/>
          <w:szCs w:val="22"/>
          <w:shd w:val="clear" w:color="auto" w:fill="FFFFFF"/>
        </w:rPr>
        <w:t xml:space="preserve"> 2014). For this reason, </w:t>
      </w:r>
      <w:r w:rsidRPr="00EE18B7">
        <w:rPr>
          <w:szCs w:val="22"/>
        </w:rPr>
        <w:t>inland aquatic habitats</w:t>
      </w:r>
      <w:r>
        <w:rPr>
          <w:szCs w:val="22"/>
        </w:rPr>
        <w:t xml:space="preserve"> </w:t>
      </w:r>
      <w:r w:rsidRPr="00EE18B7">
        <w:rPr>
          <w:szCs w:val="22"/>
        </w:rPr>
        <w:t xml:space="preserve">have been recognised since the earliest expeditions of Scott and Shackleton as centres for biodiversity and biological productivity (Murray, 1910). </w:t>
      </w:r>
      <w:r w:rsidRPr="00EE18B7">
        <w:rPr>
          <w:color w:val="000000"/>
          <w:szCs w:val="22"/>
        </w:rPr>
        <w:t xml:space="preserve">While a comprehensive understanding of the biogeography of Antarctic inland waters is </w:t>
      </w:r>
      <w:r>
        <w:rPr>
          <w:color w:val="000000"/>
          <w:szCs w:val="22"/>
        </w:rPr>
        <w:t>currently lacking</w:t>
      </w:r>
      <w:r w:rsidRPr="00EE18B7">
        <w:rPr>
          <w:color w:val="000000"/>
          <w:szCs w:val="22"/>
        </w:rPr>
        <w:t>, it is clear that there is a high level of continental and regional endemism in the Antarctic freshwater biota</w:t>
      </w:r>
      <w:r>
        <w:rPr>
          <w:color w:val="000000"/>
          <w:szCs w:val="22"/>
        </w:rPr>
        <w:t xml:space="preserve"> </w:t>
      </w:r>
      <w:r w:rsidRPr="00EE18B7">
        <w:rPr>
          <w:color w:val="000000"/>
          <w:szCs w:val="22"/>
        </w:rPr>
        <w:t xml:space="preserve">(Gibson and </w:t>
      </w:r>
      <w:proofErr w:type="spellStart"/>
      <w:r w:rsidRPr="00EE18B7">
        <w:rPr>
          <w:color w:val="000000"/>
          <w:szCs w:val="22"/>
        </w:rPr>
        <w:t>Bayly</w:t>
      </w:r>
      <w:proofErr w:type="spellEnd"/>
      <w:r w:rsidRPr="00EE18B7">
        <w:rPr>
          <w:color w:val="000000"/>
          <w:szCs w:val="22"/>
        </w:rPr>
        <w:t xml:space="preserve"> 2007, Hodgson </w:t>
      </w:r>
      <w:r w:rsidRPr="00EE18B7">
        <w:rPr>
          <w:i/>
          <w:iCs/>
          <w:color w:val="000000"/>
          <w:szCs w:val="22"/>
        </w:rPr>
        <w:t>et al.</w:t>
      </w:r>
      <w:r w:rsidRPr="00EE18B7">
        <w:rPr>
          <w:color w:val="000000"/>
          <w:szCs w:val="22"/>
        </w:rPr>
        <w:t xml:space="preserve"> 2013</w:t>
      </w:r>
      <w:r w:rsidRPr="00EE18B7">
        <w:rPr>
          <w:i/>
          <w:iCs/>
          <w:color w:val="000000"/>
          <w:szCs w:val="22"/>
        </w:rPr>
        <w:t>,</w:t>
      </w:r>
      <w:r w:rsidRPr="00EE18B7">
        <w:rPr>
          <w:color w:val="000000"/>
          <w:szCs w:val="22"/>
        </w:rPr>
        <w:t xml:space="preserve"> Davies </w:t>
      </w:r>
      <w:r w:rsidRPr="00EE18B7">
        <w:rPr>
          <w:i/>
          <w:color w:val="000000"/>
          <w:szCs w:val="22"/>
        </w:rPr>
        <w:t>et al</w:t>
      </w:r>
      <w:r w:rsidRPr="00EE18B7">
        <w:rPr>
          <w:color w:val="000000"/>
          <w:szCs w:val="22"/>
        </w:rPr>
        <w:t>. 2017).</w:t>
      </w:r>
      <w:r>
        <w:rPr>
          <w:color w:val="000000"/>
          <w:szCs w:val="22"/>
        </w:rPr>
        <w:t xml:space="preserve">  The adequate protection of Antarctic inland waters is therefore critical for the preservation of environmental, scientific and intrinsic values, as set out in the Protocol.</w:t>
      </w:r>
    </w:p>
    <w:p w14:paraId="696CB262" w14:textId="77777777" w:rsidR="00972F0C" w:rsidRDefault="00972F0C" w:rsidP="00972F0C">
      <w:pPr>
        <w:rPr>
          <w:color w:val="000000"/>
          <w:szCs w:val="22"/>
        </w:rPr>
      </w:pPr>
    </w:p>
    <w:p w14:paraId="0A0449D9" w14:textId="77777777" w:rsidR="00972F0C" w:rsidRDefault="00972F0C" w:rsidP="00972F0C">
      <w:pPr>
        <w:rPr>
          <w:color w:val="000000"/>
          <w:szCs w:val="22"/>
        </w:rPr>
      </w:pPr>
      <w:r>
        <w:rPr>
          <w:color w:val="000000"/>
          <w:szCs w:val="22"/>
        </w:rPr>
        <w:t>The CEP has previously considered the penetration of sub-glacial lakes (ATCM XLI IP12; ATCM XXXIV WP16; ATCM XXXV WP34;</w:t>
      </w:r>
      <w:r w:rsidRPr="00EE18B7">
        <w:t xml:space="preserve"> ATCM XL WP17</w:t>
      </w:r>
      <w:r>
        <w:rPr>
          <w:color w:val="000000"/>
          <w:szCs w:val="22"/>
        </w:rPr>
        <w:t>), the remediation of scientific sites subject to lake level rise (</w:t>
      </w:r>
      <w:r w:rsidRPr="00A06924">
        <w:t>ATCM XXXVIII IP41</w:t>
      </w:r>
      <w:r>
        <w:rPr>
          <w:color w:val="000000"/>
          <w:szCs w:val="22"/>
        </w:rPr>
        <w:t xml:space="preserve">) and the clean-up of pollution within lake catchment areas (ATCM XXXV BP12).  Details of </w:t>
      </w:r>
      <w:r w:rsidRPr="00EE18B7">
        <w:t>a classification system of Antarctic inland aquatic ecosystems</w:t>
      </w:r>
      <w:r w:rsidRPr="0016370B">
        <w:rPr>
          <w:color w:val="000000"/>
          <w:szCs w:val="22"/>
        </w:rPr>
        <w:t xml:space="preserve"> </w:t>
      </w:r>
      <w:r>
        <w:rPr>
          <w:color w:val="000000"/>
          <w:szCs w:val="22"/>
        </w:rPr>
        <w:t xml:space="preserve">was presented to the Committee in 2022 (ATCM XLIV IP77) and there have been recent proposals for three new ASPAs to protect inland waters (ATCM XLIV WP12; ATCM XLIV WP 15; ATCM XLV WP60), although these have yet to formally be agreed by the ATCM. </w:t>
      </w:r>
    </w:p>
    <w:p w14:paraId="6191C10D" w14:textId="77777777" w:rsidR="00972F0C" w:rsidRDefault="00972F0C" w:rsidP="00972F0C">
      <w:pPr>
        <w:rPr>
          <w:color w:val="000000"/>
          <w:szCs w:val="22"/>
        </w:rPr>
      </w:pPr>
    </w:p>
    <w:p w14:paraId="2FA80AE8" w14:textId="77777777" w:rsidR="00972F0C" w:rsidRDefault="00972F0C" w:rsidP="00972F0C">
      <w:pPr>
        <w:rPr>
          <w:szCs w:val="22"/>
        </w:rPr>
      </w:pPr>
      <w:r w:rsidRPr="00113CD9">
        <w:rPr>
          <w:szCs w:val="22"/>
        </w:rPr>
        <w:t xml:space="preserve">The </w:t>
      </w:r>
      <w:r>
        <w:rPr>
          <w:szCs w:val="22"/>
        </w:rPr>
        <w:t>protection of inland aquatic environments is of relevance to</w:t>
      </w:r>
      <w:r w:rsidRPr="00F540A3">
        <w:rPr>
          <w:szCs w:val="22"/>
        </w:rPr>
        <w:t xml:space="preserve"> several CEP priority </w:t>
      </w:r>
      <w:r>
        <w:rPr>
          <w:szCs w:val="22"/>
        </w:rPr>
        <w:t>issues as set out in the CEP Five-Year Work Plan</w:t>
      </w:r>
      <w:r w:rsidRPr="00F540A3">
        <w:rPr>
          <w:szCs w:val="22"/>
        </w:rPr>
        <w:t xml:space="preserve">, </w:t>
      </w:r>
      <w:r>
        <w:rPr>
          <w:szCs w:val="22"/>
        </w:rPr>
        <w:t>including:</w:t>
      </w:r>
    </w:p>
    <w:p w14:paraId="5CB7316F" w14:textId="77777777" w:rsidR="00972F0C" w:rsidRPr="00EE18B7" w:rsidRDefault="00972F0C" w:rsidP="00972F0C">
      <w:pPr>
        <w:pStyle w:val="Prrafodelista"/>
        <w:numPr>
          <w:ilvl w:val="0"/>
          <w:numId w:val="27"/>
        </w:numPr>
        <w:rPr>
          <w:rStyle w:val="markedcontent"/>
          <w:color w:val="000000"/>
          <w:szCs w:val="22"/>
        </w:rPr>
      </w:pPr>
      <w:r>
        <w:rPr>
          <w:rStyle w:val="markedcontent"/>
        </w:rPr>
        <w:t>Processing new and revised protected / managed area</w:t>
      </w:r>
      <w:r>
        <w:t xml:space="preserve"> </w:t>
      </w:r>
      <w:r>
        <w:rPr>
          <w:rStyle w:val="markedcontent"/>
        </w:rPr>
        <w:t>management plans (Priority 1);</w:t>
      </w:r>
    </w:p>
    <w:p w14:paraId="7AF05047" w14:textId="77777777" w:rsidR="00972F0C" w:rsidRPr="00932C5C" w:rsidRDefault="00972F0C" w:rsidP="00972F0C">
      <w:pPr>
        <w:pStyle w:val="Prrafodelista"/>
        <w:numPr>
          <w:ilvl w:val="0"/>
          <w:numId w:val="27"/>
        </w:numPr>
        <w:rPr>
          <w:color w:val="000000"/>
          <w:szCs w:val="22"/>
        </w:rPr>
      </w:pPr>
      <w:r>
        <w:rPr>
          <w:rStyle w:val="markedcontent"/>
        </w:rPr>
        <w:t xml:space="preserve">Climate change implications for the environment </w:t>
      </w:r>
      <w:r w:rsidRPr="00932C5C">
        <w:rPr>
          <w:color w:val="000000"/>
          <w:szCs w:val="22"/>
        </w:rPr>
        <w:t xml:space="preserve">(Priority </w:t>
      </w:r>
      <w:r>
        <w:rPr>
          <w:color w:val="000000"/>
          <w:szCs w:val="22"/>
        </w:rPr>
        <w:t>1</w:t>
      </w:r>
      <w:r w:rsidRPr="00932C5C">
        <w:rPr>
          <w:color w:val="000000"/>
          <w:szCs w:val="22"/>
        </w:rPr>
        <w:t>)</w:t>
      </w:r>
      <w:r>
        <w:rPr>
          <w:color w:val="000000"/>
          <w:szCs w:val="22"/>
        </w:rPr>
        <w:t>;</w:t>
      </w:r>
    </w:p>
    <w:p w14:paraId="7044B5A4" w14:textId="77777777" w:rsidR="00972F0C" w:rsidRPr="00932C5C" w:rsidRDefault="00972F0C" w:rsidP="00972F0C">
      <w:pPr>
        <w:pStyle w:val="Prrafodelista"/>
        <w:numPr>
          <w:ilvl w:val="0"/>
          <w:numId w:val="27"/>
        </w:numPr>
        <w:rPr>
          <w:color w:val="000000"/>
          <w:szCs w:val="22"/>
        </w:rPr>
      </w:pPr>
      <w:r w:rsidRPr="00932C5C">
        <w:rPr>
          <w:color w:val="000000"/>
          <w:szCs w:val="22"/>
        </w:rPr>
        <w:t>Monitoring and state of the environment reporting’ (Priority 2)</w:t>
      </w:r>
      <w:r>
        <w:rPr>
          <w:color w:val="000000"/>
          <w:szCs w:val="22"/>
        </w:rPr>
        <w:t>;</w:t>
      </w:r>
      <w:r w:rsidRPr="00932C5C">
        <w:rPr>
          <w:color w:val="000000"/>
          <w:szCs w:val="22"/>
        </w:rPr>
        <w:t xml:space="preserve"> </w:t>
      </w:r>
    </w:p>
    <w:p w14:paraId="16F94C8B" w14:textId="77777777" w:rsidR="00972F0C" w:rsidRPr="00EE18B7" w:rsidRDefault="00972F0C" w:rsidP="00972F0C">
      <w:pPr>
        <w:pStyle w:val="Prrafodelista"/>
        <w:numPr>
          <w:ilvl w:val="0"/>
          <w:numId w:val="27"/>
        </w:numPr>
        <w:rPr>
          <w:rStyle w:val="markedcontent"/>
          <w:color w:val="000000"/>
          <w:szCs w:val="22"/>
        </w:rPr>
      </w:pPr>
      <w:r>
        <w:rPr>
          <w:rStyle w:val="markedcontent"/>
        </w:rPr>
        <w:t>Overview of the protected areas system (Priority 2)</w:t>
      </w:r>
      <w:r>
        <w:rPr>
          <w:color w:val="000000"/>
          <w:szCs w:val="22"/>
        </w:rPr>
        <w:t xml:space="preserve">; </w:t>
      </w:r>
      <w:r w:rsidRPr="00932C5C">
        <w:rPr>
          <w:color w:val="000000"/>
          <w:szCs w:val="22"/>
        </w:rPr>
        <w:t>and</w:t>
      </w:r>
    </w:p>
    <w:p w14:paraId="74FA1CA0" w14:textId="77777777" w:rsidR="00972F0C" w:rsidRPr="00932C5C" w:rsidRDefault="00972F0C" w:rsidP="00972F0C">
      <w:pPr>
        <w:pStyle w:val="Prrafodelista"/>
        <w:numPr>
          <w:ilvl w:val="0"/>
          <w:numId w:val="27"/>
        </w:numPr>
        <w:rPr>
          <w:color w:val="000000"/>
          <w:szCs w:val="22"/>
        </w:rPr>
      </w:pPr>
      <w:r>
        <w:rPr>
          <w:rStyle w:val="markedcontent"/>
        </w:rPr>
        <w:t>Biodiversity knowledge (Priority 2).</w:t>
      </w:r>
    </w:p>
    <w:p w14:paraId="3A2925CE" w14:textId="77777777" w:rsidR="00972F0C" w:rsidRDefault="00972F0C" w:rsidP="00972F0C">
      <w:pPr>
        <w:rPr>
          <w:color w:val="000000"/>
          <w:szCs w:val="22"/>
        </w:rPr>
      </w:pPr>
    </w:p>
    <w:p w14:paraId="579C1717" w14:textId="77777777" w:rsidR="00972F0C" w:rsidRPr="00EE18B7" w:rsidRDefault="00972F0C" w:rsidP="00972F0C">
      <w:pPr>
        <w:widowControl w:val="0"/>
        <w:shd w:val="clear" w:color="auto" w:fill="FFFFFF"/>
        <w:autoSpaceDE w:val="0"/>
        <w:autoSpaceDN w:val="0"/>
        <w:adjustRightInd w:val="0"/>
        <w:contextualSpacing/>
        <w:rPr>
          <w:szCs w:val="22"/>
          <w:lang w:val="en-NZ" w:eastAsia="es-AR"/>
        </w:rPr>
      </w:pPr>
      <w:r>
        <w:rPr>
          <w:color w:val="000000"/>
          <w:szCs w:val="22"/>
        </w:rPr>
        <w:lastRenderedPageBreak/>
        <w:t xml:space="preserve">This paper provides information to facilitate a more strategic consideration by the Committee of the protection of aquatic environments and is largely based on a recent peer-reviewed paper: </w:t>
      </w:r>
      <w:r w:rsidRPr="00A06924">
        <w:rPr>
          <w:szCs w:val="22"/>
        </w:rPr>
        <w:t>Hawes, I., Howard-Williams, C.,</w:t>
      </w:r>
      <w:r w:rsidRPr="00A06924">
        <w:rPr>
          <w:szCs w:val="22"/>
          <w:vertAlign w:val="superscript"/>
        </w:rPr>
        <w:t xml:space="preserve"> </w:t>
      </w:r>
      <w:r w:rsidRPr="00A06924">
        <w:rPr>
          <w:szCs w:val="22"/>
        </w:rPr>
        <w:t>Gilbert, N.,</w:t>
      </w:r>
      <w:r w:rsidRPr="00A06924">
        <w:rPr>
          <w:szCs w:val="22"/>
          <w:vertAlign w:val="superscript"/>
        </w:rPr>
        <w:t xml:space="preserve"> </w:t>
      </w:r>
      <w:r w:rsidRPr="00A06924">
        <w:rPr>
          <w:szCs w:val="22"/>
        </w:rPr>
        <w:t>Hughes, K.</w:t>
      </w:r>
      <w:r w:rsidRPr="00A06924">
        <w:rPr>
          <w:szCs w:val="22"/>
          <w:vertAlign w:val="superscript"/>
        </w:rPr>
        <w:t xml:space="preserve"> </w:t>
      </w:r>
      <w:r w:rsidRPr="00A06924">
        <w:rPr>
          <w:szCs w:val="22"/>
        </w:rPr>
        <w:t>A., Convey, P. &amp; Quesada, A. 2023</w:t>
      </w:r>
      <w:r w:rsidRPr="00A06924">
        <w:rPr>
          <w:i/>
          <w:iCs/>
          <w:szCs w:val="22"/>
        </w:rPr>
        <w:t xml:space="preserve">. </w:t>
      </w:r>
      <w:r w:rsidRPr="00A06924">
        <w:rPr>
          <w:szCs w:val="22"/>
        </w:rPr>
        <w:t xml:space="preserve">The need to protect Antarctica’s inland waters.  </w:t>
      </w:r>
      <w:r w:rsidRPr="00A06924">
        <w:rPr>
          <w:i/>
          <w:iCs/>
          <w:szCs w:val="22"/>
        </w:rPr>
        <w:t>Antarctic Science.</w:t>
      </w:r>
      <w:r w:rsidRPr="00A06924">
        <w:rPr>
          <w:szCs w:val="22"/>
        </w:rPr>
        <w:t xml:space="preserve"> </w:t>
      </w:r>
      <w:r w:rsidRPr="00A06924">
        <w:rPr>
          <w:szCs w:val="22"/>
          <w:lang w:val="en-NZ" w:eastAsia="es-AR"/>
        </w:rPr>
        <w:t>doi:10.1017/S0954102022000463</w:t>
      </w:r>
      <w:r>
        <w:rPr>
          <w:szCs w:val="22"/>
          <w:lang w:val="en-NZ" w:eastAsia="es-AR"/>
        </w:rPr>
        <w:t xml:space="preserve"> (Available at: </w:t>
      </w:r>
      <w:hyperlink r:id="rId11" w:history="1">
        <w:r w:rsidRPr="000C417F">
          <w:rPr>
            <w:rStyle w:val="Hipervnculo"/>
            <w:szCs w:val="22"/>
            <w:lang w:val="en-NZ" w:eastAsia="es-AR"/>
          </w:rPr>
          <w:t>https://www.cambridge.org/core/journals/antarctic-science/article/need-for-increased-protection-of-antarcticas-inland-waters/1B89EF1A158F623E6112A35EE609FCEF</w:t>
        </w:r>
      </w:hyperlink>
      <w:r>
        <w:rPr>
          <w:szCs w:val="22"/>
          <w:lang w:val="en-NZ" w:eastAsia="es-AR"/>
        </w:rPr>
        <w:t>).</w:t>
      </w:r>
    </w:p>
    <w:p w14:paraId="1A2EC398" w14:textId="77777777" w:rsidR="00972F0C" w:rsidRPr="00EE18B7" w:rsidRDefault="00972F0C" w:rsidP="00972F0C">
      <w:pPr>
        <w:pStyle w:val="ATSHeading2"/>
        <w:rPr>
          <w:rFonts w:cs="Arial"/>
          <w:szCs w:val="24"/>
        </w:rPr>
      </w:pPr>
      <w:r w:rsidRPr="00EE18B7">
        <w:rPr>
          <w:rFonts w:cs="Arial"/>
          <w:szCs w:val="24"/>
        </w:rPr>
        <w:t>Threats to inland water bodies</w:t>
      </w:r>
    </w:p>
    <w:p w14:paraId="0F1269D3" w14:textId="77777777" w:rsidR="00972F0C" w:rsidRPr="00EE18B7" w:rsidRDefault="00972F0C" w:rsidP="00972F0C">
      <w:pPr>
        <w:rPr>
          <w:szCs w:val="22"/>
          <w:lang w:val="en-US"/>
        </w:rPr>
      </w:pPr>
      <w:r w:rsidRPr="00EE18B7">
        <w:rPr>
          <w:color w:val="1C1D1E"/>
          <w:szCs w:val="22"/>
          <w:shd w:val="clear" w:color="auto" w:fill="FFFFFF"/>
        </w:rPr>
        <w:t xml:space="preserve">Human activities have resulted in significant impacts on Antarctic inland waters both directly, such as through activities from station operations, scientific activities, tourism, etc., and indirectly through anthropogenic climate change and long-distance atmospheric contamination.  </w:t>
      </w:r>
      <w:r w:rsidRPr="00EE18B7">
        <w:rPr>
          <w:szCs w:val="22"/>
        </w:rPr>
        <w:t>Impacts can include contamination of lake catchment areas leading to increased nutrient and suspended matter inflow from nearby roads and research stations, changes to drainage patterns caused by for example, road construction, pollution from rock dust, hydrocarbons, wastewater and station litter waste. The presence of non-native species in inland water ecosystems has received little attention, with few examples documented.</w:t>
      </w:r>
    </w:p>
    <w:p w14:paraId="507281B1" w14:textId="77777777" w:rsidR="00972F0C" w:rsidRPr="00EE18B7" w:rsidRDefault="00972F0C" w:rsidP="00972F0C">
      <w:pPr>
        <w:pStyle w:val="ATSHeading2"/>
        <w:rPr>
          <w:rFonts w:cs="Arial"/>
          <w:szCs w:val="24"/>
        </w:rPr>
      </w:pPr>
      <w:r w:rsidRPr="00EE18B7">
        <w:rPr>
          <w:rFonts w:cs="Arial"/>
          <w:szCs w:val="24"/>
        </w:rPr>
        <w:t>Status of protection for inland water bodies</w:t>
      </w:r>
    </w:p>
    <w:p w14:paraId="53E64C6D" w14:textId="77777777" w:rsidR="00972F0C" w:rsidRPr="00EE18B7" w:rsidRDefault="00972F0C" w:rsidP="00972F0C">
      <w:pPr>
        <w:rPr>
          <w:bCs/>
          <w:szCs w:val="22"/>
        </w:rPr>
      </w:pPr>
      <w:r>
        <w:rPr>
          <w:szCs w:val="22"/>
        </w:rPr>
        <w:t>The Ma</w:t>
      </w:r>
      <w:r w:rsidRPr="00EE18B7">
        <w:rPr>
          <w:szCs w:val="22"/>
        </w:rPr>
        <w:t xml:space="preserve">nagement </w:t>
      </w:r>
      <w:r>
        <w:rPr>
          <w:szCs w:val="22"/>
        </w:rPr>
        <w:t>P</w:t>
      </w:r>
      <w:r w:rsidRPr="00EE18B7">
        <w:rPr>
          <w:szCs w:val="22"/>
        </w:rPr>
        <w:t xml:space="preserve">lans for all 75 of the currently designated ASPAs </w:t>
      </w:r>
      <w:r>
        <w:rPr>
          <w:szCs w:val="22"/>
        </w:rPr>
        <w:t xml:space="preserve">were examined </w:t>
      </w:r>
      <w:r w:rsidRPr="00EE18B7">
        <w:rPr>
          <w:szCs w:val="22"/>
        </w:rPr>
        <w:t>to determine whether each makes any acknowledgement of the presence of inland water bodies and their values. C</w:t>
      </w:r>
      <w:r w:rsidRPr="00EE18B7">
        <w:rPr>
          <w:bCs/>
          <w:szCs w:val="22"/>
        </w:rPr>
        <w:t xml:space="preserve">urrently only two of the 75 ASPAs have been designated explicitly to protect inland </w:t>
      </w:r>
      <w:r>
        <w:rPr>
          <w:bCs/>
          <w:szCs w:val="22"/>
        </w:rPr>
        <w:t>water</w:t>
      </w:r>
      <w:r w:rsidRPr="00EE18B7">
        <w:rPr>
          <w:bCs/>
          <w:szCs w:val="22"/>
        </w:rPr>
        <w:t xml:space="preserve"> systems (ASPA 119 </w:t>
      </w:r>
      <w:r w:rsidRPr="00EE18B7">
        <w:rPr>
          <w:szCs w:val="22"/>
        </w:rPr>
        <w:t xml:space="preserve">Davis Valley and </w:t>
      </w:r>
      <w:proofErr w:type="spellStart"/>
      <w:r w:rsidRPr="00EE18B7">
        <w:rPr>
          <w:szCs w:val="22"/>
        </w:rPr>
        <w:t>Forlidas</w:t>
      </w:r>
      <w:proofErr w:type="spellEnd"/>
      <w:r w:rsidRPr="00EE18B7">
        <w:rPr>
          <w:szCs w:val="22"/>
        </w:rPr>
        <w:t xml:space="preserve"> Pond, </w:t>
      </w:r>
      <w:proofErr w:type="spellStart"/>
      <w:r w:rsidRPr="00EE18B7">
        <w:rPr>
          <w:szCs w:val="22"/>
        </w:rPr>
        <w:t>Dufek</w:t>
      </w:r>
      <w:proofErr w:type="spellEnd"/>
      <w:r w:rsidRPr="00EE18B7">
        <w:rPr>
          <w:szCs w:val="22"/>
        </w:rPr>
        <w:t xml:space="preserve"> Massi</w:t>
      </w:r>
      <w:r>
        <w:rPr>
          <w:szCs w:val="22"/>
        </w:rPr>
        <w:t>f,</w:t>
      </w:r>
      <w:r w:rsidRPr="00EE18B7">
        <w:rPr>
          <w:szCs w:val="22"/>
        </w:rPr>
        <w:t xml:space="preserve"> and ASPA 126 Byers Peninsula, Livingston Island</w:t>
      </w:r>
      <w:r w:rsidRPr="00EE18B7">
        <w:rPr>
          <w:bCs/>
          <w:szCs w:val="22"/>
        </w:rPr>
        <w:t xml:space="preserve">) </w:t>
      </w:r>
      <w:r w:rsidRPr="00EE18B7">
        <w:rPr>
          <w:szCs w:val="22"/>
        </w:rPr>
        <w:t xml:space="preserve">(Table 1). </w:t>
      </w:r>
      <w:r w:rsidRPr="00EE18B7">
        <w:rPr>
          <w:bCs/>
          <w:szCs w:val="22"/>
        </w:rPr>
        <w:t xml:space="preserve">Fourteen additional ASPAs make some reference to aquatic systems within their </w:t>
      </w:r>
      <w:r w:rsidRPr="00EE18B7">
        <w:rPr>
          <w:szCs w:val="22"/>
        </w:rPr>
        <w:t>‘</w:t>
      </w:r>
      <w:r w:rsidRPr="00EE18B7">
        <w:rPr>
          <w:i/>
          <w:iCs/>
          <w:szCs w:val="22"/>
        </w:rPr>
        <w:t xml:space="preserve">Description of </w:t>
      </w:r>
      <w:r>
        <w:rPr>
          <w:i/>
          <w:iCs/>
          <w:szCs w:val="22"/>
        </w:rPr>
        <w:t>v</w:t>
      </w:r>
      <w:r w:rsidRPr="00EE18B7">
        <w:rPr>
          <w:i/>
          <w:iCs/>
          <w:szCs w:val="22"/>
        </w:rPr>
        <w:t xml:space="preserve">alues to be </w:t>
      </w:r>
      <w:r>
        <w:rPr>
          <w:i/>
          <w:iCs/>
          <w:szCs w:val="22"/>
        </w:rPr>
        <w:t>p</w:t>
      </w:r>
      <w:r w:rsidRPr="00EE18B7">
        <w:rPr>
          <w:i/>
          <w:iCs/>
          <w:szCs w:val="22"/>
        </w:rPr>
        <w:t>rotected</w:t>
      </w:r>
      <w:r w:rsidRPr="00EE18B7">
        <w:rPr>
          <w:szCs w:val="22"/>
        </w:rPr>
        <w:t>’</w:t>
      </w:r>
      <w:r w:rsidRPr="00EE18B7">
        <w:rPr>
          <w:bCs/>
          <w:szCs w:val="22"/>
        </w:rPr>
        <w:t xml:space="preserve">. </w:t>
      </w:r>
    </w:p>
    <w:p w14:paraId="450EC55E" w14:textId="77777777" w:rsidR="00972F0C" w:rsidRPr="00EE18B7" w:rsidRDefault="00972F0C" w:rsidP="00972F0C">
      <w:pPr>
        <w:spacing w:line="360" w:lineRule="auto"/>
        <w:ind w:firstLine="720"/>
        <w:contextualSpacing/>
        <w:rPr>
          <w:bCs/>
          <w:szCs w:val="22"/>
        </w:rPr>
      </w:pPr>
    </w:p>
    <w:p w14:paraId="62B683D5" w14:textId="77777777" w:rsidR="00972F0C" w:rsidRPr="00EE18B7" w:rsidRDefault="00972F0C" w:rsidP="00972F0C">
      <w:pPr>
        <w:spacing w:line="360" w:lineRule="auto"/>
        <w:contextualSpacing/>
        <w:rPr>
          <w:iCs/>
          <w:szCs w:val="22"/>
        </w:rPr>
      </w:pPr>
      <w:r w:rsidRPr="00EE18B7">
        <w:rPr>
          <w:iCs/>
          <w:szCs w:val="22"/>
        </w:rPr>
        <w:t>Table 1. Representation of inland waters within existing ASPA management plans</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8"/>
        <w:gridCol w:w="1381"/>
        <w:gridCol w:w="1448"/>
      </w:tblGrid>
      <w:tr w:rsidR="00972F0C" w:rsidRPr="00BA4057" w14:paraId="77396044" w14:textId="77777777" w:rsidTr="00AD5432">
        <w:trPr>
          <w:trHeight w:val="834"/>
        </w:trPr>
        <w:tc>
          <w:tcPr>
            <w:tcW w:w="5818" w:type="dxa"/>
            <w:tcBorders>
              <w:top w:val="single" w:sz="4" w:space="0" w:color="auto"/>
              <w:bottom w:val="single" w:sz="4" w:space="0" w:color="auto"/>
            </w:tcBorders>
          </w:tcPr>
          <w:p w14:paraId="0EEC76AC" w14:textId="77777777" w:rsidR="00972F0C" w:rsidRPr="00EE18B7" w:rsidRDefault="00972F0C" w:rsidP="00AD5432">
            <w:pPr>
              <w:spacing w:line="360" w:lineRule="auto"/>
              <w:contextualSpacing/>
              <w:jc w:val="center"/>
              <w:rPr>
                <w:b/>
                <w:bCs/>
                <w:szCs w:val="22"/>
              </w:rPr>
            </w:pPr>
            <w:r w:rsidRPr="00EE18B7">
              <w:rPr>
                <w:b/>
                <w:bCs/>
                <w:szCs w:val="22"/>
              </w:rPr>
              <w:t>ASPA management plan category</w:t>
            </w:r>
          </w:p>
        </w:tc>
        <w:tc>
          <w:tcPr>
            <w:tcW w:w="1381" w:type="dxa"/>
            <w:tcBorders>
              <w:top w:val="single" w:sz="4" w:space="0" w:color="auto"/>
              <w:bottom w:val="single" w:sz="4" w:space="0" w:color="auto"/>
            </w:tcBorders>
          </w:tcPr>
          <w:p w14:paraId="2091545E" w14:textId="77777777" w:rsidR="00972F0C" w:rsidRPr="00EE18B7" w:rsidRDefault="00972F0C" w:rsidP="00AD5432">
            <w:pPr>
              <w:spacing w:line="360" w:lineRule="auto"/>
              <w:contextualSpacing/>
              <w:jc w:val="center"/>
              <w:rPr>
                <w:b/>
                <w:bCs/>
                <w:szCs w:val="22"/>
              </w:rPr>
            </w:pPr>
            <w:r w:rsidRPr="00EE18B7">
              <w:rPr>
                <w:b/>
                <w:bCs/>
                <w:szCs w:val="22"/>
              </w:rPr>
              <w:t>Number of ASPAs</w:t>
            </w:r>
          </w:p>
        </w:tc>
        <w:tc>
          <w:tcPr>
            <w:tcW w:w="1448" w:type="dxa"/>
            <w:tcBorders>
              <w:top w:val="single" w:sz="4" w:space="0" w:color="auto"/>
              <w:bottom w:val="single" w:sz="4" w:space="0" w:color="auto"/>
            </w:tcBorders>
          </w:tcPr>
          <w:p w14:paraId="025E5040" w14:textId="77777777" w:rsidR="00972F0C" w:rsidRPr="00EE18B7" w:rsidRDefault="00972F0C" w:rsidP="00AD5432">
            <w:pPr>
              <w:spacing w:line="360" w:lineRule="auto"/>
              <w:contextualSpacing/>
              <w:jc w:val="center"/>
              <w:rPr>
                <w:b/>
                <w:bCs/>
                <w:szCs w:val="22"/>
              </w:rPr>
            </w:pPr>
            <w:r w:rsidRPr="00EE18B7">
              <w:rPr>
                <w:b/>
                <w:bCs/>
                <w:szCs w:val="22"/>
              </w:rPr>
              <w:t>% of all ASPAs</w:t>
            </w:r>
          </w:p>
        </w:tc>
      </w:tr>
      <w:tr w:rsidR="00972F0C" w:rsidRPr="00BA4057" w14:paraId="4520BE20" w14:textId="77777777" w:rsidTr="00AD5432">
        <w:tc>
          <w:tcPr>
            <w:tcW w:w="5818" w:type="dxa"/>
            <w:tcBorders>
              <w:top w:val="single" w:sz="4" w:space="0" w:color="auto"/>
            </w:tcBorders>
          </w:tcPr>
          <w:p w14:paraId="6F2F19AC" w14:textId="77777777" w:rsidR="00972F0C" w:rsidRPr="00EE18B7" w:rsidRDefault="00972F0C" w:rsidP="00AD5432">
            <w:pPr>
              <w:contextualSpacing/>
              <w:rPr>
                <w:szCs w:val="22"/>
              </w:rPr>
            </w:pPr>
            <w:r w:rsidRPr="00EE18B7">
              <w:rPr>
                <w:szCs w:val="22"/>
              </w:rPr>
              <w:t xml:space="preserve">Inland water bodies explicitly identified as the </w:t>
            </w:r>
            <w:r w:rsidRPr="00EE18B7">
              <w:rPr>
                <w:i/>
                <w:iCs/>
                <w:szCs w:val="22"/>
              </w:rPr>
              <w:t>primary value</w:t>
            </w:r>
            <w:r w:rsidRPr="00EE18B7">
              <w:rPr>
                <w:szCs w:val="22"/>
              </w:rPr>
              <w:t xml:space="preserve"> to be protected</w:t>
            </w:r>
          </w:p>
        </w:tc>
        <w:tc>
          <w:tcPr>
            <w:tcW w:w="1381" w:type="dxa"/>
            <w:tcBorders>
              <w:top w:val="single" w:sz="4" w:space="0" w:color="auto"/>
            </w:tcBorders>
            <w:vAlign w:val="center"/>
          </w:tcPr>
          <w:p w14:paraId="7CF8CDE6" w14:textId="77777777" w:rsidR="00972F0C" w:rsidRPr="00EE18B7" w:rsidRDefault="00972F0C" w:rsidP="00AD5432">
            <w:pPr>
              <w:spacing w:line="360" w:lineRule="auto"/>
              <w:contextualSpacing/>
              <w:jc w:val="center"/>
              <w:rPr>
                <w:szCs w:val="22"/>
              </w:rPr>
            </w:pPr>
            <w:r w:rsidRPr="00EE18B7">
              <w:rPr>
                <w:szCs w:val="22"/>
              </w:rPr>
              <w:t>2</w:t>
            </w:r>
          </w:p>
        </w:tc>
        <w:tc>
          <w:tcPr>
            <w:tcW w:w="1448" w:type="dxa"/>
            <w:tcBorders>
              <w:top w:val="single" w:sz="4" w:space="0" w:color="auto"/>
            </w:tcBorders>
            <w:vAlign w:val="center"/>
          </w:tcPr>
          <w:p w14:paraId="6FFFD87A" w14:textId="77777777" w:rsidR="00972F0C" w:rsidRPr="00EE18B7" w:rsidRDefault="00972F0C" w:rsidP="00AD5432">
            <w:pPr>
              <w:spacing w:line="360" w:lineRule="auto"/>
              <w:contextualSpacing/>
              <w:jc w:val="center"/>
              <w:rPr>
                <w:szCs w:val="22"/>
              </w:rPr>
            </w:pPr>
            <w:r w:rsidRPr="00EE18B7">
              <w:rPr>
                <w:szCs w:val="22"/>
              </w:rPr>
              <w:t>2.67</w:t>
            </w:r>
          </w:p>
        </w:tc>
      </w:tr>
      <w:tr w:rsidR="00972F0C" w:rsidRPr="00BA4057" w14:paraId="5078CA7E" w14:textId="77777777" w:rsidTr="00AD5432">
        <w:tc>
          <w:tcPr>
            <w:tcW w:w="5818" w:type="dxa"/>
            <w:tcBorders>
              <w:bottom w:val="single" w:sz="4" w:space="0" w:color="auto"/>
            </w:tcBorders>
          </w:tcPr>
          <w:p w14:paraId="142AAA91" w14:textId="77777777" w:rsidR="00972F0C" w:rsidRPr="00EE18B7" w:rsidRDefault="00972F0C" w:rsidP="00AD5432">
            <w:pPr>
              <w:contextualSpacing/>
              <w:rPr>
                <w:szCs w:val="22"/>
              </w:rPr>
            </w:pPr>
            <w:r w:rsidRPr="00EE18B7">
              <w:rPr>
                <w:szCs w:val="22"/>
              </w:rPr>
              <w:t xml:space="preserve">Inland water bodies are identified as </w:t>
            </w:r>
            <w:r w:rsidRPr="00EE18B7">
              <w:rPr>
                <w:i/>
                <w:szCs w:val="22"/>
              </w:rPr>
              <w:t>a</w:t>
            </w:r>
            <w:r w:rsidRPr="00EE18B7">
              <w:rPr>
                <w:szCs w:val="22"/>
              </w:rPr>
              <w:t xml:space="preserve"> value for protection but not </w:t>
            </w:r>
            <w:r w:rsidRPr="00EE18B7">
              <w:rPr>
                <w:i/>
                <w:iCs/>
                <w:szCs w:val="22"/>
              </w:rPr>
              <w:t>the</w:t>
            </w:r>
            <w:r w:rsidRPr="00EE18B7">
              <w:rPr>
                <w:szCs w:val="22"/>
              </w:rPr>
              <w:t xml:space="preserve"> </w:t>
            </w:r>
            <w:r w:rsidRPr="00EE18B7">
              <w:rPr>
                <w:i/>
                <w:iCs/>
                <w:szCs w:val="22"/>
              </w:rPr>
              <w:t>primary</w:t>
            </w:r>
            <w:r w:rsidRPr="00EE18B7">
              <w:rPr>
                <w:szCs w:val="22"/>
              </w:rPr>
              <w:t xml:space="preserve"> selection criterion</w:t>
            </w:r>
          </w:p>
        </w:tc>
        <w:tc>
          <w:tcPr>
            <w:tcW w:w="1381" w:type="dxa"/>
            <w:tcBorders>
              <w:bottom w:val="single" w:sz="4" w:space="0" w:color="auto"/>
            </w:tcBorders>
            <w:vAlign w:val="center"/>
          </w:tcPr>
          <w:p w14:paraId="43DE4774" w14:textId="77777777" w:rsidR="00972F0C" w:rsidRPr="00EE18B7" w:rsidRDefault="00972F0C" w:rsidP="00AD5432">
            <w:pPr>
              <w:spacing w:line="360" w:lineRule="auto"/>
              <w:contextualSpacing/>
              <w:jc w:val="center"/>
              <w:rPr>
                <w:szCs w:val="22"/>
              </w:rPr>
            </w:pPr>
            <w:r w:rsidRPr="00EE18B7">
              <w:rPr>
                <w:szCs w:val="22"/>
              </w:rPr>
              <w:t>14</w:t>
            </w:r>
          </w:p>
        </w:tc>
        <w:tc>
          <w:tcPr>
            <w:tcW w:w="1448" w:type="dxa"/>
            <w:tcBorders>
              <w:bottom w:val="single" w:sz="4" w:space="0" w:color="auto"/>
            </w:tcBorders>
            <w:vAlign w:val="center"/>
          </w:tcPr>
          <w:p w14:paraId="4168119F" w14:textId="77777777" w:rsidR="00972F0C" w:rsidRPr="00EE18B7" w:rsidRDefault="00972F0C" w:rsidP="00AD5432">
            <w:pPr>
              <w:spacing w:line="360" w:lineRule="auto"/>
              <w:contextualSpacing/>
              <w:jc w:val="center"/>
              <w:rPr>
                <w:szCs w:val="22"/>
              </w:rPr>
            </w:pPr>
            <w:r w:rsidRPr="00EE18B7">
              <w:rPr>
                <w:szCs w:val="22"/>
              </w:rPr>
              <w:t>18.67</w:t>
            </w:r>
          </w:p>
        </w:tc>
      </w:tr>
    </w:tbl>
    <w:p w14:paraId="44FD136C" w14:textId="77777777" w:rsidR="00972F0C" w:rsidRPr="00EE18B7" w:rsidRDefault="00972F0C" w:rsidP="00972F0C">
      <w:pPr>
        <w:spacing w:line="360" w:lineRule="auto"/>
        <w:rPr>
          <w:szCs w:val="22"/>
          <w:lang w:val="en-US"/>
        </w:rPr>
      </w:pPr>
    </w:p>
    <w:p w14:paraId="3BDEF34C" w14:textId="77777777" w:rsidR="00972F0C" w:rsidRDefault="00972F0C" w:rsidP="00972F0C">
      <w:pPr>
        <w:rPr>
          <w:bCs/>
          <w:szCs w:val="22"/>
        </w:rPr>
      </w:pPr>
      <w:r w:rsidRPr="00EE18B7">
        <w:rPr>
          <w:bCs/>
          <w:szCs w:val="22"/>
        </w:rPr>
        <w:t xml:space="preserve">Protection of </w:t>
      </w:r>
      <w:r>
        <w:rPr>
          <w:bCs/>
          <w:szCs w:val="22"/>
        </w:rPr>
        <w:t>inland aquatic system</w:t>
      </w:r>
      <w:r w:rsidRPr="00EE18B7">
        <w:rPr>
          <w:bCs/>
          <w:szCs w:val="22"/>
        </w:rPr>
        <w:t xml:space="preserve"> values is most effective where entire catchments are set aside. Four ASPAs currently meet this need</w:t>
      </w:r>
      <w:r>
        <w:rPr>
          <w:bCs/>
          <w:szCs w:val="22"/>
        </w:rPr>
        <w:t>:</w:t>
      </w:r>
      <w:r w:rsidRPr="00EE18B7">
        <w:rPr>
          <w:bCs/>
          <w:szCs w:val="22"/>
        </w:rPr>
        <w:t xml:space="preserve"> </w:t>
      </w:r>
    </w:p>
    <w:p w14:paraId="73287503" w14:textId="77777777" w:rsidR="00972F0C" w:rsidRPr="00F76A27" w:rsidRDefault="00972F0C" w:rsidP="00972F0C">
      <w:pPr>
        <w:pStyle w:val="Prrafodelista"/>
        <w:numPr>
          <w:ilvl w:val="0"/>
          <w:numId w:val="28"/>
        </w:numPr>
        <w:rPr>
          <w:szCs w:val="22"/>
        </w:rPr>
      </w:pPr>
      <w:r w:rsidRPr="00EE18B7">
        <w:rPr>
          <w:szCs w:val="22"/>
        </w:rPr>
        <w:t>ASPA 119</w:t>
      </w:r>
      <w:r w:rsidRPr="00EE18B7">
        <w:rPr>
          <w:i/>
          <w:iCs/>
          <w:szCs w:val="22"/>
        </w:rPr>
        <w:t xml:space="preserve"> </w:t>
      </w:r>
      <w:r w:rsidRPr="00EE18B7">
        <w:rPr>
          <w:szCs w:val="22"/>
        </w:rPr>
        <w:t xml:space="preserve">Davis Valley and </w:t>
      </w:r>
      <w:proofErr w:type="spellStart"/>
      <w:r w:rsidRPr="00EE18B7">
        <w:rPr>
          <w:szCs w:val="22"/>
        </w:rPr>
        <w:t>Forlidas</w:t>
      </w:r>
      <w:proofErr w:type="spellEnd"/>
      <w:r w:rsidRPr="00EE18B7">
        <w:rPr>
          <w:szCs w:val="22"/>
        </w:rPr>
        <w:t xml:space="preserve"> Ponds, </w:t>
      </w:r>
      <w:proofErr w:type="spellStart"/>
      <w:r w:rsidRPr="00EE18B7">
        <w:rPr>
          <w:szCs w:val="22"/>
        </w:rPr>
        <w:t>Dufek</w:t>
      </w:r>
      <w:proofErr w:type="spellEnd"/>
      <w:r w:rsidRPr="00EE18B7">
        <w:rPr>
          <w:szCs w:val="22"/>
        </w:rPr>
        <w:t xml:space="preserve"> Massif,</w:t>
      </w:r>
      <w:r>
        <w:rPr>
          <w:szCs w:val="22"/>
        </w:rPr>
        <w:t xml:space="preserve"> Pensacola Mountains;</w:t>
      </w:r>
    </w:p>
    <w:p w14:paraId="721DDC16" w14:textId="77777777" w:rsidR="00972F0C" w:rsidRPr="00F76A27" w:rsidRDefault="00972F0C" w:rsidP="00972F0C">
      <w:pPr>
        <w:pStyle w:val="Prrafodelista"/>
        <w:numPr>
          <w:ilvl w:val="0"/>
          <w:numId w:val="28"/>
        </w:numPr>
        <w:rPr>
          <w:szCs w:val="22"/>
        </w:rPr>
      </w:pPr>
      <w:r w:rsidRPr="00EE18B7">
        <w:rPr>
          <w:szCs w:val="22"/>
        </w:rPr>
        <w:t>ASPA 123 Barwick and Balham Valleys, South</w:t>
      </w:r>
      <w:r>
        <w:rPr>
          <w:szCs w:val="22"/>
        </w:rPr>
        <w:t>ern</w:t>
      </w:r>
      <w:r w:rsidRPr="00EE18B7">
        <w:rPr>
          <w:szCs w:val="22"/>
        </w:rPr>
        <w:t xml:space="preserve"> Victoria Land</w:t>
      </w:r>
      <w:r>
        <w:rPr>
          <w:szCs w:val="22"/>
        </w:rPr>
        <w:t>;</w:t>
      </w:r>
    </w:p>
    <w:p w14:paraId="7E913CB0" w14:textId="77777777" w:rsidR="00972F0C" w:rsidRPr="00F76A27" w:rsidRDefault="00972F0C" w:rsidP="00972F0C">
      <w:pPr>
        <w:pStyle w:val="Prrafodelista"/>
        <w:numPr>
          <w:ilvl w:val="0"/>
          <w:numId w:val="28"/>
        </w:numPr>
        <w:rPr>
          <w:szCs w:val="22"/>
        </w:rPr>
      </w:pPr>
      <w:r w:rsidRPr="00EE18B7">
        <w:rPr>
          <w:szCs w:val="22"/>
        </w:rPr>
        <w:t xml:space="preserve">ASPA 126 Byers Peninsula, </w:t>
      </w:r>
      <w:r>
        <w:rPr>
          <w:szCs w:val="22"/>
        </w:rPr>
        <w:t xml:space="preserve">Livingston Island, </w:t>
      </w:r>
      <w:r w:rsidRPr="00EE18B7">
        <w:rPr>
          <w:szCs w:val="22"/>
        </w:rPr>
        <w:t>South Shetland Islands</w:t>
      </w:r>
      <w:r>
        <w:rPr>
          <w:szCs w:val="22"/>
        </w:rPr>
        <w:t>;</w:t>
      </w:r>
      <w:r w:rsidRPr="00EE18B7">
        <w:rPr>
          <w:szCs w:val="22"/>
        </w:rPr>
        <w:t xml:space="preserve"> and </w:t>
      </w:r>
    </w:p>
    <w:p w14:paraId="24D22027" w14:textId="77777777" w:rsidR="00972F0C" w:rsidRPr="00F76A27" w:rsidRDefault="00972F0C" w:rsidP="00972F0C">
      <w:pPr>
        <w:pStyle w:val="Prrafodelista"/>
        <w:numPr>
          <w:ilvl w:val="0"/>
          <w:numId w:val="28"/>
        </w:numPr>
        <w:rPr>
          <w:szCs w:val="22"/>
        </w:rPr>
      </w:pPr>
      <w:r w:rsidRPr="00EE18B7">
        <w:rPr>
          <w:szCs w:val="22"/>
        </w:rPr>
        <w:t xml:space="preserve">ASPA 147 Ablation Valley and Ganymede Heights, Alexander Island.  </w:t>
      </w:r>
    </w:p>
    <w:p w14:paraId="2C284785" w14:textId="77777777" w:rsidR="00972F0C" w:rsidRPr="00EE18B7" w:rsidRDefault="00972F0C" w:rsidP="00972F0C">
      <w:pPr>
        <w:rPr>
          <w:szCs w:val="22"/>
          <w:lang w:val="en-US"/>
        </w:rPr>
      </w:pPr>
      <w:r w:rsidRPr="00EE18B7">
        <w:rPr>
          <w:szCs w:val="22"/>
        </w:rPr>
        <w:t>These four locations are widespread across the continent, and potentially are the first steps in a systematic approach to protection of representative catchments.</w:t>
      </w:r>
    </w:p>
    <w:p w14:paraId="204C7A82" w14:textId="77777777" w:rsidR="00972F0C" w:rsidRPr="00EE18B7" w:rsidRDefault="00972F0C" w:rsidP="00972F0C">
      <w:pPr>
        <w:pStyle w:val="ATSHeading2"/>
        <w:keepNext/>
        <w:rPr>
          <w:rFonts w:cs="Arial"/>
          <w:szCs w:val="24"/>
        </w:rPr>
      </w:pPr>
      <w:r w:rsidRPr="00EE18B7">
        <w:rPr>
          <w:rFonts w:cs="Arial"/>
          <w:szCs w:val="24"/>
        </w:rPr>
        <w:lastRenderedPageBreak/>
        <w:t>A way forward</w:t>
      </w:r>
    </w:p>
    <w:p w14:paraId="310481C1" w14:textId="77777777" w:rsidR="00972F0C" w:rsidRPr="00EE18B7" w:rsidRDefault="00972F0C" w:rsidP="00972F0C">
      <w:pPr>
        <w:pStyle w:val="ATSNormal"/>
        <w:rPr>
          <w:szCs w:val="22"/>
        </w:rPr>
      </w:pPr>
      <w:r>
        <w:rPr>
          <w:szCs w:val="22"/>
        </w:rPr>
        <w:t xml:space="preserve">A </w:t>
      </w:r>
      <w:r w:rsidRPr="00EE18B7">
        <w:rPr>
          <w:szCs w:val="22"/>
        </w:rPr>
        <w:t xml:space="preserve">systematic approach to enable appropriate protection of representative inland waters in Antarctica </w:t>
      </w:r>
      <w:r>
        <w:rPr>
          <w:szCs w:val="22"/>
        </w:rPr>
        <w:t>has been developed.  Strategic protection of these scarce environments could be further enhanced through consideration of the following points:</w:t>
      </w:r>
    </w:p>
    <w:p w14:paraId="14F28941" w14:textId="77777777" w:rsidR="00972F0C" w:rsidRPr="00EE18B7" w:rsidRDefault="00972F0C" w:rsidP="00972F0C">
      <w:pPr>
        <w:pStyle w:val="Prrafodelista"/>
        <w:numPr>
          <w:ilvl w:val="0"/>
          <w:numId w:val="26"/>
        </w:numPr>
        <w:contextualSpacing/>
        <w:rPr>
          <w:szCs w:val="22"/>
        </w:rPr>
      </w:pPr>
      <w:r w:rsidRPr="00EE18B7">
        <w:rPr>
          <w:szCs w:val="22"/>
        </w:rPr>
        <w:t xml:space="preserve">In the absence of comprehensive, high quality, biodiversity and biogeography data, a conservative approach </w:t>
      </w:r>
      <w:r>
        <w:rPr>
          <w:szCs w:val="22"/>
        </w:rPr>
        <w:t>might be</w:t>
      </w:r>
      <w:r w:rsidRPr="00EE18B7">
        <w:rPr>
          <w:szCs w:val="22"/>
        </w:rPr>
        <w:t xml:space="preserve"> to use </w:t>
      </w:r>
      <w:r>
        <w:rPr>
          <w:szCs w:val="22"/>
        </w:rPr>
        <w:t>Antarctic Conservation Biogeographic Regions (</w:t>
      </w:r>
      <w:r w:rsidRPr="00EE18B7">
        <w:rPr>
          <w:szCs w:val="22"/>
        </w:rPr>
        <w:t>ACBRs</w:t>
      </w:r>
      <w:r>
        <w:rPr>
          <w:szCs w:val="22"/>
        </w:rPr>
        <w:t>; Resolution 3 (2017))</w:t>
      </w:r>
      <w:r w:rsidRPr="00EE18B7">
        <w:rPr>
          <w:szCs w:val="22"/>
        </w:rPr>
        <w:t xml:space="preserve"> to ensure representative coverage.</w:t>
      </w:r>
    </w:p>
    <w:p w14:paraId="378848AC" w14:textId="77777777" w:rsidR="00972F0C" w:rsidRPr="00EE18B7" w:rsidRDefault="00972F0C" w:rsidP="00972F0C">
      <w:pPr>
        <w:pStyle w:val="Prrafodelista"/>
        <w:numPr>
          <w:ilvl w:val="0"/>
          <w:numId w:val="26"/>
        </w:numPr>
        <w:contextualSpacing/>
        <w:rPr>
          <w:szCs w:val="22"/>
        </w:rPr>
      </w:pPr>
      <w:r w:rsidRPr="00EE18B7">
        <w:rPr>
          <w:szCs w:val="22"/>
        </w:rPr>
        <w:t xml:space="preserve">Very </w:t>
      </w:r>
      <w:r>
        <w:rPr>
          <w:szCs w:val="22"/>
        </w:rPr>
        <w:t>H</w:t>
      </w:r>
      <w:r w:rsidRPr="00EE18B7">
        <w:rPr>
          <w:szCs w:val="22"/>
        </w:rPr>
        <w:t xml:space="preserve">igh </w:t>
      </w:r>
      <w:r>
        <w:rPr>
          <w:szCs w:val="22"/>
        </w:rPr>
        <w:t>R</w:t>
      </w:r>
      <w:r w:rsidRPr="00EE18B7">
        <w:rPr>
          <w:szCs w:val="22"/>
        </w:rPr>
        <w:t xml:space="preserve">esolution </w:t>
      </w:r>
      <w:r>
        <w:rPr>
          <w:szCs w:val="22"/>
        </w:rPr>
        <w:t xml:space="preserve">(VHR) </w:t>
      </w:r>
      <w:r w:rsidRPr="00EE18B7">
        <w:rPr>
          <w:szCs w:val="22"/>
        </w:rPr>
        <w:t>remote sensing products could be used to identify likely areas in poorly documented ACBRs for potential inclusion for inland water protection.</w:t>
      </w:r>
    </w:p>
    <w:p w14:paraId="0258C1F5" w14:textId="77777777" w:rsidR="00972F0C" w:rsidRPr="00EE18B7" w:rsidRDefault="00972F0C" w:rsidP="00972F0C">
      <w:pPr>
        <w:pStyle w:val="Prrafodelista"/>
        <w:numPr>
          <w:ilvl w:val="0"/>
          <w:numId w:val="26"/>
        </w:numPr>
        <w:contextualSpacing/>
        <w:rPr>
          <w:szCs w:val="22"/>
        </w:rPr>
      </w:pPr>
      <w:r w:rsidRPr="00EE18B7">
        <w:rPr>
          <w:szCs w:val="22"/>
        </w:rPr>
        <w:t xml:space="preserve">Goals </w:t>
      </w:r>
      <w:r>
        <w:rPr>
          <w:szCs w:val="22"/>
        </w:rPr>
        <w:t>could be</w:t>
      </w:r>
      <w:r w:rsidRPr="00EE18B7">
        <w:rPr>
          <w:szCs w:val="22"/>
        </w:rPr>
        <w:t xml:space="preserve"> set to protect representative classes of inland water bodies from each ACBR that (</w:t>
      </w:r>
      <w:proofErr w:type="spellStart"/>
      <w:r w:rsidRPr="00EE18B7">
        <w:rPr>
          <w:szCs w:val="22"/>
        </w:rPr>
        <w:t>i</w:t>
      </w:r>
      <w:proofErr w:type="spellEnd"/>
      <w:r w:rsidRPr="00EE18B7">
        <w:rPr>
          <w:szCs w:val="22"/>
        </w:rPr>
        <w:t>) are pristine, or close to it, (ii) include the catchment, or at least the major inflows (iii) are sufficiently distant from stations and other facilities to avoid casual visitation.  Sites should also include areas known to host rare aquatic organisms or those with limited distributions. Existing ASPAs should be reviewed to determine whether they contain representative inland water bodies.</w:t>
      </w:r>
    </w:p>
    <w:p w14:paraId="221594D2" w14:textId="77777777" w:rsidR="00972F0C" w:rsidRPr="00EE18B7" w:rsidRDefault="00972F0C" w:rsidP="00972F0C">
      <w:pPr>
        <w:pStyle w:val="Prrafodelista"/>
        <w:numPr>
          <w:ilvl w:val="0"/>
          <w:numId w:val="26"/>
        </w:numPr>
        <w:contextualSpacing/>
        <w:rPr>
          <w:szCs w:val="22"/>
        </w:rPr>
      </w:pPr>
      <w:r w:rsidRPr="00EE18B7">
        <w:rPr>
          <w:szCs w:val="22"/>
        </w:rPr>
        <w:t xml:space="preserve">Consideration </w:t>
      </w:r>
      <w:r>
        <w:rPr>
          <w:szCs w:val="22"/>
        </w:rPr>
        <w:t xml:space="preserve">could </w:t>
      </w:r>
      <w:r w:rsidRPr="00EE18B7">
        <w:rPr>
          <w:szCs w:val="22"/>
        </w:rPr>
        <w:t xml:space="preserve">be given to the designation of </w:t>
      </w:r>
      <w:r>
        <w:rPr>
          <w:szCs w:val="22"/>
        </w:rPr>
        <w:t xml:space="preserve">new </w:t>
      </w:r>
      <w:r w:rsidRPr="00EE18B7">
        <w:rPr>
          <w:szCs w:val="22"/>
        </w:rPr>
        <w:t xml:space="preserve">ASPAs that specifically meet requirements under the Protocol to </w:t>
      </w:r>
      <w:r>
        <w:rPr>
          <w:szCs w:val="22"/>
        </w:rPr>
        <w:t>protect</w:t>
      </w:r>
      <w:r w:rsidRPr="00EE18B7">
        <w:rPr>
          <w:szCs w:val="22"/>
        </w:rPr>
        <w:t xml:space="preserve"> 'representative examples of major terrestrial, including glacial and </w:t>
      </w:r>
      <w:r w:rsidRPr="00EE18B7">
        <w:rPr>
          <w:szCs w:val="22"/>
          <w:u w:val="single"/>
        </w:rPr>
        <w:t>aquatic</w:t>
      </w:r>
      <w:r w:rsidRPr="00EE18B7">
        <w:rPr>
          <w:szCs w:val="22"/>
        </w:rPr>
        <w:t xml:space="preserve">, ecosystems and marine ecosystems'.  These could include areas where access is restricted for significant periods of time to act as strategic investments in habitat and biological diversity for future generations. </w:t>
      </w:r>
    </w:p>
    <w:p w14:paraId="30FAF457" w14:textId="77777777" w:rsidR="00972F0C" w:rsidRPr="00EE18B7" w:rsidRDefault="00972F0C" w:rsidP="00972F0C">
      <w:pPr>
        <w:pStyle w:val="Prrafodelista"/>
        <w:numPr>
          <w:ilvl w:val="0"/>
          <w:numId w:val="26"/>
        </w:numPr>
        <w:contextualSpacing/>
        <w:rPr>
          <w:szCs w:val="22"/>
        </w:rPr>
      </w:pPr>
      <w:r w:rsidRPr="00EE18B7">
        <w:rPr>
          <w:szCs w:val="22"/>
        </w:rPr>
        <w:t xml:space="preserve">Designation of such representative </w:t>
      </w:r>
      <w:r>
        <w:rPr>
          <w:szCs w:val="22"/>
        </w:rPr>
        <w:t xml:space="preserve">inland water bodies and their </w:t>
      </w:r>
      <w:r w:rsidRPr="00EE18B7">
        <w:rPr>
          <w:szCs w:val="22"/>
        </w:rPr>
        <w:t>catchments may be best accomplished by a collaborative approach such as multi-party ASPAs (Hughes &amp; Grant 2017)</w:t>
      </w:r>
      <w:r>
        <w:rPr>
          <w:szCs w:val="22"/>
        </w:rPr>
        <w:t>,</w:t>
      </w:r>
      <w:r w:rsidRPr="00EE18B7">
        <w:rPr>
          <w:szCs w:val="22"/>
        </w:rPr>
        <w:t xml:space="preserve"> which may also assist a move away from the reliance on </w:t>
      </w:r>
      <w:r>
        <w:rPr>
          <w:szCs w:val="22"/>
        </w:rPr>
        <w:t>small numbers of</w:t>
      </w:r>
      <w:r w:rsidRPr="00EE18B7">
        <w:rPr>
          <w:szCs w:val="22"/>
        </w:rPr>
        <w:t xml:space="preserve"> researchers to champion </w:t>
      </w:r>
      <w:r>
        <w:rPr>
          <w:szCs w:val="22"/>
        </w:rPr>
        <w:t xml:space="preserve">designation of new </w:t>
      </w:r>
      <w:r w:rsidRPr="00EE18B7">
        <w:rPr>
          <w:szCs w:val="22"/>
        </w:rPr>
        <w:t xml:space="preserve">ASPAs. Both SCAR and the CEP can also propose such and may offer suitable mechanisms. </w:t>
      </w:r>
    </w:p>
    <w:p w14:paraId="267C72FE" w14:textId="77777777" w:rsidR="00972F0C" w:rsidRPr="00EE18B7" w:rsidRDefault="00972F0C" w:rsidP="00972F0C">
      <w:pPr>
        <w:pStyle w:val="Prrafodelista"/>
        <w:numPr>
          <w:ilvl w:val="0"/>
          <w:numId w:val="26"/>
        </w:numPr>
        <w:contextualSpacing/>
        <w:rPr>
          <w:szCs w:val="22"/>
        </w:rPr>
      </w:pPr>
      <w:r w:rsidRPr="00EE18B7">
        <w:rPr>
          <w:rStyle w:val="cf01"/>
          <w:szCs w:val="22"/>
        </w:rPr>
        <w:t xml:space="preserve">A set of steps </w:t>
      </w:r>
      <w:r w:rsidRPr="00EE18B7">
        <w:rPr>
          <w:rStyle w:val="cf11"/>
          <w:szCs w:val="22"/>
        </w:rPr>
        <w:t xml:space="preserve">modified from the framework developed by </w:t>
      </w:r>
      <w:proofErr w:type="spellStart"/>
      <w:r w:rsidRPr="00EE18B7">
        <w:rPr>
          <w:rStyle w:val="cf11"/>
          <w:szCs w:val="22"/>
        </w:rPr>
        <w:t>Margules</w:t>
      </w:r>
      <w:proofErr w:type="spellEnd"/>
      <w:r w:rsidRPr="00EE18B7">
        <w:rPr>
          <w:rStyle w:val="cf11"/>
          <w:szCs w:val="22"/>
        </w:rPr>
        <w:t xml:space="preserve"> &amp; Pressey (2000) (Table 2), </w:t>
      </w:r>
      <w:r>
        <w:rPr>
          <w:rStyle w:val="cf11"/>
          <w:szCs w:val="22"/>
        </w:rPr>
        <w:t xml:space="preserve">could </w:t>
      </w:r>
      <w:r w:rsidRPr="00EE18B7">
        <w:rPr>
          <w:rStyle w:val="cf01"/>
          <w:szCs w:val="22"/>
        </w:rPr>
        <w:t>be used to assist the development of an approach for protection of representative inland water bodies and their catchments.</w:t>
      </w:r>
    </w:p>
    <w:p w14:paraId="0F543565" w14:textId="77777777" w:rsidR="00972F0C" w:rsidRPr="00EE18B7" w:rsidRDefault="00972F0C" w:rsidP="00972F0C">
      <w:pPr>
        <w:pStyle w:val="ATSNormal"/>
        <w:rPr>
          <w:szCs w:val="22"/>
        </w:rPr>
      </w:pPr>
    </w:p>
    <w:p w14:paraId="2C91233B" w14:textId="77777777" w:rsidR="00972F0C" w:rsidRPr="00EE18B7" w:rsidRDefault="00972F0C" w:rsidP="00972F0C">
      <w:pPr>
        <w:pStyle w:val="ATSNormal"/>
        <w:rPr>
          <w:szCs w:val="22"/>
        </w:rPr>
        <w:sectPr w:rsidR="00972F0C" w:rsidRPr="00EE18B7" w:rsidSect="00972F0C">
          <w:headerReference w:type="default" r:id="rId12"/>
          <w:footerReference w:type="default" r:id="rId13"/>
          <w:type w:val="oddPage"/>
          <w:pgSz w:w="11907" w:h="16840" w:code="9"/>
          <w:pgMar w:top="1134" w:right="1701" w:bottom="1134" w:left="1701" w:header="709" w:footer="709" w:gutter="0"/>
          <w:cols w:space="708"/>
          <w:docGrid w:linePitch="360"/>
        </w:sectPr>
      </w:pPr>
    </w:p>
    <w:p w14:paraId="57016978" w14:textId="77777777" w:rsidR="00972F0C" w:rsidRPr="00EE18B7" w:rsidRDefault="00972F0C" w:rsidP="00972F0C">
      <w:pPr>
        <w:pStyle w:val="ATSNormal"/>
        <w:rPr>
          <w:szCs w:val="22"/>
        </w:rPr>
      </w:pPr>
      <w:r w:rsidRPr="00EE18B7">
        <w:rPr>
          <w:b/>
          <w:bCs/>
          <w:szCs w:val="22"/>
        </w:rPr>
        <w:lastRenderedPageBreak/>
        <w:t>Table 2.</w:t>
      </w:r>
      <w:r w:rsidRPr="00EE18B7">
        <w:rPr>
          <w:szCs w:val="22"/>
        </w:rPr>
        <w:t xml:space="preserve">  Six-step guide (partly after </w:t>
      </w:r>
      <w:proofErr w:type="spellStart"/>
      <w:r w:rsidRPr="00EE18B7">
        <w:rPr>
          <w:szCs w:val="22"/>
        </w:rPr>
        <w:t>Margules</w:t>
      </w:r>
      <w:proofErr w:type="spellEnd"/>
      <w:r w:rsidRPr="00EE18B7">
        <w:rPr>
          <w:szCs w:val="22"/>
        </w:rPr>
        <w:t xml:space="preserve"> &amp; Pressey 2000) to developing a systematic prioritisation for ASPAs for application to inland waters in Antarctica under the framework for protected area designation in Annex V to the Protocol on Environmental Protection to the Antarctic Treaty.  ACBR = </w:t>
      </w:r>
      <w:r w:rsidRPr="00EE18B7">
        <w:rPr>
          <w:color w:val="000000"/>
          <w:szCs w:val="22"/>
        </w:rPr>
        <w:t>Antarctic Conservation Biogeographic Regions</w:t>
      </w:r>
    </w:p>
    <w:tbl>
      <w:tblPr>
        <w:tblStyle w:val="Tablaconcuadrcula"/>
        <w:tblW w:w="15452" w:type="dxa"/>
        <w:tblInd w:w="-289" w:type="dxa"/>
        <w:tblLook w:val="04A0" w:firstRow="1" w:lastRow="0" w:firstColumn="1" w:lastColumn="0" w:noHBand="0" w:noVBand="1"/>
      </w:tblPr>
      <w:tblGrid>
        <w:gridCol w:w="632"/>
        <w:gridCol w:w="1920"/>
        <w:gridCol w:w="5812"/>
        <w:gridCol w:w="7088"/>
      </w:tblGrid>
      <w:tr w:rsidR="00972F0C" w:rsidRPr="00BA4057" w14:paraId="0C7B7E35" w14:textId="77777777" w:rsidTr="00AD5432">
        <w:trPr>
          <w:trHeight w:val="268"/>
        </w:trPr>
        <w:tc>
          <w:tcPr>
            <w:tcW w:w="632" w:type="dxa"/>
          </w:tcPr>
          <w:p w14:paraId="6C381508" w14:textId="77777777" w:rsidR="00972F0C" w:rsidRPr="00EE18B7" w:rsidRDefault="00972F0C" w:rsidP="00AD5432">
            <w:pPr>
              <w:contextualSpacing/>
              <w:rPr>
                <w:szCs w:val="22"/>
              </w:rPr>
            </w:pPr>
            <w:r w:rsidRPr="00EE18B7">
              <w:rPr>
                <w:szCs w:val="22"/>
              </w:rPr>
              <w:t>Step</w:t>
            </w:r>
          </w:p>
        </w:tc>
        <w:tc>
          <w:tcPr>
            <w:tcW w:w="1920" w:type="dxa"/>
          </w:tcPr>
          <w:p w14:paraId="3E8BB816" w14:textId="77777777" w:rsidR="00972F0C" w:rsidRPr="00EE18B7" w:rsidRDefault="00972F0C" w:rsidP="00AD5432">
            <w:pPr>
              <w:contextualSpacing/>
              <w:rPr>
                <w:b/>
                <w:bCs/>
                <w:szCs w:val="22"/>
              </w:rPr>
            </w:pPr>
            <w:r w:rsidRPr="00EE18B7">
              <w:rPr>
                <w:b/>
                <w:bCs/>
                <w:szCs w:val="22"/>
              </w:rPr>
              <w:t>Task</w:t>
            </w:r>
          </w:p>
        </w:tc>
        <w:tc>
          <w:tcPr>
            <w:tcW w:w="5812" w:type="dxa"/>
          </w:tcPr>
          <w:p w14:paraId="1121F84A" w14:textId="77777777" w:rsidR="00972F0C" w:rsidRPr="00EE18B7" w:rsidRDefault="00972F0C" w:rsidP="00AD5432">
            <w:pPr>
              <w:contextualSpacing/>
              <w:rPr>
                <w:b/>
                <w:bCs/>
                <w:szCs w:val="22"/>
              </w:rPr>
            </w:pPr>
            <w:r w:rsidRPr="00EE18B7">
              <w:rPr>
                <w:b/>
                <w:bCs/>
                <w:szCs w:val="22"/>
              </w:rPr>
              <w:t>Sub-tasks: Antarctic Inland waters:</w:t>
            </w:r>
          </w:p>
        </w:tc>
        <w:tc>
          <w:tcPr>
            <w:tcW w:w="7088" w:type="dxa"/>
          </w:tcPr>
          <w:p w14:paraId="5F3EEF9F" w14:textId="77777777" w:rsidR="00972F0C" w:rsidRPr="00EE18B7" w:rsidRDefault="00972F0C" w:rsidP="00AD5432">
            <w:pPr>
              <w:contextualSpacing/>
              <w:rPr>
                <w:b/>
                <w:bCs/>
                <w:szCs w:val="22"/>
              </w:rPr>
            </w:pPr>
            <w:r w:rsidRPr="00EE18B7">
              <w:rPr>
                <w:b/>
                <w:bCs/>
                <w:szCs w:val="22"/>
              </w:rPr>
              <w:t>Commentary and requirements for Antarctic Inland waters</w:t>
            </w:r>
          </w:p>
        </w:tc>
      </w:tr>
      <w:tr w:rsidR="00972F0C" w:rsidRPr="00BA4057" w14:paraId="1B2D0D07" w14:textId="77777777" w:rsidTr="00AD5432">
        <w:trPr>
          <w:trHeight w:val="1101"/>
        </w:trPr>
        <w:tc>
          <w:tcPr>
            <w:tcW w:w="632" w:type="dxa"/>
          </w:tcPr>
          <w:p w14:paraId="78A569C1" w14:textId="77777777" w:rsidR="00972F0C" w:rsidRPr="00EE18B7" w:rsidRDefault="00972F0C" w:rsidP="00AD5432">
            <w:pPr>
              <w:contextualSpacing/>
              <w:rPr>
                <w:szCs w:val="22"/>
              </w:rPr>
            </w:pPr>
            <w:r w:rsidRPr="00EE18B7">
              <w:rPr>
                <w:szCs w:val="22"/>
              </w:rPr>
              <w:t>1</w:t>
            </w:r>
          </w:p>
        </w:tc>
        <w:tc>
          <w:tcPr>
            <w:tcW w:w="1920" w:type="dxa"/>
          </w:tcPr>
          <w:p w14:paraId="7CD6FB49" w14:textId="77777777" w:rsidR="00972F0C" w:rsidRPr="00EE18B7" w:rsidRDefault="00972F0C" w:rsidP="00AD5432">
            <w:pPr>
              <w:contextualSpacing/>
              <w:rPr>
                <w:szCs w:val="22"/>
              </w:rPr>
            </w:pPr>
            <w:r w:rsidRPr="00EE18B7">
              <w:rPr>
                <w:szCs w:val="22"/>
              </w:rPr>
              <w:t>Compile data on inland water environmental and biological diversity</w:t>
            </w:r>
          </w:p>
        </w:tc>
        <w:tc>
          <w:tcPr>
            <w:tcW w:w="5812" w:type="dxa"/>
          </w:tcPr>
          <w:p w14:paraId="5E730831" w14:textId="77777777" w:rsidR="00972F0C" w:rsidRPr="00EE18B7" w:rsidRDefault="00972F0C" w:rsidP="00972F0C">
            <w:pPr>
              <w:pStyle w:val="Prrafodelista"/>
              <w:numPr>
                <w:ilvl w:val="0"/>
                <w:numId w:val="22"/>
              </w:numPr>
              <w:ind w:left="153" w:hanging="153"/>
              <w:contextualSpacing/>
              <w:rPr>
                <w:szCs w:val="22"/>
              </w:rPr>
            </w:pPr>
            <w:r w:rsidRPr="00EE18B7">
              <w:rPr>
                <w:szCs w:val="22"/>
              </w:rPr>
              <w:t>Review existing data and identify datasets to serve as surrogates for the diversity of inland water ecosystems and their associated biodiversity.</w:t>
            </w:r>
          </w:p>
          <w:p w14:paraId="7E0E368F" w14:textId="77777777" w:rsidR="00972F0C" w:rsidRPr="00EE18B7" w:rsidRDefault="00972F0C" w:rsidP="00972F0C">
            <w:pPr>
              <w:pStyle w:val="Prrafodelista"/>
              <w:numPr>
                <w:ilvl w:val="0"/>
                <w:numId w:val="22"/>
              </w:numPr>
              <w:ind w:left="153" w:hanging="153"/>
              <w:contextualSpacing/>
              <w:rPr>
                <w:szCs w:val="22"/>
              </w:rPr>
            </w:pPr>
            <w:r w:rsidRPr="00EE18B7">
              <w:rPr>
                <w:szCs w:val="22"/>
              </w:rPr>
              <w:t xml:space="preserve">Overlay any information about rare and/or threatened species </w:t>
            </w:r>
          </w:p>
        </w:tc>
        <w:tc>
          <w:tcPr>
            <w:tcW w:w="7088" w:type="dxa"/>
          </w:tcPr>
          <w:p w14:paraId="02500856" w14:textId="77777777" w:rsidR="00972F0C" w:rsidRPr="00EE18B7" w:rsidRDefault="00972F0C" w:rsidP="00972F0C">
            <w:pPr>
              <w:pStyle w:val="Prrafodelista"/>
              <w:numPr>
                <w:ilvl w:val="0"/>
                <w:numId w:val="22"/>
              </w:numPr>
              <w:ind w:left="247" w:hanging="247"/>
              <w:contextualSpacing/>
              <w:rPr>
                <w:szCs w:val="22"/>
              </w:rPr>
            </w:pPr>
            <w:r w:rsidRPr="00EE18B7">
              <w:rPr>
                <w:szCs w:val="22"/>
              </w:rPr>
              <w:t xml:space="preserve">Surrogates for representativeness are ACBRs and habitat class </w:t>
            </w:r>
          </w:p>
          <w:p w14:paraId="535C6C6F" w14:textId="77777777" w:rsidR="00972F0C" w:rsidRPr="00EE18B7" w:rsidRDefault="00972F0C" w:rsidP="00972F0C">
            <w:pPr>
              <w:pStyle w:val="Prrafodelista"/>
              <w:numPr>
                <w:ilvl w:val="0"/>
                <w:numId w:val="22"/>
              </w:numPr>
              <w:ind w:left="247" w:hanging="247"/>
              <w:contextualSpacing/>
              <w:rPr>
                <w:szCs w:val="22"/>
              </w:rPr>
            </w:pPr>
            <w:r w:rsidRPr="00EE18B7">
              <w:rPr>
                <w:szCs w:val="22"/>
              </w:rPr>
              <w:t>Develop remote-sensing based approaches to classify and map inland water bodies in ice-free areas across the continent, including unrepresented ACBR</w:t>
            </w:r>
          </w:p>
          <w:p w14:paraId="1BB8CA13" w14:textId="77777777" w:rsidR="00972F0C" w:rsidRPr="00EE18B7" w:rsidRDefault="00972F0C" w:rsidP="00972F0C">
            <w:pPr>
              <w:pStyle w:val="Prrafodelista"/>
              <w:numPr>
                <w:ilvl w:val="0"/>
                <w:numId w:val="22"/>
              </w:numPr>
              <w:ind w:left="247" w:hanging="247"/>
              <w:contextualSpacing/>
              <w:rPr>
                <w:szCs w:val="22"/>
              </w:rPr>
            </w:pPr>
            <w:r w:rsidRPr="00EE18B7">
              <w:rPr>
                <w:szCs w:val="22"/>
              </w:rPr>
              <w:t>Incorporate known rare/threatened species distributions.</w:t>
            </w:r>
          </w:p>
        </w:tc>
      </w:tr>
      <w:tr w:rsidR="00972F0C" w:rsidRPr="00BA4057" w14:paraId="7992AABD" w14:textId="77777777" w:rsidTr="00AD5432">
        <w:trPr>
          <w:trHeight w:val="1108"/>
        </w:trPr>
        <w:tc>
          <w:tcPr>
            <w:tcW w:w="632" w:type="dxa"/>
          </w:tcPr>
          <w:p w14:paraId="2A597C04" w14:textId="77777777" w:rsidR="00972F0C" w:rsidRPr="00EE18B7" w:rsidRDefault="00972F0C" w:rsidP="00AD5432">
            <w:pPr>
              <w:contextualSpacing/>
              <w:rPr>
                <w:szCs w:val="22"/>
              </w:rPr>
            </w:pPr>
            <w:r w:rsidRPr="00EE18B7">
              <w:rPr>
                <w:szCs w:val="22"/>
              </w:rPr>
              <w:t>2</w:t>
            </w:r>
          </w:p>
        </w:tc>
        <w:tc>
          <w:tcPr>
            <w:tcW w:w="1920" w:type="dxa"/>
          </w:tcPr>
          <w:p w14:paraId="45F78151" w14:textId="77777777" w:rsidR="00972F0C" w:rsidRPr="00EE18B7" w:rsidRDefault="00972F0C" w:rsidP="00AD5432">
            <w:pPr>
              <w:contextualSpacing/>
              <w:rPr>
                <w:szCs w:val="22"/>
              </w:rPr>
            </w:pPr>
            <w:r w:rsidRPr="00EE18B7">
              <w:rPr>
                <w:szCs w:val="22"/>
              </w:rPr>
              <w:t>Define the requirements of the protected catchment areas</w:t>
            </w:r>
          </w:p>
        </w:tc>
        <w:tc>
          <w:tcPr>
            <w:tcW w:w="5812" w:type="dxa"/>
          </w:tcPr>
          <w:p w14:paraId="4328CE6D" w14:textId="77777777" w:rsidR="00972F0C" w:rsidRPr="00EE18B7" w:rsidRDefault="00972F0C" w:rsidP="00972F0C">
            <w:pPr>
              <w:pStyle w:val="Prrafodelista"/>
              <w:numPr>
                <w:ilvl w:val="0"/>
                <w:numId w:val="22"/>
              </w:numPr>
              <w:ind w:left="153" w:hanging="142"/>
              <w:contextualSpacing/>
              <w:rPr>
                <w:szCs w:val="22"/>
              </w:rPr>
            </w:pPr>
            <w:r w:rsidRPr="00EE18B7">
              <w:rPr>
                <w:szCs w:val="22"/>
              </w:rPr>
              <w:t>Set quantitative targets and define criteria underpinning protected area selection.</w:t>
            </w:r>
          </w:p>
          <w:p w14:paraId="0F8408D0" w14:textId="77777777" w:rsidR="00972F0C" w:rsidRPr="00EE18B7" w:rsidRDefault="00972F0C" w:rsidP="00972F0C">
            <w:pPr>
              <w:pStyle w:val="Prrafodelista"/>
              <w:numPr>
                <w:ilvl w:val="0"/>
                <w:numId w:val="22"/>
              </w:numPr>
              <w:ind w:left="153" w:hanging="142"/>
              <w:contextualSpacing/>
              <w:rPr>
                <w:szCs w:val="22"/>
              </w:rPr>
            </w:pPr>
            <w:r w:rsidRPr="00EE18B7">
              <w:rPr>
                <w:szCs w:val="22"/>
              </w:rPr>
              <w:t>Consider classification systems for prioritisation of inland aquatic environments for protection. Consider likely vulnerabilities.</w:t>
            </w:r>
          </w:p>
        </w:tc>
        <w:tc>
          <w:tcPr>
            <w:tcW w:w="7088" w:type="dxa"/>
          </w:tcPr>
          <w:p w14:paraId="5752C58A" w14:textId="77777777" w:rsidR="00972F0C" w:rsidRPr="00EE18B7" w:rsidRDefault="00972F0C" w:rsidP="00972F0C">
            <w:pPr>
              <w:pStyle w:val="Prrafodelista"/>
              <w:numPr>
                <w:ilvl w:val="0"/>
                <w:numId w:val="23"/>
              </w:numPr>
              <w:ind w:left="247" w:hanging="247"/>
              <w:contextualSpacing/>
              <w:rPr>
                <w:szCs w:val="22"/>
              </w:rPr>
            </w:pPr>
            <w:r w:rsidRPr="00EE18B7">
              <w:rPr>
                <w:szCs w:val="22"/>
              </w:rPr>
              <w:t>Most or all of the catchment, particularly the major water sources.</w:t>
            </w:r>
          </w:p>
          <w:p w14:paraId="1D711EE5" w14:textId="77777777" w:rsidR="00972F0C" w:rsidRPr="00EE18B7" w:rsidRDefault="00972F0C" w:rsidP="00972F0C">
            <w:pPr>
              <w:pStyle w:val="Prrafodelista"/>
              <w:numPr>
                <w:ilvl w:val="0"/>
                <w:numId w:val="23"/>
              </w:numPr>
              <w:ind w:left="247" w:hanging="247"/>
              <w:contextualSpacing/>
              <w:rPr>
                <w:szCs w:val="22"/>
              </w:rPr>
            </w:pPr>
            <w:r w:rsidRPr="00EE18B7">
              <w:rPr>
                <w:szCs w:val="22"/>
              </w:rPr>
              <w:t xml:space="preserve">More than one inland water body class, representing those most common in that region.  </w:t>
            </w:r>
          </w:p>
          <w:p w14:paraId="17BAEFEA" w14:textId="77777777" w:rsidR="00972F0C" w:rsidRPr="00EE18B7" w:rsidRDefault="00972F0C" w:rsidP="00972F0C">
            <w:pPr>
              <w:pStyle w:val="Prrafodelista"/>
              <w:numPr>
                <w:ilvl w:val="0"/>
                <w:numId w:val="23"/>
              </w:numPr>
              <w:ind w:left="247" w:hanging="247"/>
              <w:contextualSpacing/>
              <w:rPr>
                <w:szCs w:val="22"/>
              </w:rPr>
            </w:pPr>
            <w:r w:rsidRPr="00EE18B7">
              <w:rPr>
                <w:szCs w:val="22"/>
              </w:rPr>
              <w:t>Minimum prior disturbance, preferably distant from stations and facilities.</w:t>
            </w:r>
          </w:p>
        </w:tc>
      </w:tr>
      <w:tr w:rsidR="00972F0C" w:rsidRPr="00BA4057" w14:paraId="1AAFDF54" w14:textId="77777777" w:rsidTr="00AD5432">
        <w:trPr>
          <w:trHeight w:val="1369"/>
        </w:trPr>
        <w:tc>
          <w:tcPr>
            <w:tcW w:w="632" w:type="dxa"/>
          </w:tcPr>
          <w:p w14:paraId="0AAD007C" w14:textId="77777777" w:rsidR="00972F0C" w:rsidRPr="00EE18B7" w:rsidRDefault="00972F0C" w:rsidP="00AD5432">
            <w:pPr>
              <w:contextualSpacing/>
              <w:rPr>
                <w:szCs w:val="22"/>
              </w:rPr>
            </w:pPr>
            <w:r w:rsidRPr="00EE18B7">
              <w:rPr>
                <w:szCs w:val="22"/>
              </w:rPr>
              <w:t>3</w:t>
            </w:r>
          </w:p>
        </w:tc>
        <w:tc>
          <w:tcPr>
            <w:tcW w:w="1920" w:type="dxa"/>
          </w:tcPr>
          <w:p w14:paraId="29F85736" w14:textId="77777777" w:rsidR="00972F0C" w:rsidRPr="00EE18B7" w:rsidRDefault="00972F0C" w:rsidP="00AD5432">
            <w:pPr>
              <w:contextualSpacing/>
              <w:rPr>
                <w:szCs w:val="22"/>
              </w:rPr>
            </w:pPr>
            <w:r w:rsidRPr="00EE18B7">
              <w:rPr>
                <w:szCs w:val="22"/>
              </w:rPr>
              <w:t>Review existing protected areas</w:t>
            </w:r>
          </w:p>
        </w:tc>
        <w:tc>
          <w:tcPr>
            <w:tcW w:w="5812" w:type="dxa"/>
          </w:tcPr>
          <w:p w14:paraId="37367501" w14:textId="77777777" w:rsidR="00972F0C" w:rsidRPr="00EE18B7" w:rsidRDefault="00972F0C" w:rsidP="00972F0C">
            <w:pPr>
              <w:pStyle w:val="Prrafodelista"/>
              <w:numPr>
                <w:ilvl w:val="0"/>
                <w:numId w:val="24"/>
              </w:numPr>
              <w:ind w:left="153" w:hanging="142"/>
              <w:contextualSpacing/>
              <w:rPr>
                <w:szCs w:val="22"/>
              </w:rPr>
            </w:pPr>
            <w:r w:rsidRPr="00EE18B7">
              <w:rPr>
                <w:szCs w:val="22"/>
              </w:rPr>
              <w:t>Measure how well quantitative targets and criteria are met by existing protected areas. Update existing management plans to explicitly recognise values linked with inland waters.</w:t>
            </w:r>
          </w:p>
          <w:p w14:paraId="3F337EA8" w14:textId="77777777" w:rsidR="00972F0C" w:rsidRPr="00EE18B7" w:rsidRDefault="00972F0C" w:rsidP="00972F0C">
            <w:pPr>
              <w:pStyle w:val="Prrafodelista"/>
              <w:numPr>
                <w:ilvl w:val="0"/>
                <w:numId w:val="24"/>
              </w:numPr>
              <w:ind w:left="153" w:hanging="142"/>
              <w:contextualSpacing/>
              <w:rPr>
                <w:szCs w:val="22"/>
              </w:rPr>
            </w:pPr>
            <w:r w:rsidRPr="00EE18B7">
              <w:rPr>
                <w:szCs w:val="22"/>
              </w:rPr>
              <w:t>Identify threats to vulnerable ecosystems, habitats, communities and species in existing protected areas.</w:t>
            </w:r>
          </w:p>
          <w:p w14:paraId="358EBDF6" w14:textId="77777777" w:rsidR="00972F0C" w:rsidRPr="00EE18B7" w:rsidRDefault="00972F0C" w:rsidP="00972F0C">
            <w:pPr>
              <w:pStyle w:val="Prrafodelista"/>
              <w:numPr>
                <w:ilvl w:val="0"/>
                <w:numId w:val="24"/>
              </w:numPr>
              <w:ind w:left="153" w:hanging="142"/>
              <w:contextualSpacing/>
              <w:rPr>
                <w:szCs w:val="22"/>
              </w:rPr>
            </w:pPr>
            <w:r w:rsidRPr="00EE18B7">
              <w:rPr>
                <w:szCs w:val="22"/>
              </w:rPr>
              <w:t>Review representativeness of inland water bodies in existing ASPAs</w:t>
            </w:r>
          </w:p>
        </w:tc>
        <w:tc>
          <w:tcPr>
            <w:tcW w:w="7088" w:type="dxa"/>
          </w:tcPr>
          <w:p w14:paraId="401A526B" w14:textId="77777777" w:rsidR="00972F0C" w:rsidRPr="00EE18B7" w:rsidRDefault="00972F0C" w:rsidP="00972F0C">
            <w:pPr>
              <w:pStyle w:val="Prrafodelista"/>
              <w:numPr>
                <w:ilvl w:val="0"/>
                <w:numId w:val="24"/>
              </w:numPr>
              <w:ind w:left="247" w:hanging="247"/>
              <w:contextualSpacing/>
              <w:rPr>
                <w:szCs w:val="22"/>
              </w:rPr>
            </w:pPr>
            <w:r w:rsidRPr="00EE18B7">
              <w:rPr>
                <w:szCs w:val="22"/>
              </w:rPr>
              <w:t>Of 75 existing ASPAs, ASPAs 119 and 123 provide specific protection for representative inland waters and their catchments and meet the criteria in step 2.</w:t>
            </w:r>
          </w:p>
          <w:p w14:paraId="4CD8BAB9" w14:textId="77777777" w:rsidR="00972F0C" w:rsidRPr="00EE18B7" w:rsidRDefault="00972F0C" w:rsidP="00972F0C">
            <w:pPr>
              <w:pStyle w:val="Prrafodelista"/>
              <w:numPr>
                <w:ilvl w:val="0"/>
                <w:numId w:val="24"/>
              </w:numPr>
              <w:ind w:left="247" w:hanging="247"/>
              <w:contextualSpacing/>
              <w:rPr>
                <w:szCs w:val="22"/>
              </w:rPr>
            </w:pPr>
            <w:r w:rsidRPr="00EE18B7">
              <w:rPr>
                <w:szCs w:val="22"/>
              </w:rPr>
              <w:t>Threats include physical disturbance, pollution and non-native taxa, human activities, anthropogenic climate change.</w:t>
            </w:r>
          </w:p>
          <w:p w14:paraId="31801B9B" w14:textId="77777777" w:rsidR="00972F0C" w:rsidRPr="00EE18B7" w:rsidRDefault="00972F0C" w:rsidP="00972F0C">
            <w:pPr>
              <w:pStyle w:val="Prrafodelista"/>
              <w:numPr>
                <w:ilvl w:val="0"/>
                <w:numId w:val="24"/>
              </w:numPr>
              <w:ind w:left="247" w:hanging="247"/>
              <w:contextualSpacing/>
              <w:rPr>
                <w:szCs w:val="22"/>
              </w:rPr>
            </w:pPr>
            <w:r w:rsidRPr="00EE18B7">
              <w:rPr>
                <w:szCs w:val="22"/>
              </w:rPr>
              <w:t>Assess whether water bodies included within ASPAs but not as a reason for its designation are truly representative.</w:t>
            </w:r>
          </w:p>
        </w:tc>
      </w:tr>
      <w:tr w:rsidR="00972F0C" w:rsidRPr="00BA4057" w14:paraId="5A75D2F4" w14:textId="77777777" w:rsidTr="00AD5432">
        <w:trPr>
          <w:trHeight w:val="665"/>
        </w:trPr>
        <w:tc>
          <w:tcPr>
            <w:tcW w:w="632" w:type="dxa"/>
          </w:tcPr>
          <w:p w14:paraId="68176112" w14:textId="77777777" w:rsidR="00972F0C" w:rsidRPr="00EE18B7" w:rsidRDefault="00972F0C" w:rsidP="00AD5432">
            <w:pPr>
              <w:contextualSpacing/>
              <w:rPr>
                <w:szCs w:val="22"/>
              </w:rPr>
            </w:pPr>
            <w:r w:rsidRPr="00EE18B7">
              <w:rPr>
                <w:szCs w:val="22"/>
              </w:rPr>
              <w:t>4</w:t>
            </w:r>
          </w:p>
        </w:tc>
        <w:tc>
          <w:tcPr>
            <w:tcW w:w="1920" w:type="dxa"/>
          </w:tcPr>
          <w:p w14:paraId="63F3DB49" w14:textId="77777777" w:rsidR="00972F0C" w:rsidRPr="00EE18B7" w:rsidRDefault="00972F0C" w:rsidP="00AD5432">
            <w:pPr>
              <w:contextualSpacing/>
              <w:rPr>
                <w:b/>
                <w:bCs/>
                <w:szCs w:val="22"/>
              </w:rPr>
            </w:pPr>
            <w:r w:rsidRPr="00EE18B7">
              <w:rPr>
                <w:szCs w:val="22"/>
              </w:rPr>
              <w:t>Select additional areas to propose for protection</w:t>
            </w:r>
          </w:p>
        </w:tc>
        <w:tc>
          <w:tcPr>
            <w:tcW w:w="5812" w:type="dxa"/>
          </w:tcPr>
          <w:p w14:paraId="1D306101" w14:textId="77777777" w:rsidR="00972F0C" w:rsidRPr="00EE18B7" w:rsidRDefault="00972F0C" w:rsidP="00972F0C">
            <w:pPr>
              <w:pStyle w:val="Prrafodelista"/>
              <w:numPr>
                <w:ilvl w:val="0"/>
                <w:numId w:val="25"/>
              </w:numPr>
              <w:ind w:left="153" w:hanging="142"/>
              <w:contextualSpacing/>
              <w:rPr>
                <w:b/>
                <w:bCs/>
                <w:szCs w:val="22"/>
              </w:rPr>
            </w:pPr>
            <w:r w:rsidRPr="00EE18B7">
              <w:rPr>
                <w:szCs w:val="22"/>
              </w:rPr>
              <w:t>Identify and prioritise new areas for protection from Steps 1 to 3, and facilitate stakeholder review</w:t>
            </w:r>
          </w:p>
        </w:tc>
        <w:tc>
          <w:tcPr>
            <w:tcW w:w="7088" w:type="dxa"/>
          </w:tcPr>
          <w:p w14:paraId="640622E7" w14:textId="77777777" w:rsidR="00972F0C" w:rsidRPr="00EE18B7" w:rsidRDefault="00972F0C" w:rsidP="00972F0C">
            <w:pPr>
              <w:pStyle w:val="Prrafodelista"/>
              <w:numPr>
                <w:ilvl w:val="0"/>
                <w:numId w:val="25"/>
              </w:numPr>
              <w:ind w:left="247" w:hanging="247"/>
              <w:contextualSpacing/>
              <w:rPr>
                <w:szCs w:val="22"/>
              </w:rPr>
            </w:pPr>
            <w:r w:rsidRPr="00EE18B7">
              <w:rPr>
                <w:szCs w:val="22"/>
              </w:rPr>
              <w:t>Develop mechanisms for catchment-based ASPA selection that involve expert input under CEP and SCAR auspices.</w:t>
            </w:r>
          </w:p>
        </w:tc>
      </w:tr>
      <w:tr w:rsidR="00972F0C" w:rsidRPr="00BA4057" w14:paraId="4BF0E69C" w14:textId="77777777" w:rsidTr="00AD5432">
        <w:trPr>
          <w:trHeight w:val="1101"/>
        </w:trPr>
        <w:tc>
          <w:tcPr>
            <w:tcW w:w="632" w:type="dxa"/>
          </w:tcPr>
          <w:p w14:paraId="752ACF14" w14:textId="77777777" w:rsidR="00972F0C" w:rsidRPr="00EE18B7" w:rsidRDefault="00972F0C" w:rsidP="00AD5432">
            <w:pPr>
              <w:contextualSpacing/>
              <w:rPr>
                <w:szCs w:val="22"/>
              </w:rPr>
            </w:pPr>
            <w:r w:rsidRPr="00EE18B7">
              <w:rPr>
                <w:szCs w:val="22"/>
              </w:rPr>
              <w:t>5</w:t>
            </w:r>
          </w:p>
        </w:tc>
        <w:tc>
          <w:tcPr>
            <w:tcW w:w="1920" w:type="dxa"/>
          </w:tcPr>
          <w:p w14:paraId="06571673" w14:textId="77777777" w:rsidR="00972F0C" w:rsidRPr="00EE18B7" w:rsidRDefault="00972F0C" w:rsidP="00AD5432">
            <w:pPr>
              <w:contextualSpacing/>
              <w:rPr>
                <w:szCs w:val="22"/>
              </w:rPr>
            </w:pPr>
            <w:r w:rsidRPr="00EE18B7">
              <w:rPr>
                <w:szCs w:val="22"/>
              </w:rPr>
              <w:t>Designation of new protected areas</w:t>
            </w:r>
          </w:p>
        </w:tc>
        <w:tc>
          <w:tcPr>
            <w:tcW w:w="5812" w:type="dxa"/>
          </w:tcPr>
          <w:p w14:paraId="5604E7B5" w14:textId="77777777" w:rsidR="00972F0C" w:rsidRPr="00EE18B7" w:rsidRDefault="00972F0C" w:rsidP="00972F0C">
            <w:pPr>
              <w:pStyle w:val="Prrafodelista"/>
              <w:numPr>
                <w:ilvl w:val="0"/>
                <w:numId w:val="25"/>
              </w:numPr>
              <w:ind w:left="153" w:hanging="153"/>
              <w:contextualSpacing/>
              <w:rPr>
                <w:szCs w:val="22"/>
              </w:rPr>
            </w:pPr>
            <w:r w:rsidRPr="00EE18B7">
              <w:rPr>
                <w:szCs w:val="22"/>
              </w:rPr>
              <w:t>Develop ASPA plans for presentation to CEP and ATCM.</w:t>
            </w:r>
          </w:p>
          <w:p w14:paraId="1539F1DC" w14:textId="77777777" w:rsidR="00972F0C" w:rsidRPr="00EE18B7" w:rsidRDefault="00972F0C" w:rsidP="00972F0C">
            <w:pPr>
              <w:pStyle w:val="Prrafodelista"/>
              <w:numPr>
                <w:ilvl w:val="0"/>
                <w:numId w:val="25"/>
              </w:numPr>
              <w:ind w:left="153" w:hanging="153"/>
              <w:contextualSpacing/>
              <w:rPr>
                <w:szCs w:val="22"/>
              </w:rPr>
            </w:pPr>
            <w:r w:rsidRPr="00EE18B7">
              <w:rPr>
                <w:szCs w:val="22"/>
              </w:rPr>
              <w:t>Loop back to step 3 to determine whether further areas are needed</w:t>
            </w:r>
          </w:p>
        </w:tc>
        <w:tc>
          <w:tcPr>
            <w:tcW w:w="7088" w:type="dxa"/>
          </w:tcPr>
          <w:p w14:paraId="6B0035FF" w14:textId="77777777" w:rsidR="00972F0C" w:rsidRPr="00EE18B7" w:rsidRDefault="00972F0C" w:rsidP="00972F0C">
            <w:pPr>
              <w:pStyle w:val="Prrafodelista"/>
              <w:numPr>
                <w:ilvl w:val="0"/>
                <w:numId w:val="25"/>
              </w:numPr>
              <w:ind w:left="247" w:hanging="247"/>
              <w:contextualSpacing/>
              <w:rPr>
                <w:szCs w:val="22"/>
              </w:rPr>
            </w:pPr>
            <w:r w:rsidRPr="00EE18B7">
              <w:rPr>
                <w:szCs w:val="22"/>
              </w:rPr>
              <w:t xml:space="preserve">Led by Treaty Parties, the CEP has already developed a process to ensure the proposal is acceptable before a Party goes to the effort of developing a Management Plan for the protected area, but evidence shows long periods of little or no action within the CEP (CEP, 2000). </w:t>
            </w:r>
          </w:p>
          <w:p w14:paraId="022476DE" w14:textId="77777777" w:rsidR="00972F0C" w:rsidRPr="00EE18B7" w:rsidRDefault="00972F0C" w:rsidP="00972F0C">
            <w:pPr>
              <w:pStyle w:val="Prrafodelista"/>
              <w:numPr>
                <w:ilvl w:val="0"/>
                <w:numId w:val="25"/>
              </w:numPr>
              <w:ind w:left="247" w:hanging="247"/>
              <w:contextualSpacing/>
              <w:rPr>
                <w:szCs w:val="22"/>
              </w:rPr>
            </w:pPr>
            <w:r w:rsidRPr="00EE18B7">
              <w:rPr>
                <w:szCs w:val="22"/>
              </w:rPr>
              <w:t xml:space="preserve">Case for SCAR intervention to facilitate Parties to propose ASPA designation. </w:t>
            </w:r>
          </w:p>
        </w:tc>
      </w:tr>
      <w:tr w:rsidR="00972F0C" w:rsidRPr="00BA4057" w14:paraId="6AE07563" w14:textId="77777777" w:rsidTr="00AD5432">
        <w:trPr>
          <w:trHeight w:val="806"/>
        </w:trPr>
        <w:tc>
          <w:tcPr>
            <w:tcW w:w="632" w:type="dxa"/>
          </w:tcPr>
          <w:p w14:paraId="73CBBED8" w14:textId="77777777" w:rsidR="00972F0C" w:rsidRPr="00EE18B7" w:rsidRDefault="00972F0C" w:rsidP="00AD5432">
            <w:pPr>
              <w:contextualSpacing/>
              <w:rPr>
                <w:szCs w:val="22"/>
              </w:rPr>
            </w:pPr>
            <w:r w:rsidRPr="00EE18B7">
              <w:rPr>
                <w:szCs w:val="22"/>
              </w:rPr>
              <w:lastRenderedPageBreak/>
              <w:t>6</w:t>
            </w:r>
          </w:p>
        </w:tc>
        <w:tc>
          <w:tcPr>
            <w:tcW w:w="1920" w:type="dxa"/>
          </w:tcPr>
          <w:p w14:paraId="6A6562F2" w14:textId="77777777" w:rsidR="00972F0C" w:rsidRPr="00EE18B7" w:rsidRDefault="00972F0C" w:rsidP="00AD5432">
            <w:pPr>
              <w:contextualSpacing/>
              <w:rPr>
                <w:szCs w:val="22"/>
              </w:rPr>
            </w:pPr>
            <w:r w:rsidRPr="00EE18B7">
              <w:rPr>
                <w:szCs w:val="22"/>
              </w:rPr>
              <w:t xml:space="preserve">Maintain required values:  management and monitoring </w:t>
            </w:r>
          </w:p>
        </w:tc>
        <w:tc>
          <w:tcPr>
            <w:tcW w:w="5812" w:type="dxa"/>
          </w:tcPr>
          <w:p w14:paraId="4E91CF21" w14:textId="77777777" w:rsidR="00972F0C" w:rsidRPr="00EE18B7" w:rsidRDefault="00972F0C" w:rsidP="00972F0C">
            <w:pPr>
              <w:pStyle w:val="Prrafodelista"/>
              <w:numPr>
                <w:ilvl w:val="0"/>
                <w:numId w:val="21"/>
              </w:numPr>
              <w:ind w:left="153" w:hanging="153"/>
              <w:contextualSpacing/>
              <w:rPr>
                <w:szCs w:val="22"/>
              </w:rPr>
            </w:pPr>
            <w:r w:rsidRPr="00EE18B7">
              <w:rPr>
                <w:szCs w:val="22"/>
              </w:rPr>
              <w:t xml:space="preserve">Evaluate performance of existing and new management plans and modify as required. </w:t>
            </w:r>
          </w:p>
          <w:p w14:paraId="4AC4106F" w14:textId="77777777" w:rsidR="00972F0C" w:rsidRPr="00EE18B7" w:rsidRDefault="00972F0C" w:rsidP="00972F0C">
            <w:pPr>
              <w:pStyle w:val="Prrafodelista"/>
              <w:numPr>
                <w:ilvl w:val="0"/>
                <w:numId w:val="21"/>
              </w:numPr>
              <w:ind w:left="153" w:hanging="153"/>
              <w:contextualSpacing/>
              <w:rPr>
                <w:szCs w:val="22"/>
              </w:rPr>
            </w:pPr>
            <w:r w:rsidRPr="00EE18B7">
              <w:rPr>
                <w:szCs w:val="22"/>
              </w:rPr>
              <w:t>Loop back to step 3 if values are not being maintained.</w:t>
            </w:r>
          </w:p>
        </w:tc>
        <w:tc>
          <w:tcPr>
            <w:tcW w:w="7088" w:type="dxa"/>
          </w:tcPr>
          <w:p w14:paraId="5EB75E4B" w14:textId="77777777" w:rsidR="00972F0C" w:rsidRPr="00EE18B7" w:rsidRDefault="00972F0C" w:rsidP="00972F0C">
            <w:pPr>
              <w:pStyle w:val="Prrafodelista"/>
              <w:numPr>
                <w:ilvl w:val="0"/>
                <w:numId w:val="21"/>
              </w:numPr>
              <w:ind w:left="247" w:hanging="247"/>
              <w:contextualSpacing/>
              <w:rPr>
                <w:szCs w:val="22"/>
              </w:rPr>
            </w:pPr>
            <w:r w:rsidRPr="00EE18B7">
              <w:rPr>
                <w:szCs w:val="22"/>
              </w:rPr>
              <w:t>Variable quantity and quality across the 75 existing ASPAs.</w:t>
            </w:r>
          </w:p>
          <w:p w14:paraId="3BA959A2" w14:textId="77777777" w:rsidR="00972F0C" w:rsidRPr="00EE18B7" w:rsidRDefault="00972F0C" w:rsidP="00972F0C">
            <w:pPr>
              <w:pStyle w:val="Prrafodelista"/>
              <w:numPr>
                <w:ilvl w:val="0"/>
                <w:numId w:val="21"/>
              </w:numPr>
              <w:ind w:left="247" w:hanging="247"/>
              <w:contextualSpacing/>
              <w:rPr>
                <w:szCs w:val="22"/>
              </w:rPr>
            </w:pPr>
            <w:r w:rsidRPr="00EE18B7">
              <w:rPr>
                <w:szCs w:val="22"/>
              </w:rPr>
              <w:t>The requirement for 5-yearly review of ASPA Management Plans and ongoing monitoring should be retained.</w:t>
            </w:r>
          </w:p>
        </w:tc>
      </w:tr>
    </w:tbl>
    <w:p w14:paraId="4004597E" w14:textId="77777777" w:rsidR="00972F0C" w:rsidRPr="00EE18B7" w:rsidRDefault="00972F0C" w:rsidP="00972F0C">
      <w:pPr>
        <w:pStyle w:val="ATSNormal"/>
        <w:rPr>
          <w:szCs w:val="22"/>
        </w:rPr>
        <w:sectPr w:rsidR="00972F0C" w:rsidRPr="00EE18B7" w:rsidSect="00FB30E4">
          <w:pgSz w:w="16840" w:h="11907" w:orient="landscape" w:code="9"/>
          <w:pgMar w:top="1701" w:right="1134" w:bottom="1701" w:left="1134" w:header="709" w:footer="709" w:gutter="0"/>
          <w:cols w:space="708"/>
          <w:docGrid w:linePitch="360"/>
        </w:sectPr>
      </w:pPr>
    </w:p>
    <w:p w14:paraId="01E9FA70" w14:textId="77777777" w:rsidR="00972F0C" w:rsidRPr="00EE18B7" w:rsidRDefault="00972F0C" w:rsidP="00972F0C">
      <w:pPr>
        <w:pStyle w:val="ATSNormal"/>
        <w:spacing w:before="480"/>
        <w:rPr>
          <w:rFonts w:ascii="Arial" w:hAnsi="Arial" w:cs="Arial"/>
          <w:b/>
          <w:bCs/>
          <w:i/>
          <w:iCs/>
          <w:sz w:val="24"/>
          <w:lang w:val="en-NZ" w:eastAsia="es-AR"/>
        </w:rPr>
      </w:pPr>
      <w:r w:rsidRPr="00EE18B7">
        <w:rPr>
          <w:rFonts w:ascii="Arial" w:hAnsi="Arial" w:cs="Arial"/>
          <w:b/>
          <w:bCs/>
          <w:i/>
          <w:iCs/>
          <w:sz w:val="24"/>
          <w:lang w:val="en-NZ" w:eastAsia="es-AR"/>
        </w:rPr>
        <w:lastRenderedPageBreak/>
        <w:t>Supporting documentation</w:t>
      </w:r>
    </w:p>
    <w:p w14:paraId="08394EFE" w14:textId="77777777" w:rsidR="00972F0C" w:rsidRPr="00EE18B7" w:rsidRDefault="00972F0C" w:rsidP="00972F0C">
      <w:pPr>
        <w:pStyle w:val="ATSNormal"/>
        <w:spacing w:before="0"/>
        <w:ind w:left="425" w:hanging="425"/>
      </w:pPr>
      <w:r w:rsidRPr="00EE18B7">
        <w:t>ATCM XXXIV WP16. Draft Comprehensive Environmental Evaluation (CEE) for the Proposed Exploration of Subglacial Lake Ellsworth, Antarctica</w:t>
      </w:r>
    </w:p>
    <w:p w14:paraId="19981183" w14:textId="77777777" w:rsidR="00972F0C" w:rsidRPr="00EE18B7" w:rsidRDefault="00972F0C" w:rsidP="00972F0C">
      <w:pPr>
        <w:pStyle w:val="ATSNormal"/>
        <w:spacing w:before="0"/>
        <w:ind w:left="425" w:hanging="425"/>
      </w:pPr>
      <w:r w:rsidRPr="00EE18B7">
        <w:t>ATCM XXXV WP34.  Technology for investigating the water layer of subglacial Lake Vostok through the ice borehole 5G at the Russian Antarctic Vostok station</w:t>
      </w:r>
    </w:p>
    <w:p w14:paraId="79E491A3" w14:textId="77777777" w:rsidR="00972F0C" w:rsidRPr="00EE18B7" w:rsidRDefault="00972F0C" w:rsidP="00972F0C">
      <w:pPr>
        <w:pStyle w:val="ATSNormal"/>
        <w:spacing w:before="0"/>
        <w:ind w:left="425" w:hanging="425"/>
      </w:pPr>
      <w:r w:rsidRPr="00EE18B7">
        <w:t>ATCM XXXV BP12. Clean-up of a fuel spill near Lake Dingle, Vestfold Hills</w:t>
      </w:r>
    </w:p>
    <w:p w14:paraId="50B420F9" w14:textId="77777777" w:rsidR="00972F0C" w:rsidRPr="00EE18B7" w:rsidRDefault="00972F0C" w:rsidP="00972F0C">
      <w:pPr>
        <w:pStyle w:val="ATSNormal"/>
        <w:spacing w:before="0"/>
        <w:ind w:left="425" w:hanging="425"/>
      </w:pPr>
      <w:r w:rsidRPr="00EE18B7">
        <w:t>ATCM XXXVIII IP41.  Remediation and closure of Dry Valley Drilling Project boreholes in response to rising lake levels</w:t>
      </w:r>
    </w:p>
    <w:p w14:paraId="2961D157" w14:textId="77777777" w:rsidR="00972F0C" w:rsidRPr="00EE18B7" w:rsidRDefault="00972F0C" w:rsidP="00972F0C">
      <w:pPr>
        <w:pStyle w:val="ATSNormal"/>
        <w:spacing w:before="0"/>
        <w:ind w:left="425" w:hanging="425"/>
      </w:pPr>
      <w:r w:rsidRPr="00EE18B7">
        <w:t>ATCM XL WP17. SCAR’s Code of Conduct for the Exploration and Research of Subglacial Aquatic Environments</w:t>
      </w:r>
    </w:p>
    <w:p w14:paraId="28A8CB20" w14:textId="77777777" w:rsidR="00972F0C" w:rsidRPr="00EE18B7" w:rsidRDefault="00972F0C" w:rsidP="00972F0C">
      <w:pPr>
        <w:pStyle w:val="ATSNormal"/>
        <w:spacing w:before="0"/>
        <w:ind w:left="425" w:hanging="425"/>
      </w:pPr>
      <w:r w:rsidRPr="00EE18B7">
        <w:t>ATCM XLI IP12. Preliminary Survey for the International Exploration Programme of Subglacial Lakes in Southern Vitoria Land, Antarctica</w:t>
      </w:r>
    </w:p>
    <w:p w14:paraId="6E856044" w14:textId="77777777" w:rsidR="00972F0C" w:rsidRPr="00EE18B7" w:rsidRDefault="00972F0C" w:rsidP="00972F0C">
      <w:pPr>
        <w:pStyle w:val="ATSNormal"/>
        <w:spacing w:before="0"/>
        <w:ind w:left="425" w:hanging="425"/>
      </w:pPr>
      <w:r w:rsidRPr="00C92A18">
        <w:rPr>
          <w:color w:val="000000"/>
          <w:szCs w:val="22"/>
        </w:rPr>
        <w:t xml:space="preserve">ATCM XLIV WP12. </w:t>
      </w:r>
      <w:r w:rsidRPr="00EE18B7">
        <w:t>Prior assessment of a proposed Antarctic Specially Protected Area at Otto-von-Gruber-</w:t>
      </w:r>
      <w:proofErr w:type="spellStart"/>
      <w:r w:rsidRPr="00EE18B7">
        <w:t>Gebirge</w:t>
      </w:r>
      <w:proofErr w:type="spellEnd"/>
      <w:r w:rsidRPr="00EE18B7">
        <w:t xml:space="preserve"> (</w:t>
      </w:r>
      <w:proofErr w:type="spellStart"/>
      <w:r w:rsidRPr="00EE18B7">
        <w:t>Dronning</w:t>
      </w:r>
      <w:proofErr w:type="spellEnd"/>
      <w:r w:rsidRPr="00EE18B7">
        <w:t xml:space="preserve"> Maud Land, East Antarctica)</w:t>
      </w:r>
    </w:p>
    <w:p w14:paraId="0DCB0226" w14:textId="77777777" w:rsidR="00972F0C" w:rsidRPr="00EE18B7" w:rsidRDefault="00972F0C" w:rsidP="00972F0C">
      <w:pPr>
        <w:pStyle w:val="ATSNormal"/>
        <w:spacing w:before="0"/>
        <w:ind w:left="425" w:hanging="425"/>
      </w:pPr>
      <w:r w:rsidRPr="00C92A18">
        <w:rPr>
          <w:color w:val="000000"/>
          <w:szCs w:val="22"/>
        </w:rPr>
        <w:t>ATCM XLIV WP15.</w:t>
      </w:r>
      <w:r w:rsidRPr="00C92A18">
        <w:rPr>
          <w:b/>
          <w:bCs/>
          <w:szCs w:val="22"/>
          <w:lang w:val="en-NZ" w:eastAsia="es-AR"/>
        </w:rPr>
        <w:t xml:space="preserve"> </w:t>
      </w:r>
      <w:r w:rsidRPr="00EE18B7">
        <w:t xml:space="preserve">Proposal for a new Antarctic Specially Protected Area in parts of the Western </w:t>
      </w:r>
      <w:proofErr w:type="spellStart"/>
      <w:r w:rsidRPr="00EE18B7">
        <w:t>Sør</w:t>
      </w:r>
      <w:proofErr w:type="spellEnd"/>
      <w:r w:rsidRPr="00EE18B7">
        <w:t xml:space="preserve"> </w:t>
      </w:r>
      <w:proofErr w:type="spellStart"/>
      <w:r w:rsidRPr="00EE18B7">
        <w:t>Rondane</w:t>
      </w:r>
      <w:proofErr w:type="spellEnd"/>
      <w:r w:rsidRPr="00EE18B7">
        <w:t xml:space="preserve"> Mountains, </w:t>
      </w:r>
      <w:proofErr w:type="spellStart"/>
      <w:r w:rsidRPr="00EE18B7">
        <w:t>Dronning</w:t>
      </w:r>
      <w:proofErr w:type="spellEnd"/>
      <w:r w:rsidRPr="00EE18B7">
        <w:t xml:space="preserve"> Maud Land, East Antarctic</w:t>
      </w:r>
    </w:p>
    <w:p w14:paraId="401E1F95" w14:textId="77777777" w:rsidR="00972F0C" w:rsidRPr="00EE18B7" w:rsidRDefault="00972F0C" w:rsidP="00972F0C">
      <w:pPr>
        <w:pStyle w:val="ATSNormal"/>
        <w:spacing w:before="0"/>
        <w:ind w:left="425" w:hanging="425"/>
      </w:pPr>
      <w:r w:rsidRPr="00C92A18">
        <w:rPr>
          <w:color w:val="000000"/>
          <w:szCs w:val="22"/>
        </w:rPr>
        <w:t>ATCM XLV WP60.</w:t>
      </w:r>
      <w:r w:rsidRPr="00C92A18">
        <w:rPr>
          <w:b/>
          <w:bCs/>
          <w:szCs w:val="22"/>
          <w:lang w:val="en-NZ" w:eastAsia="es-AR"/>
        </w:rPr>
        <w:t xml:space="preserve"> </w:t>
      </w:r>
      <w:r w:rsidRPr="00C92A18">
        <w:t>Draft Antarctic Specially Protected Area Management Plan for Farrier Col, Horseshoe Island, Marguerite Bay</w:t>
      </w:r>
    </w:p>
    <w:p w14:paraId="5EAE5E4F" w14:textId="77777777" w:rsidR="00972F0C" w:rsidRPr="00EE18B7" w:rsidRDefault="00972F0C" w:rsidP="00972F0C">
      <w:pPr>
        <w:pStyle w:val="ATSNormal"/>
        <w:spacing w:before="0"/>
        <w:ind w:left="425" w:hanging="425"/>
        <w:rPr>
          <w:b/>
          <w:bCs/>
          <w:szCs w:val="22"/>
          <w:lang w:val="en-NZ" w:eastAsia="es-AR"/>
        </w:rPr>
      </w:pPr>
      <w:r w:rsidRPr="00C92A18">
        <w:rPr>
          <w:color w:val="000000"/>
          <w:szCs w:val="22"/>
        </w:rPr>
        <w:t xml:space="preserve">ATCM XLIV IP77.  A </w:t>
      </w:r>
      <w:r w:rsidRPr="00EE18B7">
        <w:t>classification system of Antarctic inland aquatic ecosystems</w:t>
      </w:r>
    </w:p>
    <w:p w14:paraId="6264EBF7" w14:textId="77777777" w:rsidR="00972F0C" w:rsidRPr="00EE18B7" w:rsidRDefault="00972F0C" w:rsidP="00972F0C">
      <w:pPr>
        <w:spacing w:after="120"/>
        <w:ind w:left="426" w:hanging="426"/>
        <w:rPr>
          <w:szCs w:val="22"/>
        </w:rPr>
      </w:pPr>
      <w:r w:rsidRPr="00972F0C">
        <w:rPr>
          <w:szCs w:val="22"/>
          <w:lang w:val="fr-FR"/>
        </w:rPr>
        <w:t xml:space="preserve">Davies, B.J., </w:t>
      </w:r>
      <w:proofErr w:type="spellStart"/>
      <w:r w:rsidRPr="00972F0C">
        <w:rPr>
          <w:szCs w:val="22"/>
          <w:lang w:val="fr-FR"/>
        </w:rPr>
        <w:t>Hambrey</w:t>
      </w:r>
      <w:proofErr w:type="spellEnd"/>
      <w:r w:rsidRPr="00972F0C">
        <w:rPr>
          <w:szCs w:val="22"/>
          <w:lang w:val="fr-FR"/>
        </w:rPr>
        <w:t xml:space="preserve">, M.J., </w:t>
      </w:r>
      <w:proofErr w:type="spellStart"/>
      <w:r w:rsidRPr="00972F0C">
        <w:rPr>
          <w:szCs w:val="22"/>
          <w:lang w:val="fr-FR"/>
        </w:rPr>
        <w:t>Glasser</w:t>
      </w:r>
      <w:proofErr w:type="spellEnd"/>
      <w:r w:rsidRPr="00972F0C">
        <w:rPr>
          <w:szCs w:val="22"/>
          <w:lang w:val="fr-FR"/>
        </w:rPr>
        <w:t xml:space="preserve">, N.F., Holt, T., Rodés, A., </w:t>
      </w:r>
      <w:proofErr w:type="spellStart"/>
      <w:r w:rsidRPr="00972F0C">
        <w:rPr>
          <w:szCs w:val="22"/>
          <w:lang w:val="fr-FR"/>
        </w:rPr>
        <w:t>Smellie</w:t>
      </w:r>
      <w:proofErr w:type="spellEnd"/>
      <w:r w:rsidRPr="00972F0C">
        <w:rPr>
          <w:szCs w:val="22"/>
          <w:lang w:val="fr-FR"/>
        </w:rPr>
        <w:t xml:space="preserve">, J.L., </w:t>
      </w:r>
      <w:r w:rsidRPr="00972F0C">
        <w:rPr>
          <w:i/>
          <w:szCs w:val="22"/>
          <w:lang w:val="fr-FR"/>
        </w:rPr>
        <w:t xml:space="preserve">et al. </w:t>
      </w:r>
      <w:r w:rsidRPr="00972F0C">
        <w:rPr>
          <w:szCs w:val="22"/>
          <w:lang w:val="fr-FR"/>
        </w:rPr>
        <w:t xml:space="preserve">2017. </w:t>
      </w:r>
      <w:r w:rsidRPr="00EE18B7">
        <w:rPr>
          <w:szCs w:val="22"/>
        </w:rPr>
        <w:t xml:space="preserve">Ice-dammed lateral lake and </w:t>
      </w:r>
      <w:proofErr w:type="spellStart"/>
      <w:r w:rsidRPr="00EE18B7">
        <w:rPr>
          <w:szCs w:val="22"/>
        </w:rPr>
        <w:t>epishelf</w:t>
      </w:r>
      <w:proofErr w:type="spellEnd"/>
      <w:r w:rsidRPr="00EE18B7">
        <w:rPr>
          <w:szCs w:val="22"/>
        </w:rPr>
        <w:t xml:space="preserve"> lake insights into Holocene dynamics of Marguerite Trough Ice Stream and George VI Ice Shelf, Alexander Island, Antarctic Peninsula, </w:t>
      </w:r>
      <w:r w:rsidRPr="00EE18B7">
        <w:rPr>
          <w:i/>
          <w:iCs/>
          <w:szCs w:val="22"/>
        </w:rPr>
        <w:t>Quaternary Science Reviews</w:t>
      </w:r>
      <w:r w:rsidRPr="00EE18B7">
        <w:rPr>
          <w:szCs w:val="22"/>
        </w:rPr>
        <w:t>,</w:t>
      </w:r>
      <w:r w:rsidRPr="00EE18B7">
        <w:rPr>
          <w:b/>
          <w:bCs/>
          <w:i/>
          <w:iCs/>
          <w:szCs w:val="22"/>
        </w:rPr>
        <w:t xml:space="preserve"> </w:t>
      </w:r>
      <w:r w:rsidRPr="00EE18B7">
        <w:rPr>
          <w:b/>
          <w:bCs/>
          <w:szCs w:val="22"/>
        </w:rPr>
        <w:t>177</w:t>
      </w:r>
      <w:r w:rsidRPr="00EE18B7">
        <w:rPr>
          <w:szCs w:val="22"/>
        </w:rPr>
        <w:t>, 189–219</w:t>
      </w:r>
    </w:p>
    <w:p w14:paraId="54BD58D1" w14:textId="77777777" w:rsidR="00972F0C" w:rsidRPr="00EE18B7" w:rsidRDefault="00972F0C" w:rsidP="00972F0C">
      <w:pPr>
        <w:spacing w:after="120"/>
        <w:ind w:left="426" w:hanging="426"/>
        <w:rPr>
          <w:color w:val="000000"/>
          <w:szCs w:val="22"/>
          <w:shd w:val="clear" w:color="auto" w:fill="FFFFFF"/>
        </w:rPr>
      </w:pPr>
      <w:r w:rsidRPr="00EE18B7">
        <w:rPr>
          <w:szCs w:val="22"/>
        </w:rPr>
        <w:t xml:space="preserve">Ellis-Evans, J.C., </w:t>
      </w:r>
      <w:proofErr w:type="spellStart"/>
      <w:r w:rsidRPr="00EE18B7">
        <w:rPr>
          <w:szCs w:val="22"/>
        </w:rPr>
        <w:t>Laybourn</w:t>
      </w:r>
      <w:proofErr w:type="spellEnd"/>
      <w:r w:rsidRPr="00EE18B7">
        <w:rPr>
          <w:szCs w:val="22"/>
        </w:rPr>
        <w:t xml:space="preserve">-Parry, J., Bayliss, P.R. &amp; Perris, S.T. 1997. Human impact on an oligotrophic lake in the </w:t>
      </w:r>
      <w:proofErr w:type="spellStart"/>
      <w:r w:rsidRPr="00EE18B7">
        <w:rPr>
          <w:szCs w:val="22"/>
        </w:rPr>
        <w:t>Larsemann</w:t>
      </w:r>
      <w:proofErr w:type="spellEnd"/>
      <w:r w:rsidRPr="00EE18B7">
        <w:rPr>
          <w:szCs w:val="22"/>
        </w:rPr>
        <w:t xml:space="preserve"> Hills. </w:t>
      </w:r>
      <w:r w:rsidRPr="00EE18B7">
        <w:rPr>
          <w:i/>
          <w:iCs/>
          <w:color w:val="000000"/>
          <w:szCs w:val="22"/>
          <w:shd w:val="clear" w:color="auto" w:fill="FFFFFF"/>
        </w:rPr>
        <w:t>In</w:t>
      </w:r>
      <w:r w:rsidRPr="00EE18B7">
        <w:rPr>
          <w:color w:val="000000"/>
          <w:szCs w:val="22"/>
          <w:shd w:val="clear" w:color="auto" w:fill="FFFFFF"/>
        </w:rPr>
        <w:t> </w:t>
      </w:r>
      <w:r w:rsidRPr="00EE18B7">
        <w:rPr>
          <w:rStyle w:val="personname"/>
          <w:color w:val="000000"/>
          <w:szCs w:val="22"/>
          <w:shd w:val="clear" w:color="auto" w:fill="FFFFFF"/>
        </w:rPr>
        <w:t>Battaglia, B.</w:t>
      </w:r>
      <w:r w:rsidRPr="00EE18B7">
        <w:rPr>
          <w:color w:val="000000"/>
          <w:szCs w:val="22"/>
          <w:shd w:val="clear" w:color="auto" w:fill="FFFFFF"/>
        </w:rPr>
        <w:t>, </w:t>
      </w:r>
      <w:r w:rsidRPr="00EE18B7">
        <w:rPr>
          <w:rStyle w:val="personname"/>
          <w:color w:val="000000"/>
          <w:szCs w:val="22"/>
          <w:shd w:val="clear" w:color="auto" w:fill="FFFFFF"/>
        </w:rPr>
        <w:t>Valencia, J. &amp;</w:t>
      </w:r>
      <w:r w:rsidRPr="00EE18B7">
        <w:rPr>
          <w:color w:val="000000"/>
          <w:szCs w:val="22"/>
          <w:shd w:val="clear" w:color="auto" w:fill="FFFFFF"/>
        </w:rPr>
        <w:t xml:space="preserve"> Walton, D.W.H., </w:t>
      </w:r>
      <w:r w:rsidRPr="00EE18B7">
        <w:rPr>
          <w:i/>
          <w:iCs/>
          <w:color w:val="000000"/>
          <w:szCs w:val="22"/>
          <w:shd w:val="clear" w:color="auto" w:fill="FFFFFF"/>
        </w:rPr>
        <w:t>eds</w:t>
      </w:r>
      <w:r w:rsidRPr="00EE18B7">
        <w:rPr>
          <w:color w:val="000000"/>
          <w:szCs w:val="22"/>
          <w:shd w:val="clear" w:color="auto" w:fill="FFFFFF"/>
        </w:rPr>
        <w:t xml:space="preserve">, </w:t>
      </w:r>
      <w:r w:rsidRPr="00EE18B7">
        <w:rPr>
          <w:rStyle w:val="nfasis"/>
          <w:color w:val="000000"/>
          <w:szCs w:val="22"/>
          <w:shd w:val="clear" w:color="auto" w:fill="FFFFFF"/>
        </w:rPr>
        <w:t>Antarctic communities: species, structure and survival.</w:t>
      </w:r>
      <w:r w:rsidRPr="00EE18B7">
        <w:rPr>
          <w:color w:val="000000"/>
          <w:szCs w:val="22"/>
          <w:shd w:val="clear" w:color="auto" w:fill="FFFFFF"/>
        </w:rPr>
        <w:t xml:space="preserve"> Cambridge: Cambridge University Press, 396–404</w:t>
      </w:r>
    </w:p>
    <w:p w14:paraId="7F052DF4" w14:textId="77777777" w:rsidR="00972F0C" w:rsidRPr="00EE18B7" w:rsidRDefault="00972F0C" w:rsidP="00972F0C">
      <w:pPr>
        <w:spacing w:after="120"/>
        <w:ind w:left="426" w:hanging="426"/>
        <w:rPr>
          <w:szCs w:val="22"/>
        </w:rPr>
      </w:pPr>
      <w:proofErr w:type="spellStart"/>
      <w:r w:rsidRPr="00EE18B7">
        <w:rPr>
          <w:szCs w:val="22"/>
        </w:rPr>
        <w:t>Gasparon</w:t>
      </w:r>
      <w:proofErr w:type="spellEnd"/>
      <w:r w:rsidRPr="00EE18B7">
        <w:rPr>
          <w:szCs w:val="22"/>
        </w:rPr>
        <w:t xml:space="preserve">, M. &amp; Burgess, J.S. 2000. Human impacts in Antarctica: trace-element geochemistry of freshwater lakes in the </w:t>
      </w:r>
      <w:proofErr w:type="spellStart"/>
      <w:r w:rsidRPr="00EE18B7">
        <w:rPr>
          <w:szCs w:val="22"/>
        </w:rPr>
        <w:t>Larsemann</w:t>
      </w:r>
      <w:proofErr w:type="spellEnd"/>
      <w:r w:rsidRPr="00EE18B7">
        <w:rPr>
          <w:szCs w:val="22"/>
        </w:rPr>
        <w:t xml:space="preserve"> Hills, East Antarctica. </w:t>
      </w:r>
      <w:r w:rsidRPr="00EE18B7">
        <w:rPr>
          <w:i/>
          <w:iCs/>
          <w:szCs w:val="22"/>
        </w:rPr>
        <w:t>Environmental Geology</w:t>
      </w:r>
      <w:r w:rsidRPr="00EE18B7">
        <w:rPr>
          <w:szCs w:val="22"/>
        </w:rPr>
        <w:t xml:space="preserve">, </w:t>
      </w:r>
      <w:r w:rsidRPr="00EE18B7">
        <w:rPr>
          <w:b/>
          <w:bCs/>
          <w:szCs w:val="22"/>
        </w:rPr>
        <w:t>39</w:t>
      </w:r>
      <w:r w:rsidRPr="00EE18B7">
        <w:rPr>
          <w:szCs w:val="22"/>
        </w:rPr>
        <w:t>, 963–976</w:t>
      </w:r>
    </w:p>
    <w:p w14:paraId="04C0D64A" w14:textId="77777777" w:rsidR="00972F0C" w:rsidRPr="00EE18B7" w:rsidRDefault="00972F0C" w:rsidP="00972F0C">
      <w:pPr>
        <w:spacing w:after="120"/>
        <w:ind w:left="426" w:hanging="426"/>
        <w:rPr>
          <w:szCs w:val="22"/>
        </w:rPr>
      </w:pPr>
      <w:r w:rsidRPr="00EE18B7">
        <w:rPr>
          <w:szCs w:val="22"/>
        </w:rPr>
        <w:t xml:space="preserve">Gibson, J.A.E. &amp; </w:t>
      </w:r>
      <w:proofErr w:type="spellStart"/>
      <w:r w:rsidRPr="00EE18B7">
        <w:rPr>
          <w:szCs w:val="22"/>
        </w:rPr>
        <w:t>Bayly</w:t>
      </w:r>
      <w:proofErr w:type="spellEnd"/>
      <w:r w:rsidRPr="00EE18B7">
        <w:rPr>
          <w:szCs w:val="22"/>
        </w:rPr>
        <w:t>, I.A. 2007.</w:t>
      </w:r>
      <w:r w:rsidRPr="00EE18B7">
        <w:rPr>
          <w:b/>
          <w:bCs/>
          <w:szCs w:val="22"/>
        </w:rPr>
        <w:t xml:space="preserve"> </w:t>
      </w:r>
      <w:r w:rsidRPr="00EE18B7">
        <w:rPr>
          <w:szCs w:val="22"/>
        </w:rPr>
        <w:t xml:space="preserve">New insights into the origins of crustaceans of Antarctic lakes. </w:t>
      </w:r>
      <w:r w:rsidRPr="00EE18B7">
        <w:rPr>
          <w:i/>
          <w:iCs/>
          <w:szCs w:val="22"/>
        </w:rPr>
        <w:t>Antarctic Science</w:t>
      </w:r>
      <w:r w:rsidRPr="00EE18B7">
        <w:rPr>
          <w:szCs w:val="22"/>
        </w:rPr>
        <w:t xml:space="preserve">, </w:t>
      </w:r>
      <w:r w:rsidRPr="00EE18B7">
        <w:rPr>
          <w:b/>
          <w:bCs/>
          <w:szCs w:val="22"/>
        </w:rPr>
        <w:t>19</w:t>
      </w:r>
      <w:r w:rsidRPr="00EE18B7">
        <w:rPr>
          <w:szCs w:val="22"/>
        </w:rPr>
        <w:t>, 157–163</w:t>
      </w:r>
    </w:p>
    <w:p w14:paraId="74E9970B" w14:textId="77777777" w:rsidR="00972F0C" w:rsidRPr="00EE18B7" w:rsidRDefault="00972F0C" w:rsidP="00972F0C">
      <w:pPr>
        <w:widowControl w:val="0"/>
        <w:shd w:val="clear" w:color="auto" w:fill="FFFFFF"/>
        <w:autoSpaceDE w:val="0"/>
        <w:autoSpaceDN w:val="0"/>
        <w:adjustRightInd w:val="0"/>
        <w:spacing w:before="120" w:after="120"/>
        <w:ind w:left="426" w:hanging="426"/>
        <w:contextualSpacing/>
        <w:rPr>
          <w:szCs w:val="22"/>
          <w:lang w:val="en-NZ" w:eastAsia="es-AR"/>
        </w:rPr>
      </w:pPr>
      <w:r w:rsidRPr="00EE18B7">
        <w:rPr>
          <w:szCs w:val="22"/>
        </w:rPr>
        <w:t>Hawes, I., Howard-Williams, C.,</w:t>
      </w:r>
      <w:r w:rsidRPr="00EE18B7">
        <w:rPr>
          <w:szCs w:val="22"/>
          <w:vertAlign w:val="superscript"/>
        </w:rPr>
        <w:t xml:space="preserve"> </w:t>
      </w:r>
      <w:r w:rsidRPr="00EE18B7">
        <w:rPr>
          <w:szCs w:val="22"/>
        </w:rPr>
        <w:t>Gilbert, N.,</w:t>
      </w:r>
      <w:r w:rsidRPr="00EE18B7">
        <w:rPr>
          <w:szCs w:val="22"/>
          <w:vertAlign w:val="superscript"/>
        </w:rPr>
        <w:t xml:space="preserve"> </w:t>
      </w:r>
      <w:r w:rsidRPr="00EE18B7">
        <w:rPr>
          <w:szCs w:val="22"/>
        </w:rPr>
        <w:t>Hughes, K.</w:t>
      </w:r>
      <w:r w:rsidRPr="00EE18B7">
        <w:rPr>
          <w:szCs w:val="22"/>
          <w:vertAlign w:val="superscript"/>
        </w:rPr>
        <w:t xml:space="preserve"> </w:t>
      </w:r>
      <w:r w:rsidRPr="00EE18B7">
        <w:rPr>
          <w:szCs w:val="22"/>
        </w:rPr>
        <w:t>A., Convey, P. &amp; Quesada, A. 2023</w:t>
      </w:r>
      <w:r w:rsidRPr="00EE18B7">
        <w:rPr>
          <w:i/>
          <w:iCs/>
          <w:szCs w:val="22"/>
        </w:rPr>
        <w:t xml:space="preserve">. </w:t>
      </w:r>
      <w:r w:rsidRPr="00EE18B7">
        <w:rPr>
          <w:szCs w:val="22"/>
        </w:rPr>
        <w:t xml:space="preserve">The need to protect Antarctica’s inland waters.  </w:t>
      </w:r>
      <w:r w:rsidRPr="00EE18B7">
        <w:rPr>
          <w:i/>
          <w:iCs/>
          <w:szCs w:val="22"/>
        </w:rPr>
        <w:t>Antarctic Science.</w:t>
      </w:r>
      <w:r w:rsidRPr="00EE18B7">
        <w:rPr>
          <w:szCs w:val="22"/>
        </w:rPr>
        <w:t xml:space="preserve"> </w:t>
      </w:r>
      <w:r w:rsidRPr="00EE18B7">
        <w:rPr>
          <w:szCs w:val="22"/>
          <w:lang w:val="en-NZ" w:eastAsia="es-AR"/>
        </w:rPr>
        <w:t>doi:10.1017/S0954102022000463</w:t>
      </w:r>
    </w:p>
    <w:p w14:paraId="405469BF" w14:textId="77777777" w:rsidR="00972F0C" w:rsidRPr="00EE18B7" w:rsidRDefault="00972F0C" w:rsidP="00972F0C">
      <w:pPr>
        <w:spacing w:after="120"/>
        <w:ind w:left="426" w:hanging="426"/>
        <w:rPr>
          <w:szCs w:val="22"/>
        </w:rPr>
      </w:pPr>
      <w:r w:rsidRPr="00EE18B7">
        <w:rPr>
          <w:szCs w:val="22"/>
        </w:rPr>
        <w:t>Hawes, I., Smith, R.A. &amp; Sutherland, D. 1999</w:t>
      </w:r>
      <w:r w:rsidRPr="00EE18B7">
        <w:rPr>
          <w:i/>
          <w:iCs/>
          <w:szCs w:val="22"/>
        </w:rPr>
        <w:t xml:space="preserve">. </w:t>
      </w:r>
      <w:r w:rsidRPr="00EE18B7">
        <w:rPr>
          <w:szCs w:val="22"/>
        </w:rPr>
        <w:t>Development of microbial mats on contaminated soils from the former site of Vanda Station, Antarctica</w:t>
      </w:r>
      <w:r w:rsidRPr="00EE18B7">
        <w:rPr>
          <w:i/>
          <w:iCs/>
          <w:szCs w:val="22"/>
        </w:rPr>
        <w:t>.</w:t>
      </w:r>
      <w:r w:rsidRPr="00EE18B7">
        <w:rPr>
          <w:i/>
          <w:szCs w:val="22"/>
        </w:rPr>
        <w:t xml:space="preserve"> </w:t>
      </w:r>
      <w:r w:rsidRPr="00EE18B7">
        <w:rPr>
          <w:i/>
          <w:iCs/>
          <w:szCs w:val="22"/>
        </w:rPr>
        <w:t>New Zealand Natural Science</w:t>
      </w:r>
      <w:r w:rsidRPr="00EE18B7">
        <w:rPr>
          <w:szCs w:val="22"/>
        </w:rPr>
        <w:t>,</w:t>
      </w:r>
      <w:r w:rsidRPr="00EE18B7">
        <w:rPr>
          <w:i/>
          <w:iCs/>
          <w:szCs w:val="22"/>
        </w:rPr>
        <w:t xml:space="preserve"> </w:t>
      </w:r>
      <w:r w:rsidRPr="00EE18B7">
        <w:rPr>
          <w:b/>
          <w:bCs/>
          <w:szCs w:val="22"/>
        </w:rPr>
        <w:t>24</w:t>
      </w:r>
      <w:r w:rsidRPr="00EE18B7">
        <w:rPr>
          <w:szCs w:val="22"/>
        </w:rPr>
        <w:t>, 53–68</w:t>
      </w:r>
    </w:p>
    <w:p w14:paraId="01699BD5" w14:textId="77777777" w:rsidR="00972F0C" w:rsidRPr="00EE18B7" w:rsidRDefault="00972F0C" w:rsidP="00972F0C">
      <w:pPr>
        <w:spacing w:after="120"/>
        <w:ind w:left="426" w:hanging="426"/>
        <w:rPr>
          <w:szCs w:val="22"/>
        </w:rPr>
      </w:pPr>
      <w:r w:rsidRPr="00EE18B7">
        <w:rPr>
          <w:szCs w:val="22"/>
        </w:rPr>
        <w:t xml:space="preserve">Hodgson, D.A., Convey, P., </w:t>
      </w:r>
      <w:proofErr w:type="spellStart"/>
      <w:r w:rsidRPr="00EE18B7">
        <w:rPr>
          <w:szCs w:val="22"/>
        </w:rPr>
        <w:t>Verleyen</w:t>
      </w:r>
      <w:proofErr w:type="spellEnd"/>
      <w:r w:rsidRPr="00EE18B7">
        <w:rPr>
          <w:szCs w:val="22"/>
        </w:rPr>
        <w:t xml:space="preserve">, E., </w:t>
      </w:r>
      <w:proofErr w:type="spellStart"/>
      <w:r w:rsidRPr="00EE18B7">
        <w:rPr>
          <w:szCs w:val="22"/>
        </w:rPr>
        <w:t>Vyverman</w:t>
      </w:r>
      <w:proofErr w:type="spellEnd"/>
      <w:r w:rsidRPr="00EE18B7">
        <w:rPr>
          <w:szCs w:val="22"/>
        </w:rPr>
        <w:t xml:space="preserve">, W., McInnes, S.J., Sands, C.J., </w:t>
      </w:r>
      <w:r w:rsidRPr="00EE18B7">
        <w:rPr>
          <w:i/>
          <w:iCs/>
          <w:szCs w:val="22"/>
        </w:rPr>
        <w:t>et al.</w:t>
      </w:r>
      <w:r w:rsidRPr="00EE18B7">
        <w:rPr>
          <w:szCs w:val="22"/>
        </w:rPr>
        <w:t xml:space="preserve"> 2010. The limnology and biology of the </w:t>
      </w:r>
      <w:proofErr w:type="spellStart"/>
      <w:r w:rsidRPr="00EE18B7">
        <w:rPr>
          <w:szCs w:val="22"/>
        </w:rPr>
        <w:t>Dufek</w:t>
      </w:r>
      <w:proofErr w:type="spellEnd"/>
      <w:r w:rsidRPr="00EE18B7">
        <w:rPr>
          <w:szCs w:val="22"/>
        </w:rPr>
        <w:t xml:space="preserve"> Massif, Transantarctic Mountains 82° south. </w:t>
      </w:r>
      <w:r w:rsidRPr="00EE18B7">
        <w:rPr>
          <w:i/>
          <w:iCs/>
          <w:szCs w:val="22"/>
        </w:rPr>
        <w:t>Polar Science</w:t>
      </w:r>
      <w:r w:rsidRPr="00EE18B7">
        <w:rPr>
          <w:szCs w:val="22"/>
        </w:rPr>
        <w:t xml:space="preserve">, </w:t>
      </w:r>
      <w:r w:rsidRPr="00EE18B7">
        <w:rPr>
          <w:b/>
          <w:bCs/>
          <w:szCs w:val="22"/>
        </w:rPr>
        <w:t>4</w:t>
      </w:r>
      <w:r w:rsidRPr="00EE18B7">
        <w:rPr>
          <w:szCs w:val="22"/>
        </w:rPr>
        <w:t xml:space="preserve">, 197–214 </w:t>
      </w:r>
    </w:p>
    <w:p w14:paraId="4B8BECE1" w14:textId="77777777" w:rsidR="00972F0C" w:rsidRPr="00EE18B7" w:rsidRDefault="00972F0C" w:rsidP="00972F0C">
      <w:pPr>
        <w:spacing w:after="120"/>
        <w:ind w:left="426" w:hanging="426"/>
        <w:rPr>
          <w:rStyle w:val="title-text"/>
          <w:szCs w:val="22"/>
        </w:rPr>
      </w:pPr>
      <w:r w:rsidRPr="00EE18B7">
        <w:rPr>
          <w:szCs w:val="22"/>
        </w:rPr>
        <w:t xml:space="preserve">Hodgson, D.A., Roberts, S.J., Smith, J.A., </w:t>
      </w:r>
      <w:proofErr w:type="spellStart"/>
      <w:r w:rsidRPr="00EE18B7">
        <w:rPr>
          <w:szCs w:val="22"/>
        </w:rPr>
        <w:t>Verleyen</w:t>
      </w:r>
      <w:proofErr w:type="spellEnd"/>
      <w:r w:rsidRPr="00EE18B7">
        <w:rPr>
          <w:szCs w:val="22"/>
        </w:rPr>
        <w:t xml:space="preserve">, E., </w:t>
      </w:r>
      <w:proofErr w:type="spellStart"/>
      <w:r w:rsidRPr="00EE18B7">
        <w:rPr>
          <w:szCs w:val="22"/>
        </w:rPr>
        <w:t>Sterken</w:t>
      </w:r>
      <w:proofErr w:type="spellEnd"/>
      <w:r w:rsidRPr="00EE18B7">
        <w:rPr>
          <w:szCs w:val="22"/>
        </w:rPr>
        <w:t xml:space="preserve">, M., </w:t>
      </w:r>
      <w:proofErr w:type="spellStart"/>
      <w:r w:rsidRPr="00EE18B7">
        <w:rPr>
          <w:szCs w:val="22"/>
        </w:rPr>
        <w:t>Labarque</w:t>
      </w:r>
      <w:proofErr w:type="spellEnd"/>
      <w:r w:rsidRPr="00EE18B7">
        <w:rPr>
          <w:szCs w:val="22"/>
        </w:rPr>
        <w:t xml:space="preserve">, M., </w:t>
      </w:r>
      <w:r w:rsidRPr="00EE18B7">
        <w:rPr>
          <w:i/>
          <w:iCs/>
          <w:szCs w:val="22"/>
        </w:rPr>
        <w:t>et al.</w:t>
      </w:r>
      <w:r w:rsidRPr="00EE18B7">
        <w:rPr>
          <w:szCs w:val="22"/>
        </w:rPr>
        <w:t xml:space="preserve"> 2013. </w:t>
      </w:r>
      <w:r w:rsidRPr="00EE18B7">
        <w:rPr>
          <w:rStyle w:val="title-text"/>
          <w:szCs w:val="22"/>
        </w:rPr>
        <w:t xml:space="preserve">Late Quaternary environmental changes in Marguerite Bay, Antarctic Peninsula, inferred from lake sediments and raised beaches. </w:t>
      </w:r>
      <w:r w:rsidRPr="00EE18B7">
        <w:rPr>
          <w:rStyle w:val="title-text"/>
          <w:i/>
          <w:iCs/>
          <w:szCs w:val="22"/>
        </w:rPr>
        <w:t>Quaternary Science Reviews</w:t>
      </w:r>
      <w:r w:rsidRPr="00EE18B7">
        <w:rPr>
          <w:rStyle w:val="title-text"/>
          <w:szCs w:val="22"/>
        </w:rPr>
        <w:t>,</w:t>
      </w:r>
      <w:r w:rsidRPr="00EE18B7">
        <w:rPr>
          <w:rStyle w:val="title-text"/>
          <w:i/>
          <w:iCs/>
          <w:szCs w:val="22"/>
        </w:rPr>
        <w:t xml:space="preserve"> </w:t>
      </w:r>
      <w:r w:rsidRPr="00EE18B7">
        <w:rPr>
          <w:rStyle w:val="title-text"/>
          <w:b/>
          <w:bCs/>
          <w:szCs w:val="22"/>
        </w:rPr>
        <w:t>68</w:t>
      </w:r>
      <w:r w:rsidRPr="00EE18B7">
        <w:rPr>
          <w:rStyle w:val="title-text"/>
          <w:szCs w:val="22"/>
        </w:rPr>
        <w:t>, 216–236</w:t>
      </w:r>
    </w:p>
    <w:p w14:paraId="520B5DE9" w14:textId="77777777" w:rsidR="00972F0C" w:rsidRPr="00EE18B7" w:rsidRDefault="00972F0C" w:rsidP="00972F0C">
      <w:pPr>
        <w:spacing w:after="120"/>
        <w:ind w:left="426" w:hanging="426"/>
        <w:rPr>
          <w:szCs w:val="22"/>
          <w:lang w:eastAsia="en-GB"/>
        </w:rPr>
      </w:pPr>
      <w:r w:rsidRPr="00EE18B7">
        <w:rPr>
          <w:szCs w:val="22"/>
        </w:rPr>
        <w:lastRenderedPageBreak/>
        <w:t xml:space="preserve">Hughes, K.A. &amp; Grant, S.M. 2017. </w:t>
      </w:r>
      <w:r w:rsidRPr="00EE18B7">
        <w:rPr>
          <w:szCs w:val="22"/>
          <w:lang w:eastAsia="en-GB"/>
        </w:rPr>
        <w:t>The spatial distribution of Antarctica</w:t>
      </w:r>
      <w:r w:rsidRPr="00EE18B7">
        <w:rPr>
          <w:szCs w:val="22"/>
        </w:rPr>
        <w:t>'</w:t>
      </w:r>
      <w:r w:rsidRPr="00EE18B7">
        <w:rPr>
          <w:szCs w:val="22"/>
          <w:lang w:eastAsia="en-GB"/>
        </w:rPr>
        <w:t xml:space="preserve">s protected areas: a product of pragmatism, geopolitics or conservation need? </w:t>
      </w:r>
      <w:r w:rsidRPr="00EE18B7">
        <w:rPr>
          <w:i/>
          <w:iCs/>
          <w:szCs w:val="22"/>
          <w:lang w:eastAsia="en-GB"/>
        </w:rPr>
        <w:t>Environmental Science and Policy</w:t>
      </w:r>
      <w:r w:rsidRPr="00EE18B7">
        <w:rPr>
          <w:szCs w:val="22"/>
          <w:lang w:eastAsia="en-GB"/>
        </w:rPr>
        <w:t xml:space="preserve">, </w:t>
      </w:r>
      <w:r w:rsidRPr="00EE18B7">
        <w:rPr>
          <w:b/>
          <w:bCs/>
          <w:szCs w:val="22"/>
          <w:lang w:eastAsia="en-GB"/>
        </w:rPr>
        <w:t>72</w:t>
      </w:r>
      <w:r w:rsidRPr="00EE18B7">
        <w:rPr>
          <w:szCs w:val="22"/>
          <w:lang w:eastAsia="en-GB"/>
        </w:rPr>
        <w:t>, 41–51</w:t>
      </w:r>
    </w:p>
    <w:p w14:paraId="191EA7B6" w14:textId="77777777" w:rsidR="00972F0C" w:rsidRPr="00EE18B7" w:rsidRDefault="00972F0C" w:rsidP="00972F0C">
      <w:pPr>
        <w:spacing w:after="120"/>
        <w:ind w:left="426" w:hanging="426"/>
        <w:rPr>
          <w:rStyle w:val="resolver-links"/>
          <w:szCs w:val="22"/>
        </w:rPr>
      </w:pPr>
      <w:proofErr w:type="spellStart"/>
      <w:r w:rsidRPr="00EE18B7">
        <w:rPr>
          <w:rStyle w:val="resolver-links"/>
          <w:szCs w:val="22"/>
        </w:rPr>
        <w:t>Kaup</w:t>
      </w:r>
      <w:proofErr w:type="spellEnd"/>
      <w:r w:rsidRPr="00EE18B7">
        <w:rPr>
          <w:rStyle w:val="resolver-links"/>
          <w:szCs w:val="22"/>
        </w:rPr>
        <w:t xml:space="preserve">, E. 2005. Development of anthropogenic eutrophication in lakes of the </w:t>
      </w:r>
      <w:proofErr w:type="spellStart"/>
      <w:r w:rsidRPr="00EE18B7">
        <w:rPr>
          <w:rStyle w:val="resolver-links"/>
          <w:szCs w:val="22"/>
        </w:rPr>
        <w:t>Schirmacher</w:t>
      </w:r>
      <w:proofErr w:type="spellEnd"/>
      <w:r w:rsidRPr="00EE18B7">
        <w:rPr>
          <w:rStyle w:val="resolver-links"/>
          <w:szCs w:val="22"/>
        </w:rPr>
        <w:t xml:space="preserve"> Oasis, Antarctica. </w:t>
      </w:r>
      <w:proofErr w:type="spellStart"/>
      <w:r w:rsidRPr="00EE18B7">
        <w:rPr>
          <w:rStyle w:val="resolver-links"/>
          <w:i/>
          <w:iCs/>
          <w:szCs w:val="22"/>
        </w:rPr>
        <w:t>Verhandlungen</w:t>
      </w:r>
      <w:proofErr w:type="spellEnd"/>
      <w:r w:rsidRPr="00EE18B7">
        <w:rPr>
          <w:rStyle w:val="resolver-links"/>
          <w:i/>
          <w:iCs/>
          <w:szCs w:val="22"/>
        </w:rPr>
        <w:t xml:space="preserve"> Internationale </w:t>
      </w:r>
      <w:proofErr w:type="spellStart"/>
      <w:r w:rsidRPr="00EE18B7">
        <w:rPr>
          <w:rStyle w:val="resolver-links"/>
          <w:i/>
          <w:iCs/>
          <w:szCs w:val="22"/>
        </w:rPr>
        <w:t>Vereinigung</w:t>
      </w:r>
      <w:proofErr w:type="spellEnd"/>
      <w:r w:rsidRPr="00EE18B7">
        <w:rPr>
          <w:rStyle w:val="resolver-links"/>
          <w:i/>
          <w:iCs/>
          <w:szCs w:val="22"/>
        </w:rPr>
        <w:t xml:space="preserve"> </w:t>
      </w:r>
      <w:proofErr w:type="spellStart"/>
      <w:r w:rsidRPr="00EE18B7">
        <w:rPr>
          <w:rStyle w:val="resolver-links"/>
          <w:i/>
          <w:iCs/>
          <w:szCs w:val="22"/>
        </w:rPr>
        <w:t>Limnologie</w:t>
      </w:r>
      <w:proofErr w:type="spellEnd"/>
      <w:r w:rsidRPr="00EE18B7">
        <w:rPr>
          <w:rStyle w:val="resolver-links"/>
          <w:szCs w:val="22"/>
        </w:rPr>
        <w:t xml:space="preserve">, </w:t>
      </w:r>
      <w:r w:rsidRPr="00EE18B7">
        <w:rPr>
          <w:rStyle w:val="resolver-links"/>
          <w:b/>
          <w:szCs w:val="22"/>
        </w:rPr>
        <w:t>29</w:t>
      </w:r>
      <w:r w:rsidRPr="00EE18B7">
        <w:rPr>
          <w:rStyle w:val="resolver-links"/>
          <w:szCs w:val="22"/>
        </w:rPr>
        <w:t>, 678–682</w:t>
      </w:r>
    </w:p>
    <w:p w14:paraId="4814B274" w14:textId="77777777" w:rsidR="00972F0C" w:rsidRPr="00EE18B7" w:rsidRDefault="00972F0C" w:rsidP="00972F0C">
      <w:pPr>
        <w:spacing w:after="120"/>
        <w:ind w:left="426" w:hanging="426"/>
        <w:rPr>
          <w:szCs w:val="22"/>
        </w:rPr>
      </w:pPr>
      <w:proofErr w:type="spellStart"/>
      <w:r w:rsidRPr="00EE18B7">
        <w:rPr>
          <w:szCs w:val="22"/>
        </w:rPr>
        <w:t>Kaup</w:t>
      </w:r>
      <w:proofErr w:type="spellEnd"/>
      <w:r w:rsidRPr="00EE18B7">
        <w:rPr>
          <w:szCs w:val="22"/>
        </w:rPr>
        <w:t xml:space="preserve">, E., &amp; Burgess, J. 2002. Surface and subsurface flows of nutrients in natural and human impacted lake catchments on </w:t>
      </w:r>
      <w:proofErr w:type="spellStart"/>
      <w:r w:rsidRPr="00EE18B7">
        <w:rPr>
          <w:szCs w:val="22"/>
        </w:rPr>
        <w:t>Broknes</w:t>
      </w:r>
      <w:proofErr w:type="spellEnd"/>
      <w:r w:rsidRPr="00EE18B7">
        <w:rPr>
          <w:szCs w:val="22"/>
        </w:rPr>
        <w:t xml:space="preserve">, </w:t>
      </w:r>
      <w:proofErr w:type="spellStart"/>
      <w:r w:rsidRPr="00EE18B7">
        <w:rPr>
          <w:szCs w:val="22"/>
        </w:rPr>
        <w:t>Larsemann</w:t>
      </w:r>
      <w:proofErr w:type="spellEnd"/>
      <w:r w:rsidRPr="00EE18B7">
        <w:rPr>
          <w:szCs w:val="22"/>
        </w:rPr>
        <w:t xml:space="preserve"> Hills, Antarctica</w:t>
      </w:r>
      <w:r w:rsidRPr="00EE18B7">
        <w:rPr>
          <w:i/>
          <w:iCs/>
          <w:szCs w:val="22"/>
        </w:rPr>
        <w:t>. Antarctic Science</w:t>
      </w:r>
      <w:r w:rsidRPr="00EE18B7">
        <w:rPr>
          <w:szCs w:val="22"/>
        </w:rPr>
        <w:t xml:space="preserve">, </w:t>
      </w:r>
      <w:r w:rsidRPr="00EE18B7">
        <w:rPr>
          <w:b/>
          <w:bCs/>
          <w:szCs w:val="22"/>
        </w:rPr>
        <w:t>14</w:t>
      </w:r>
      <w:r w:rsidRPr="00EE18B7">
        <w:rPr>
          <w:szCs w:val="22"/>
        </w:rPr>
        <w:t>, 343–352</w:t>
      </w:r>
    </w:p>
    <w:p w14:paraId="5D0EF4F7" w14:textId="77777777" w:rsidR="00972F0C" w:rsidRPr="00EE18B7" w:rsidRDefault="00972F0C" w:rsidP="00972F0C">
      <w:pPr>
        <w:spacing w:after="120"/>
        <w:ind w:left="426" w:hanging="426"/>
        <w:rPr>
          <w:szCs w:val="22"/>
        </w:rPr>
      </w:pPr>
      <w:proofErr w:type="spellStart"/>
      <w:r w:rsidRPr="00EE18B7">
        <w:rPr>
          <w:szCs w:val="22"/>
        </w:rPr>
        <w:t>Margules</w:t>
      </w:r>
      <w:proofErr w:type="spellEnd"/>
      <w:r w:rsidRPr="00EE18B7">
        <w:rPr>
          <w:szCs w:val="22"/>
        </w:rPr>
        <w:t xml:space="preserve">, C.R. &amp; Pressey, R.L. 2000. Systematic conservation planning. </w:t>
      </w:r>
      <w:r w:rsidRPr="00EE18B7">
        <w:rPr>
          <w:i/>
          <w:szCs w:val="22"/>
        </w:rPr>
        <w:t>Nature</w:t>
      </w:r>
      <w:r w:rsidRPr="00EE18B7">
        <w:rPr>
          <w:iCs/>
          <w:szCs w:val="22"/>
        </w:rPr>
        <w:t>,</w:t>
      </w:r>
      <w:r w:rsidRPr="00EE18B7">
        <w:rPr>
          <w:i/>
          <w:szCs w:val="22"/>
        </w:rPr>
        <w:t xml:space="preserve"> </w:t>
      </w:r>
      <w:r w:rsidRPr="00EE18B7">
        <w:rPr>
          <w:b/>
          <w:szCs w:val="22"/>
        </w:rPr>
        <w:t>405</w:t>
      </w:r>
      <w:r w:rsidRPr="00EE18B7">
        <w:rPr>
          <w:bCs/>
          <w:szCs w:val="22"/>
        </w:rPr>
        <w:t>,</w:t>
      </w:r>
      <w:r w:rsidRPr="00EE18B7">
        <w:rPr>
          <w:szCs w:val="22"/>
        </w:rPr>
        <w:t xml:space="preserve"> 243–253</w:t>
      </w:r>
    </w:p>
    <w:p w14:paraId="21D885FE" w14:textId="77777777" w:rsidR="00972F0C" w:rsidRPr="00EE18B7" w:rsidRDefault="00972F0C" w:rsidP="00972F0C">
      <w:pPr>
        <w:autoSpaceDE w:val="0"/>
        <w:autoSpaceDN w:val="0"/>
        <w:spacing w:after="120"/>
        <w:ind w:left="426" w:hanging="426"/>
        <w:mirrorIndents/>
        <w:rPr>
          <w:szCs w:val="22"/>
        </w:rPr>
      </w:pPr>
      <w:r w:rsidRPr="00EE18B7">
        <w:rPr>
          <w:szCs w:val="22"/>
        </w:rPr>
        <w:t xml:space="preserve">Peter, H.-U., </w:t>
      </w:r>
      <w:proofErr w:type="spellStart"/>
      <w:r w:rsidRPr="00EE18B7">
        <w:rPr>
          <w:szCs w:val="22"/>
        </w:rPr>
        <w:t>Buesser</w:t>
      </w:r>
      <w:proofErr w:type="spellEnd"/>
      <w:r w:rsidRPr="00EE18B7">
        <w:rPr>
          <w:szCs w:val="22"/>
        </w:rPr>
        <w:t xml:space="preserve">, C., Mustafa, O. &amp; Pfeiffer, S. (2008) Risk assessment for the </w:t>
      </w:r>
      <w:proofErr w:type="spellStart"/>
      <w:r w:rsidRPr="00EE18B7">
        <w:rPr>
          <w:szCs w:val="22"/>
        </w:rPr>
        <w:t>Fildes</w:t>
      </w:r>
      <w:proofErr w:type="spellEnd"/>
      <w:r w:rsidRPr="00EE18B7">
        <w:rPr>
          <w:szCs w:val="22"/>
        </w:rPr>
        <w:t xml:space="preserve"> Peninsula and Ardley Island, and development of management plans for their designation as specially protected or specially managed areas. German Federal Environment Agency, Dessau, </w:t>
      </w:r>
      <w:r w:rsidRPr="00EE18B7">
        <w:rPr>
          <w:color w:val="000000" w:themeColor="text1"/>
          <w:szCs w:val="22"/>
        </w:rPr>
        <w:t xml:space="preserve">Germany. Retrieved from </w:t>
      </w:r>
      <w:hyperlink r:id="rId14" w:history="1">
        <w:r w:rsidRPr="00EE18B7">
          <w:rPr>
            <w:rStyle w:val="Hipervnculo"/>
            <w:color w:val="0563C1"/>
            <w:szCs w:val="22"/>
          </w:rPr>
          <w:t>https://www.umweltbundesamt.de/en/publikationen/risk-assessment-for-fildes-peninsula-ardley-island</w:t>
        </w:r>
      </w:hyperlink>
      <w:r w:rsidRPr="00EE18B7">
        <w:rPr>
          <w:szCs w:val="22"/>
        </w:rPr>
        <w:t>.</w:t>
      </w:r>
    </w:p>
    <w:p w14:paraId="0A992816" w14:textId="77777777" w:rsidR="00972F0C" w:rsidRPr="00EE18B7" w:rsidRDefault="00972F0C" w:rsidP="00972F0C">
      <w:pPr>
        <w:spacing w:after="120"/>
        <w:ind w:left="426" w:hanging="426"/>
        <w:rPr>
          <w:szCs w:val="22"/>
        </w:rPr>
      </w:pPr>
      <w:r w:rsidRPr="00972F0C">
        <w:rPr>
          <w:szCs w:val="22"/>
          <w:lang w:val="es-AR"/>
        </w:rPr>
        <w:t xml:space="preserve">Remedios-De León, M., Hughes, K.A., Morelli, E. &amp; </w:t>
      </w:r>
      <w:proofErr w:type="spellStart"/>
      <w:r w:rsidRPr="00972F0C">
        <w:rPr>
          <w:szCs w:val="22"/>
          <w:lang w:val="es-AR"/>
        </w:rPr>
        <w:t>Convey</w:t>
      </w:r>
      <w:proofErr w:type="spellEnd"/>
      <w:r w:rsidRPr="00972F0C">
        <w:rPr>
          <w:szCs w:val="22"/>
          <w:lang w:val="es-AR"/>
        </w:rPr>
        <w:t>, P</w:t>
      </w:r>
      <w:r w:rsidRPr="00972F0C">
        <w:rPr>
          <w:smallCaps/>
          <w:szCs w:val="22"/>
          <w:lang w:val="es-AR"/>
        </w:rPr>
        <w:t>.</w:t>
      </w:r>
      <w:r w:rsidRPr="00972F0C">
        <w:rPr>
          <w:szCs w:val="22"/>
          <w:lang w:val="es-AR"/>
        </w:rPr>
        <w:t xml:space="preserve"> 2021. </w:t>
      </w:r>
      <w:r w:rsidRPr="00EE18B7">
        <w:rPr>
          <w:szCs w:val="22"/>
        </w:rPr>
        <w:t xml:space="preserve">International response under the Antarctic Treaty System to the establishment of a non-native fly in Antarctica. </w:t>
      </w:r>
      <w:r w:rsidRPr="00EE18B7">
        <w:rPr>
          <w:i/>
          <w:iCs/>
          <w:szCs w:val="22"/>
        </w:rPr>
        <w:t>Environmental Management</w:t>
      </w:r>
      <w:r w:rsidRPr="00EE18B7">
        <w:rPr>
          <w:szCs w:val="22"/>
        </w:rPr>
        <w:t xml:space="preserve">, </w:t>
      </w:r>
      <w:r w:rsidRPr="00EE18B7">
        <w:rPr>
          <w:b/>
          <w:bCs/>
          <w:szCs w:val="22"/>
        </w:rPr>
        <w:t>67</w:t>
      </w:r>
      <w:r w:rsidRPr="00EE18B7">
        <w:rPr>
          <w:szCs w:val="22"/>
        </w:rPr>
        <w:t>, 1043–1059</w:t>
      </w:r>
    </w:p>
    <w:p w14:paraId="30A37A0F" w14:textId="77777777" w:rsidR="00972F0C" w:rsidRPr="00EE18B7" w:rsidRDefault="00972F0C" w:rsidP="00972F0C">
      <w:pPr>
        <w:tabs>
          <w:tab w:val="left" w:pos="0"/>
        </w:tabs>
        <w:autoSpaceDE w:val="0"/>
        <w:autoSpaceDN w:val="0"/>
        <w:spacing w:after="120"/>
        <w:ind w:left="426" w:hanging="426"/>
        <w:mirrorIndents/>
        <w:rPr>
          <w:szCs w:val="22"/>
        </w:rPr>
      </w:pPr>
      <w:r w:rsidRPr="00EE18B7">
        <w:rPr>
          <w:szCs w:val="22"/>
        </w:rPr>
        <w:t>Sheppard, D.S., Campbell, I.B. &amp; Claridge, G.G.C</w:t>
      </w:r>
      <w:r w:rsidRPr="00EE18B7">
        <w:rPr>
          <w:smallCaps/>
          <w:szCs w:val="22"/>
        </w:rPr>
        <w:t>.</w:t>
      </w:r>
      <w:r w:rsidRPr="00EE18B7">
        <w:rPr>
          <w:szCs w:val="22"/>
        </w:rPr>
        <w:t xml:space="preserve"> 1993. </w:t>
      </w:r>
      <w:r w:rsidRPr="00EE18B7">
        <w:rPr>
          <w:i/>
          <w:iCs/>
          <w:szCs w:val="22"/>
        </w:rPr>
        <w:t xml:space="preserve">Contamination in the soils at Vanda Station. </w:t>
      </w:r>
      <w:r w:rsidRPr="00EE18B7">
        <w:rPr>
          <w:szCs w:val="22"/>
        </w:rPr>
        <w:t>Institute of Geological and Nuclear Sciences Client report 93/81. Christchurch:</w:t>
      </w:r>
      <w:r w:rsidRPr="00EE18B7" w:rsidDel="00F862D8">
        <w:rPr>
          <w:szCs w:val="22"/>
        </w:rPr>
        <w:t xml:space="preserve"> </w:t>
      </w:r>
      <w:r w:rsidRPr="00EE18B7">
        <w:rPr>
          <w:szCs w:val="22"/>
        </w:rPr>
        <w:t>New Zealand Antarctic Programme, 12 pp.</w:t>
      </w:r>
    </w:p>
    <w:p w14:paraId="0A8E4F6B" w14:textId="77777777" w:rsidR="00972F0C" w:rsidRPr="00EE18B7" w:rsidRDefault="00972F0C" w:rsidP="00972F0C">
      <w:pPr>
        <w:spacing w:after="120"/>
        <w:ind w:left="426" w:hanging="426"/>
        <w:rPr>
          <w:szCs w:val="22"/>
        </w:rPr>
      </w:pPr>
      <w:r w:rsidRPr="00EE18B7">
        <w:rPr>
          <w:szCs w:val="22"/>
        </w:rPr>
        <w:t xml:space="preserve">Tin, T. &amp; </w:t>
      </w:r>
      <w:proofErr w:type="spellStart"/>
      <w:r w:rsidRPr="00EE18B7">
        <w:rPr>
          <w:szCs w:val="22"/>
        </w:rPr>
        <w:t>Roura</w:t>
      </w:r>
      <w:proofErr w:type="spellEnd"/>
      <w:r w:rsidRPr="00EE18B7">
        <w:rPr>
          <w:szCs w:val="22"/>
        </w:rPr>
        <w:t>, R</w:t>
      </w:r>
      <w:r w:rsidRPr="00EE18B7">
        <w:rPr>
          <w:smallCaps/>
          <w:szCs w:val="22"/>
        </w:rPr>
        <w:t>.</w:t>
      </w:r>
      <w:r w:rsidRPr="00EE18B7">
        <w:rPr>
          <w:szCs w:val="22"/>
        </w:rPr>
        <w:t xml:space="preserve"> 2004. </w:t>
      </w:r>
      <w:r w:rsidRPr="00EE18B7">
        <w:rPr>
          <w:i/>
          <w:iCs/>
          <w:szCs w:val="22"/>
        </w:rPr>
        <w:t xml:space="preserve">Environmental reports of </w:t>
      </w:r>
      <w:proofErr w:type="spellStart"/>
      <w:r w:rsidRPr="00EE18B7">
        <w:rPr>
          <w:i/>
          <w:iCs/>
          <w:szCs w:val="22"/>
        </w:rPr>
        <w:t>Fildes</w:t>
      </w:r>
      <w:proofErr w:type="spellEnd"/>
      <w:r w:rsidRPr="00EE18B7">
        <w:rPr>
          <w:i/>
          <w:iCs/>
          <w:szCs w:val="22"/>
        </w:rPr>
        <w:t xml:space="preserve"> Peninsula, 1988–1997: benchmarks for environmental management.</w:t>
      </w:r>
      <w:r w:rsidRPr="00EE18B7">
        <w:rPr>
          <w:szCs w:val="22"/>
        </w:rPr>
        <w:t xml:space="preserve"> </w:t>
      </w:r>
      <w:bookmarkStart w:id="8" w:name="_Hlk126056158"/>
      <w:r w:rsidRPr="00EE18B7">
        <w:rPr>
          <w:szCs w:val="22"/>
        </w:rPr>
        <w:t>Antarctic and Southern Ocean Coalition</w:t>
      </w:r>
      <w:bookmarkEnd w:id="8"/>
      <w:r w:rsidRPr="00EE18B7">
        <w:rPr>
          <w:szCs w:val="22"/>
        </w:rPr>
        <w:t>, Technical Report 13. Washington, DC: Antarctic and Southern Ocean Coalition, 188 pp</w:t>
      </w:r>
    </w:p>
    <w:p w14:paraId="108977AB" w14:textId="77777777" w:rsidR="00972F0C" w:rsidRPr="00EE18B7" w:rsidRDefault="00972F0C" w:rsidP="00972F0C">
      <w:pPr>
        <w:shd w:val="clear" w:color="auto" w:fill="FFFFFF"/>
        <w:spacing w:after="120"/>
        <w:ind w:left="426" w:hanging="426"/>
        <w:mirrorIndents/>
        <w:textAlignment w:val="baseline"/>
        <w:rPr>
          <w:szCs w:val="22"/>
        </w:rPr>
      </w:pPr>
      <w:r w:rsidRPr="00EE18B7">
        <w:rPr>
          <w:szCs w:val="22"/>
        </w:rPr>
        <w:t>Webster, J., Webster, K., Nelson, P. &amp; Waterhouse, E</w:t>
      </w:r>
      <w:r w:rsidRPr="00EE18B7">
        <w:rPr>
          <w:smallCaps/>
          <w:szCs w:val="22"/>
        </w:rPr>
        <w:t>.</w:t>
      </w:r>
      <w:r w:rsidRPr="00EE18B7">
        <w:rPr>
          <w:szCs w:val="22"/>
        </w:rPr>
        <w:t xml:space="preserve"> 2003. The behaviour of residual contaminants at a former station site, Antarctica. </w:t>
      </w:r>
      <w:r w:rsidRPr="00EE18B7">
        <w:rPr>
          <w:i/>
          <w:iCs/>
          <w:szCs w:val="22"/>
        </w:rPr>
        <w:t>Environmental Pollution</w:t>
      </w:r>
      <w:r w:rsidRPr="00EE18B7">
        <w:rPr>
          <w:iCs/>
          <w:szCs w:val="22"/>
        </w:rPr>
        <w:t>,</w:t>
      </w:r>
      <w:r w:rsidRPr="00EE18B7">
        <w:rPr>
          <w:i/>
          <w:iCs/>
          <w:szCs w:val="22"/>
        </w:rPr>
        <w:t xml:space="preserve"> </w:t>
      </w:r>
      <w:r w:rsidRPr="00EE18B7">
        <w:rPr>
          <w:b/>
          <w:bCs/>
          <w:szCs w:val="22"/>
        </w:rPr>
        <w:t>123</w:t>
      </w:r>
      <w:r w:rsidRPr="00EE18B7">
        <w:rPr>
          <w:szCs w:val="22"/>
        </w:rPr>
        <w:t>, 163–179.</w:t>
      </w:r>
    </w:p>
    <w:p w14:paraId="33FFBF93" w14:textId="77777777" w:rsidR="00972F0C" w:rsidRDefault="00972F0C" w:rsidP="00952E9F"/>
    <w:sectPr w:rsidR="00972F0C"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5A4B" w14:textId="77777777" w:rsidR="00000000" w:rsidRDefault="00972F0C">
      <w:r>
        <w:separator/>
      </w:r>
    </w:p>
  </w:endnote>
  <w:endnote w:type="continuationSeparator" w:id="0">
    <w:p w14:paraId="52D6FF51" w14:textId="77777777" w:rsidR="00000000" w:rsidRDefault="0097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1548" w14:textId="77777777" w:rsidR="00FA0B9F" w:rsidRDefault="00972F0C" w:rsidP="00CF5C82">
    <w:pPr>
      <w:framePr w:wrap="around" w:vAnchor="text" w:hAnchor="margin" w:xAlign="right" w:y="1"/>
    </w:pPr>
    <w:r>
      <w:fldChar w:fldCharType="begin"/>
    </w:r>
    <w:r>
      <w:instrText xml:space="preserve">PAGE  </w:instrText>
    </w:r>
    <w:r>
      <w:fldChar w:fldCharType="separate"/>
    </w:r>
    <w:r>
      <w:fldChar w:fldCharType="end"/>
    </w:r>
  </w:p>
  <w:p w14:paraId="43455EC5" w14:textId="77777777" w:rsidR="00FA0B9F" w:rsidRDefault="00972F0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4679" w14:textId="77777777" w:rsidR="00FA0B9F" w:rsidRDefault="00972F0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5279256" w14:textId="626823D5" w:rsidR="00FA0B9F" w:rsidRDefault="00972F0C" w:rsidP="00972F0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6904" w14:textId="77777777" w:rsidR="00972F0C" w:rsidRDefault="00972F0C" w:rsidP="00CF5C82">
    <w:pPr>
      <w:framePr w:wrap="around" w:vAnchor="text" w:hAnchor="margin" w:xAlign="right" w:y="1"/>
    </w:pPr>
    <w:r>
      <w:fldChar w:fldCharType="begin"/>
    </w:r>
    <w:r>
      <w:instrText xml:space="preserve">PAGE  </w:instrText>
    </w:r>
    <w:r>
      <w:fldChar w:fldCharType="separate"/>
    </w:r>
    <w:r>
      <w:rPr>
        <w:noProof/>
      </w:rPr>
      <w:t>8</w:t>
    </w:r>
    <w:r>
      <w:fldChar w:fldCharType="end"/>
    </w:r>
  </w:p>
  <w:p w14:paraId="16F38916" w14:textId="77777777" w:rsidR="00972F0C" w:rsidRDefault="00972F0C" w:rsidP="00E311C9">
    <w:pPr>
      <w:ind w:right="360"/>
    </w:pPr>
  </w:p>
  <w:p w14:paraId="17DEC12D" w14:textId="77777777" w:rsidR="00972F0C" w:rsidRDefault="00972F0C"/>
  <w:p w14:paraId="57A586F4" w14:textId="77777777" w:rsidR="00972F0C" w:rsidRDefault="00972F0C"/>
  <w:p w14:paraId="043733E8" w14:textId="77777777" w:rsidR="00972F0C" w:rsidRDefault="00972F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4A76" w14:textId="77777777" w:rsidR="00E311C9" w:rsidRDefault="00972F0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E7A6DB5" w14:textId="77777777" w:rsidR="00E311C9" w:rsidRDefault="00972F0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374A" w14:textId="77777777" w:rsidR="00000000" w:rsidRDefault="00972F0C">
      <w:r>
        <w:separator/>
      </w:r>
    </w:p>
  </w:footnote>
  <w:footnote w:type="continuationSeparator" w:id="0">
    <w:p w14:paraId="722956AE" w14:textId="77777777" w:rsidR="00000000" w:rsidRDefault="00972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7302D5" w14:paraId="6604CC14" w14:textId="77777777" w:rsidTr="002E12EC">
      <w:trPr>
        <w:trHeight w:val="344"/>
        <w:jc w:val="center"/>
      </w:trPr>
      <w:tc>
        <w:tcPr>
          <w:tcW w:w="5495" w:type="dxa"/>
        </w:tcPr>
        <w:p w14:paraId="4409B340" w14:textId="77777777" w:rsidR="00DB7C09" w:rsidRDefault="00972F0C" w:rsidP="00F968D4"/>
      </w:tc>
      <w:tc>
        <w:tcPr>
          <w:tcW w:w="4253" w:type="dxa"/>
          <w:gridSpan w:val="2"/>
        </w:tcPr>
        <w:p w14:paraId="432E82F4" w14:textId="77777777" w:rsidR="00DB7C09" w:rsidRPr="00BD47E4" w:rsidRDefault="00972F0C" w:rsidP="002A07BC">
          <w:pPr>
            <w:jc w:val="right"/>
            <w:rPr>
              <w:b/>
              <w:sz w:val="32"/>
              <w:szCs w:val="32"/>
            </w:rPr>
          </w:pPr>
          <w:bookmarkStart w:id="2" w:name="type"/>
          <w:r w:rsidRPr="00BD47E4">
            <w:rPr>
              <w:b/>
              <w:sz w:val="32"/>
              <w:szCs w:val="32"/>
            </w:rPr>
            <w:t>IP</w:t>
          </w:r>
          <w:bookmarkEnd w:id="2"/>
        </w:p>
      </w:tc>
      <w:tc>
        <w:tcPr>
          <w:tcW w:w="1524" w:type="dxa"/>
          <w:gridSpan w:val="2"/>
        </w:tcPr>
        <w:p w14:paraId="6A62A946" w14:textId="77777777" w:rsidR="00DB7C09" w:rsidRPr="00BD47E4" w:rsidRDefault="00972F0C" w:rsidP="00DB7C09">
          <w:pPr>
            <w:rPr>
              <w:b/>
              <w:sz w:val="32"/>
              <w:szCs w:val="32"/>
            </w:rPr>
          </w:pPr>
          <w:bookmarkStart w:id="3" w:name="number"/>
          <w:r w:rsidRPr="00BD47E4">
            <w:rPr>
              <w:b/>
              <w:sz w:val="32"/>
              <w:szCs w:val="32"/>
            </w:rPr>
            <w:t>90</w:t>
          </w:r>
          <w:bookmarkEnd w:id="3"/>
        </w:p>
      </w:tc>
    </w:tr>
    <w:tr w:rsidR="007302D5" w14:paraId="281FEBBC" w14:textId="77777777" w:rsidTr="002E12EC">
      <w:trPr>
        <w:trHeight w:val="2165"/>
        <w:jc w:val="center"/>
      </w:trPr>
      <w:tc>
        <w:tcPr>
          <w:tcW w:w="5495" w:type="dxa"/>
        </w:tcPr>
        <w:p w14:paraId="6115F973" w14:textId="77777777" w:rsidR="00490760" w:rsidRPr="00EE4D48" w:rsidRDefault="00972F0C" w:rsidP="002A07BC">
          <w:pPr>
            <w:rPr>
              <w:b/>
              <w:sz w:val="28"/>
              <w:szCs w:val="28"/>
            </w:rPr>
          </w:pPr>
          <w:r>
            <w:rPr>
              <w:noProof/>
            </w:rPr>
            <w:drawing>
              <wp:inline distT="0" distB="0" distL="0" distR="0" wp14:anchorId="350A413F" wp14:editId="6575E63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8469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30F96FB" w14:textId="77777777" w:rsidR="00490760" w:rsidRPr="00FE5146" w:rsidRDefault="00972F0C" w:rsidP="00490760">
          <w:pPr>
            <w:jc w:val="right"/>
            <w:rPr>
              <w:sz w:val="144"/>
              <w:szCs w:val="144"/>
            </w:rPr>
          </w:pPr>
          <w:r w:rsidRPr="00FE5146">
            <w:rPr>
              <w:sz w:val="144"/>
              <w:szCs w:val="144"/>
            </w:rPr>
            <w:t>ENG</w:t>
          </w:r>
        </w:p>
      </w:tc>
    </w:tr>
    <w:tr w:rsidR="007302D5" w14:paraId="3BDB50C9" w14:textId="77777777" w:rsidTr="002E12EC">
      <w:trPr>
        <w:trHeight w:val="409"/>
        <w:jc w:val="center"/>
      </w:trPr>
      <w:tc>
        <w:tcPr>
          <w:tcW w:w="8500" w:type="dxa"/>
          <w:gridSpan w:val="2"/>
        </w:tcPr>
        <w:p w14:paraId="6BA348E3" w14:textId="77777777" w:rsidR="00BD47E4" w:rsidRDefault="00972F0C" w:rsidP="002C30DA">
          <w:pPr>
            <w:jc w:val="right"/>
          </w:pPr>
          <w:r>
            <w:t>Agenda Item:</w:t>
          </w:r>
        </w:p>
      </w:tc>
      <w:tc>
        <w:tcPr>
          <w:tcW w:w="2382" w:type="dxa"/>
          <w:gridSpan w:val="2"/>
        </w:tcPr>
        <w:p w14:paraId="72301224" w14:textId="77777777" w:rsidR="00BD47E4" w:rsidRDefault="00972F0C" w:rsidP="002C30DA">
          <w:pPr>
            <w:jc w:val="right"/>
          </w:pPr>
          <w:bookmarkStart w:id="4" w:name="agenda"/>
          <w:r>
            <w:t>CEP 9e</w:t>
          </w:r>
          <w:bookmarkEnd w:id="4"/>
        </w:p>
      </w:tc>
      <w:tc>
        <w:tcPr>
          <w:tcW w:w="390" w:type="dxa"/>
        </w:tcPr>
        <w:p w14:paraId="3934DBA6" w14:textId="77777777" w:rsidR="00BD47E4" w:rsidRDefault="00972F0C" w:rsidP="00387A65">
          <w:pPr>
            <w:jc w:val="right"/>
          </w:pPr>
        </w:p>
      </w:tc>
    </w:tr>
    <w:tr w:rsidR="007302D5" w14:paraId="0BFEB8B2" w14:textId="77777777" w:rsidTr="002E12EC">
      <w:trPr>
        <w:trHeight w:val="397"/>
        <w:jc w:val="center"/>
      </w:trPr>
      <w:tc>
        <w:tcPr>
          <w:tcW w:w="8500" w:type="dxa"/>
          <w:gridSpan w:val="2"/>
        </w:tcPr>
        <w:p w14:paraId="67B714EB" w14:textId="77777777" w:rsidR="00BD47E4" w:rsidRDefault="00972F0C" w:rsidP="002C30DA">
          <w:pPr>
            <w:jc w:val="right"/>
          </w:pPr>
          <w:r>
            <w:t>Presented by:</w:t>
          </w:r>
        </w:p>
      </w:tc>
      <w:tc>
        <w:tcPr>
          <w:tcW w:w="2382" w:type="dxa"/>
          <w:gridSpan w:val="2"/>
        </w:tcPr>
        <w:p w14:paraId="75AA7CC5" w14:textId="77777777" w:rsidR="00BD47E4" w:rsidRDefault="00972F0C" w:rsidP="002C30DA">
          <w:pPr>
            <w:jc w:val="right"/>
          </w:pPr>
          <w:bookmarkStart w:id="5" w:name="party"/>
          <w:r>
            <w:t>New Zealand, Spain, United Kingdom</w:t>
          </w:r>
          <w:bookmarkEnd w:id="5"/>
        </w:p>
      </w:tc>
      <w:tc>
        <w:tcPr>
          <w:tcW w:w="390" w:type="dxa"/>
        </w:tcPr>
        <w:p w14:paraId="28818602" w14:textId="77777777" w:rsidR="00BD47E4" w:rsidRDefault="00972F0C" w:rsidP="00387A65">
          <w:pPr>
            <w:jc w:val="right"/>
          </w:pPr>
        </w:p>
      </w:tc>
    </w:tr>
    <w:tr w:rsidR="007302D5" w14:paraId="43CD3ACF" w14:textId="77777777" w:rsidTr="002E12EC">
      <w:trPr>
        <w:trHeight w:val="409"/>
        <w:jc w:val="center"/>
      </w:trPr>
      <w:tc>
        <w:tcPr>
          <w:tcW w:w="8500" w:type="dxa"/>
          <w:gridSpan w:val="2"/>
        </w:tcPr>
        <w:p w14:paraId="46004075" w14:textId="77777777" w:rsidR="00BD47E4" w:rsidRDefault="00972F0C" w:rsidP="002C30DA">
          <w:pPr>
            <w:jc w:val="right"/>
          </w:pPr>
          <w:r>
            <w:t>Original:</w:t>
          </w:r>
        </w:p>
      </w:tc>
      <w:tc>
        <w:tcPr>
          <w:tcW w:w="2382" w:type="dxa"/>
          <w:gridSpan w:val="2"/>
        </w:tcPr>
        <w:p w14:paraId="12B5A066" w14:textId="77777777" w:rsidR="00BD47E4" w:rsidRDefault="00972F0C" w:rsidP="002C30DA">
          <w:pPr>
            <w:jc w:val="right"/>
          </w:pPr>
          <w:bookmarkStart w:id="6" w:name="language"/>
          <w:r>
            <w:t>English</w:t>
          </w:r>
          <w:bookmarkEnd w:id="6"/>
        </w:p>
      </w:tc>
      <w:tc>
        <w:tcPr>
          <w:tcW w:w="390" w:type="dxa"/>
        </w:tcPr>
        <w:p w14:paraId="5CD71F00" w14:textId="77777777" w:rsidR="00BD47E4" w:rsidRDefault="00972F0C" w:rsidP="00387A65">
          <w:pPr>
            <w:jc w:val="right"/>
          </w:pPr>
        </w:p>
      </w:tc>
    </w:tr>
    <w:tr w:rsidR="007302D5" w14:paraId="0B13DED4" w14:textId="77777777" w:rsidTr="002E12EC">
      <w:trPr>
        <w:trHeight w:val="409"/>
        <w:jc w:val="center"/>
      </w:trPr>
      <w:tc>
        <w:tcPr>
          <w:tcW w:w="8500" w:type="dxa"/>
          <w:gridSpan w:val="2"/>
        </w:tcPr>
        <w:p w14:paraId="3356020C" w14:textId="77777777" w:rsidR="0097629D" w:rsidRDefault="00972F0C" w:rsidP="002C30DA">
          <w:pPr>
            <w:jc w:val="right"/>
          </w:pPr>
          <w:r>
            <w:t>Submitted:</w:t>
          </w:r>
        </w:p>
      </w:tc>
      <w:tc>
        <w:tcPr>
          <w:tcW w:w="2382" w:type="dxa"/>
          <w:gridSpan w:val="2"/>
        </w:tcPr>
        <w:p w14:paraId="059960F4" w14:textId="77777777" w:rsidR="0097629D" w:rsidRDefault="00972F0C" w:rsidP="0097629D">
          <w:pPr>
            <w:jc w:val="right"/>
          </w:pPr>
          <w:bookmarkStart w:id="7" w:name="date_submission"/>
          <w:r>
            <w:t>28 Apr 2023</w:t>
          </w:r>
          <w:bookmarkEnd w:id="7"/>
        </w:p>
      </w:tc>
      <w:tc>
        <w:tcPr>
          <w:tcW w:w="390" w:type="dxa"/>
        </w:tcPr>
        <w:p w14:paraId="682914E7" w14:textId="77777777" w:rsidR="0097629D" w:rsidRDefault="00972F0C" w:rsidP="00387A65">
          <w:pPr>
            <w:jc w:val="right"/>
          </w:pPr>
        </w:p>
      </w:tc>
    </w:tr>
  </w:tbl>
  <w:p w14:paraId="145816A0" w14:textId="77777777" w:rsidR="00AE5DD0" w:rsidRDefault="00972F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8CA7" w14:textId="77777777" w:rsidR="00972F0C" w:rsidRPr="00315403" w:rsidRDefault="00972F0C" w:rsidP="00315403">
    <w:pPr>
      <w:jc w:val="right"/>
      <w:rPr>
        <w:b/>
        <w:sz w:val="32"/>
        <w:szCs w:val="32"/>
      </w:rPr>
    </w:pPr>
    <w:r w:rsidRPr="00315403">
      <w:rPr>
        <w:b/>
        <w:sz w:val="32"/>
        <w:szCs w:val="32"/>
      </w:rPr>
      <w:t>IP</w:t>
    </w:r>
  </w:p>
  <w:p w14:paraId="69E0989D" w14:textId="77777777" w:rsidR="00972F0C" w:rsidRDefault="00972F0C" w:rsidP="00FB30E4">
    <w:pPr>
      <w:pStyle w:val="Encabezado"/>
      <w:jc w:val="right"/>
      <w:rPr>
        <w:sz w:val="34"/>
        <w:szCs w:val="36"/>
        <w:lang w:val="en-NZ"/>
      </w:rPr>
    </w:pPr>
  </w:p>
  <w:p w14:paraId="684BB6D8" w14:textId="77777777" w:rsidR="00972F0C" w:rsidRPr="00FB30E4" w:rsidRDefault="00972F0C" w:rsidP="00FB30E4">
    <w:pPr>
      <w:pStyle w:val="Encabezado"/>
      <w:jc w:val="right"/>
      <w:rPr>
        <w:sz w:val="34"/>
        <w:szCs w:val="36"/>
        <w:lang w:val="en-NZ"/>
      </w:rPr>
    </w:pPr>
    <w:r w:rsidRPr="00FB30E4">
      <w:rPr>
        <w:sz w:val="34"/>
        <w:szCs w:val="36"/>
        <w:lang w:val="en-NZ"/>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302D5" w14:paraId="5D899FCF" w14:textId="77777777">
      <w:trPr>
        <w:trHeight w:val="354"/>
        <w:jc w:val="center"/>
      </w:trPr>
      <w:tc>
        <w:tcPr>
          <w:tcW w:w="9694" w:type="dxa"/>
        </w:tcPr>
        <w:p w14:paraId="42C17A91" w14:textId="362596B8" w:rsidR="00AE5DD0" w:rsidRPr="00BD47E4" w:rsidRDefault="00972F0C" w:rsidP="00C26F2D">
          <w:pPr>
            <w:jc w:val="right"/>
            <w:rPr>
              <w:b/>
              <w:sz w:val="32"/>
              <w:szCs w:val="32"/>
            </w:rPr>
          </w:pPr>
          <w:r>
            <w:rPr>
              <w:b/>
              <w:sz w:val="32"/>
              <w:szCs w:val="32"/>
            </w:rPr>
            <w:t>IP</w:t>
          </w:r>
        </w:p>
      </w:tc>
      <w:tc>
        <w:tcPr>
          <w:tcW w:w="1332" w:type="dxa"/>
        </w:tcPr>
        <w:p w14:paraId="1387D882" w14:textId="68ADB79B" w:rsidR="00AE5DD0" w:rsidRPr="00BD47E4" w:rsidRDefault="00972F0C" w:rsidP="00080F4C">
          <w:pPr>
            <w:rPr>
              <w:b/>
              <w:sz w:val="32"/>
              <w:szCs w:val="32"/>
            </w:rPr>
          </w:pPr>
          <w:r>
            <w:rPr>
              <w:b/>
              <w:sz w:val="32"/>
              <w:szCs w:val="32"/>
            </w:rPr>
            <w:t>90</w:t>
          </w:r>
        </w:p>
      </w:tc>
    </w:tr>
  </w:tbl>
  <w:p w14:paraId="03C4A4F7" w14:textId="77777777" w:rsidR="00AE5DD0" w:rsidRDefault="00972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6137FF4"/>
    <w:multiLevelType w:val="hybridMultilevel"/>
    <w:tmpl w:val="7C6814EA"/>
    <w:lvl w:ilvl="0" w:tplc="14090001">
      <w:start w:val="1"/>
      <w:numFmt w:val="bullet"/>
      <w:lvlText w:val=""/>
      <w:lvlJc w:val="left"/>
      <w:pPr>
        <w:ind w:left="4612" w:hanging="360"/>
      </w:pPr>
      <w:rPr>
        <w:rFonts w:ascii="Symbol" w:hAnsi="Symbol" w:hint="default"/>
      </w:rPr>
    </w:lvl>
    <w:lvl w:ilvl="1" w:tplc="14090003" w:tentative="1">
      <w:start w:val="1"/>
      <w:numFmt w:val="bullet"/>
      <w:lvlText w:val="o"/>
      <w:lvlJc w:val="left"/>
      <w:pPr>
        <w:ind w:left="5332" w:hanging="360"/>
      </w:pPr>
      <w:rPr>
        <w:rFonts w:ascii="Courier New" w:hAnsi="Courier New" w:cs="Courier New" w:hint="default"/>
      </w:rPr>
    </w:lvl>
    <w:lvl w:ilvl="2" w:tplc="14090005" w:tentative="1">
      <w:start w:val="1"/>
      <w:numFmt w:val="bullet"/>
      <w:lvlText w:val=""/>
      <w:lvlJc w:val="left"/>
      <w:pPr>
        <w:ind w:left="6052" w:hanging="360"/>
      </w:pPr>
      <w:rPr>
        <w:rFonts w:ascii="Wingdings" w:hAnsi="Wingdings" w:hint="default"/>
      </w:rPr>
    </w:lvl>
    <w:lvl w:ilvl="3" w:tplc="14090001" w:tentative="1">
      <w:start w:val="1"/>
      <w:numFmt w:val="bullet"/>
      <w:lvlText w:val=""/>
      <w:lvlJc w:val="left"/>
      <w:pPr>
        <w:ind w:left="6772" w:hanging="360"/>
      </w:pPr>
      <w:rPr>
        <w:rFonts w:ascii="Symbol" w:hAnsi="Symbol" w:hint="default"/>
      </w:rPr>
    </w:lvl>
    <w:lvl w:ilvl="4" w:tplc="14090003" w:tentative="1">
      <w:start w:val="1"/>
      <w:numFmt w:val="bullet"/>
      <w:lvlText w:val="o"/>
      <w:lvlJc w:val="left"/>
      <w:pPr>
        <w:ind w:left="7492" w:hanging="360"/>
      </w:pPr>
      <w:rPr>
        <w:rFonts w:ascii="Courier New" w:hAnsi="Courier New" w:cs="Courier New" w:hint="default"/>
      </w:rPr>
    </w:lvl>
    <w:lvl w:ilvl="5" w:tplc="14090005" w:tentative="1">
      <w:start w:val="1"/>
      <w:numFmt w:val="bullet"/>
      <w:lvlText w:val=""/>
      <w:lvlJc w:val="left"/>
      <w:pPr>
        <w:ind w:left="8212" w:hanging="360"/>
      </w:pPr>
      <w:rPr>
        <w:rFonts w:ascii="Wingdings" w:hAnsi="Wingdings" w:hint="default"/>
      </w:rPr>
    </w:lvl>
    <w:lvl w:ilvl="6" w:tplc="14090001" w:tentative="1">
      <w:start w:val="1"/>
      <w:numFmt w:val="bullet"/>
      <w:lvlText w:val=""/>
      <w:lvlJc w:val="left"/>
      <w:pPr>
        <w:ind w:left="8932" w:hanging="360"/>
      </w:pPr>
      <w:rPr>
        <w:rFonts w:ascii="Symbol" w:hAnsi="Symbol" w:hint="default"/>
      </w:rPr>
    </w:lvl>
    <w:lvl w:ilvl="7" w:tplc="14090003" w:tentative="1">
      <w:start w:val="1"/>
      <w:numFmt w:val="bullet"/>
      <w:lvlText w:val="o"/>
      <w:lvlJc w:val="left"/>
      <w:pPr>
        <w:ind w:left="9652" w:hanging="360"/>
      </w:pPr>
      <w:rPr>
        <w:rFonts w:ascii="Courier New" w:hAnsi="Courier New" w:cs="Courier New" w:hint="default"/>
      </w:rPr>
    </w:lvl>
    <w:lvl w:ilvl="8" w:tplc="14090005" w:tentative="1">
      <w:start w:val="1"/>
      <w:numFmt w:val="bullet"/>
      <w:lvlText w:val=""/>
      <w:lvlJc w:val="left"/>
      <w:pPr>
        <w:ind w:left="10372" w:hanging="360"/>
      </w:pPr>
      <w:rPr>
        <w:rFonts w:ascii="Wingdings" w:hAnsi="Wingdings" w:hint="default"/>
      </w:rPr>
    </w:lvl>
  </w:abstractNum>
  <w:abstractNum w:abstractNumId="12" w15:restartNumberingAfterBreak="0">
    <w:nsid w:val="1C395FA8"/>
    <w:multiLevelType w:val="hybridMultilevel"/>
    <w:tmpl w:val="8F4A75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09356E5"/>
    <w:multiLevelType w:val="hybridMultilevel"/>
    <w:tmpl w:val="AA4839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86577EA"/>
    <w:multiLevelType w:val="hybridMultilevel"/>
    <w:tmpl w:val="21A63D98"/>
    <w:lvl w:ilvl="0" w:tplc="AE92A58A">
      <w:start w:val="1"/>
      <w:numFmt w:val="bullet"/>
      <w:pStyle w:val="ATSBullet1"/>
      <w:lvlText w:val=""/>
      <w:lvlJc w:val="left"/>
      <w:pPr>
        <w:tabs>
          <w:tab w:val="num" w:pos="360"/>
        </w:tabs>
        <w:ind w:left="360" w:hanging="360"/>
      </w:pPr>
      <w:rPr>
        <w:rFonts w:ascii="Symbol" w:hAnsi="Symbol" w:hint="default"/>
        <w:color w:val="auto"/>
      </w:rPr>
    </w:lvl>
    <w:lvl w:ilvl="1" w:tplc="1DDA848E" w:tentative="1">
      <w:start w:val="1"/>
      <w:numFmt w:val="bullet"/>
      <w:lvlText w:val="o"/>
      <w:lvlJc w:val="left"/>
      <w:pPr>
        <w:tabs>
          <w:tab w:val="num" w:pos="1440"/>
        </w:tabs>
        <w:ind w:left="1440" w:hanging="360"/>
      </w:pPr>
      <w:rPr>
        <w:rFonts w:ascii="Courier New" w:hAnsi="Courier New" w:cs="Courier New" w:hint="default"/>
      </w:rPr>
    </w:lvl>
    <w:lvl w:ilvl="2" w:tplc="99A0302E" w:tentative="1">
      <w:start w:val="1"/>
      <w:numFmt w:val="bullet"/>
      <w:lvlText w:val=""/>
      <w:lvlJc w:val="left"/>
      <w:pPr>
        <w:tabs>
          <w:tab w:val="num" w:pos="2160"/>
        </w:tabs>
        <w:ind w:left="2160" w:hanging="360"/>
      </w:pPr>
      <w:rPr>
        <w:rFonts w:ascii="Wingdings" w:hAnsi="Wingdings" w:hint="default"/>
      </w:rPr>
    </w:lvl>
    <w:lvl w:ilvl="3" w:tplc="A15A67CA" w:tentative="1">
      <w:start w:val="1"/>
      <w:numFmt w:val="bullet"/>
      <w:lvlText w:val=""/>
      <w:lvlJc w:val="left"/>
      <w:pPr>
        <w:tabs>
          <w:tab w:val="num" w:pos="2880"/>
        </w:tabs>
        <w:ind w:left="2880" w:hanging="360"/>
      </w:pPr>
      <w:rPr>
        <w:rFonts w:ascii="Symbol" w:hAnsi="Symbol" w:hint="default"/>
      </w:rPr>
    </w:lvl>
    <w:lvl w:ilvl="4" w:tplc="31CCDEDE" w:tentative="1">
      <w:start w:val="1"/>
      <w:numFmt w:val="bullet"/>
      <w:lvlText w:val="o"/>
      <w:lvlJc w:val="left"/>
      <w:pPr>
        <w:tabs>
          <w:tab w:val="num" w:pos="3600"/>
        </w:tabs>
        <w:ind w:left="3600" w:hanging="360"/>
      </w:pPr>
      <w:rPr>
        <w:rFonts w:ascii="Courier New" w:hAnsi="Courier New" w:cs="Courier New" w:hint="default"/>
      </w:rPr>
    </w:lvl>
    <w:lvl w:ilvl="5" w:tplc="7F927732" w:tentative="1">
      <w:start w:val="1"/>
      <w:numFmt w:val="bullet"/>
      <w:lvlText w:val=""/>
      <w:lvlJc w:val="left"/>
      <w:pPr>
        <w:tabs>
          <w:tab w:val="num" w:pos="4320"/>
        </w:tabs>
        <w:ind w:left="4320" w:hanging="360"/>
      </w:pPr>
      <w:rPr>
        <w:rFonts w:ascii="Wingdings" w:hAnsi="Wingdings" w:hint="default"/>
      </w:rPr>
    </w:lvl>
    <w:lvl w:ilvl="6" w:tplc="5F40987C" w:tentative="1">
      <w:start w:val="1"/>
      <w:numFmt w:val="bullet"/>
      <w:lvlText w:val=""/>
      <w:lvlJc w:val="left"/>
      <w:pPr>
        <w:tabs>
          <w:tab w:val="num" w:pos="5040"/>
        </w:tabs>
        <w:ind w:left="5040" w:hanging="360"/>
      </w:pPr>
      <w:rPr>
        <w:rFonts w:ascii="Symbol" w:hAnsi="Symbol" w:hint="default"/>
      </w:rPr>
    </w:lvl>
    <w:lvl w:ilvl="7" w:tplc="38B84A9A" w:tentative="1">
      <w:start w:val="1"/>
      <w:numFmt w:val="bullet"/>
      <w:lvlText w:val="o"/>
      <w:lvlJc w:val="left"/>
      <w:pPr>
        <w:tabs>
          <w:tab w:val="num" w:pos="5760"/>
        </w:tabs>
        <w:ind w:left="5760" w:hanging="360"/>
      </w:pPr>
      <w:rPr>
        <w:rFonts w:ascii="Courier New" w:hAnsi="Courier New" w:cs="Courier New" w:hint="default"/>
      </w:rPr>
    </w:lvl>
    <w:lvl w:ilvl="8" w:tplc="4ACCF0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B94B1C"/>
    <w:multiLevelType w:val="multilevel"/>
    <w:tmpl w:val="D1BA6372"/>
    <w:lvl w:ilvl="0">
      <w:start w:val="1"/>
      <w:numFmt w:val="decimal"/>
      <w:lvlText w:val="%1."/>
      <w:lvlJc w:val="left"/>
      <w:pPr>
        <w:ind w:left="720" w:hanging="360"/>
      </w:pPr>
      <w:rPr>
        <w:color w:val="auto"/>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3A26941"/>
    <w:multiLevelType w:val="hybridMultilevel"/>
    <w:tmpl w:val="516A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D35C15"/>
    <w:multiLevelType w:val="hybridMultilevel"/>
    <w:tmpl w:val="A8A2E45C"/>
    <w:lvl w:ilvl="0" w:tplc="2AEC2A52">
      <w:start w:val="1"/>
      <w:numFmt w:val="decimal"/>
      <w:lvlText w:val="%1)"/>
      <w:lvlJc w:val="left"/>
      <w:pPr>
        <w:tabs>
          <w:tab w:val="num" w:pos="340"/>
        </w:tabs>
        <w:ind w:left="340" w:hanging="340"/>
      </w:pPr>
      <w:rPr>
        <w:rFonts w:hint="default"/>
      </w:rPr>
    </w:lvl>
    <w:lvl w:ilvl="1" w:tplc="D2326480" w:tentative="1">
      <w:start w:val="1"/>
      <w:numFmt w:val="lowerLetter"/>
      <w:lvlText w:val="%2."/>
      <w:lvlJc w:val="left"/>
      <w:pPr>
        <w:tabs>
          <w:tab w:val="num" w:pos="1440"/>
        </w:tabs>
        <w:ind w:left="1440" w:hanging="360"/>
      </w:pPr>
    </w:lvl>
    <w:lvl w:ilvl="2" w:tplc="F4E0E8B0" w:tentative="1">
      <w:start w:val="1"/>
      <w:numFmt w:val="lowerRoman"/>
      <w:lvlText w:val="%3."/>
      <w:lvlJc w:val="right"/>
      <w:pPr>
        <w:tabs>
          <w:tab w:val="num" w:pos="2160"/>
        </w:tabs>
        <w:ind w:left="2160" w:hanging="180"/>
      </w:pPr>
    </w:lvl>
    <w:lvl w:ilvl="3" w:tplc="33C0B554" w:tentative="1">
      <w:start w:val="1"/>
      <w:numFmt w:val="decimal"/>
      <w:lvlText w:val="%4."/>
      <w:lvlJc w:val="left"/>
      <w:pPr>
        <w:tabs>
          <w:tab w:val="num" w:pos="2880"/>
        </w:tabs>
        <w:ind w:left="2880" w:hanging="360"/>
      </w:pPr>
    </w:lvl>
    <w:lvl w:ilvl="4" w:tplc="070E11D4" w:tentative="1">
      <w:start w:val="1"/>
      <w:numFmt w:val="lowerLetter"/>
      <w:lvlText w:val="%5."/>
      <w:lvlJc w:val="left"/>
      <w:pPr>
        <w:tabs>
          <w:tab w:val="num" w:pos="3600"/>
        </w:tabs>
        <w:ind w:left="3600" w:hanging="360"/>
      </w:pPr>
    </w:lvl>
    <w:lvl w:ilvl="5" w:tplc="574A48E0" w:tentative="1">
      <w:start w:val="1"/>
      <w:numFmt w:val="lowerRoman"/>
      <w:lvlText w:val="%6."/>
      <w:lvlJc w:val="right"/>
      <w:pPr>
        <w:tabs>
          <w:tab w:val="num" w:pos="4320"/>
        </w:tabs>
        <w:ind w:left="4320" w:hanging="180"/>
      </w:pPr>
    </w:lvl>
    <w:lvl w:ilvl="6" w:tplc="28E65E18" w:tentative="1">
      <w:start w:val="1"/>
      <w:numFmt w:val="decimal"/>
      <w:lvlText w:val="%7."/>
      <w:lvlJc w:val="left"/>
      <w:pPr>
        <w:tabs>
          <w:tab w:val="num" w:pos="5040"/>
        </w:tabs>
        <w:ind w:left="5040" w:hanging="360"/>
      </w:pPr>
    </w:lvl>
    <w:lvl w:ilvl="7" w:tplc="55AE4B78" w:tentative="1">
      <w:start w:val="1"/>
      <w:numFmt w:val="lowerLetter"/>
      <w:lvlText w:val="%8."/>
      <w:lvlJc w:val="left"/>
      <w:pPr>
        <w:tabs>
          <w:tab w:val="num" w:pos="5760"/>
        </w:tabs>
        <w:ind w:left="5760" w:hanging="360"/>
      </w:pPr>
    </w:lvl>
    <w:lvl w:ilvl="8" w:tplc="8BB2CBBA" w:tentative="1">
      <w:start w:val="1"/>
      <w:numFmt w:val="lowerRoman"/>
      <w:lvlText w:val="%9."/>
      <w:lvlJc w:val="right"/>
      <w:pPr>
        <w:tabs>
          <w:tab w:val="num" w:pos="6480"/>
        </w:tabs>
        <w:ind w:left="6480" w:hanging="180"/>
      </w:pPr>
    </w:lvl>
  </w:abstractNum>
  <w:abstractNum w:abstractNumId="18" w15:restartNumberingAfterBreak="0">
    <w:nsid w:val="4F64634E"/>
    <w:multiLevelType w:val="hybridMultilevel"/>
    <w:tmpl w:val="35AC54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6C57B19"/>
    <w:multiLevelType w:val="hybridMultilevel"/>
    <w:tmpl w:val="6FDA5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2F3AFA"/>
    <w:multiLevelType w:val="hybridMultilevel"/>
    <w:tmpl w:val="9DF09BE6"/>
    <w:lvl w:ilvl="0" w:tplc="23F4AB34">
      <w:start w:val="1"/>
      <w:numFmt w:val="decimal"/>
      <w:lvlText w:val="%1."/>
      <w:lvlJc w:val="left"/>
      <w:pPr>
        <w:tabs>
          <w:tab w:val="num" w:pos="1057"/>
        </w:tabs>
        <w:ind w:left="1057" w:hanging="360"/>
      </w:pPr>
      <w:rPr>
        <w:rFonts w:hint="default"/>
      </w:rPr>
    </w:lvl>
    <w:lvl w:ilvl="1" w:tplc="810661DE" w:tentative="1">
      <w:start w:val="1"/>
      <w:numFmt w:val="lowerLetter"/>
      <w:lvlText w:val="%2."/>
      <w:lvlJc w:val="left"/>
      <w:pPr>
        <w:tabs>
          <w:tab w:val="num" w:pos="2137"/>
        </w:tabs>
        <w:ind w:left="2137" w:hanging="360"/>
      </w:pPr>
    </w:lvl>
    <w:lvl w:ilvl="2" w:tplc="DFE4B548" w:tentative="1">
      <w:start w:val="1"/>
      <w:numFmt w:val="lowerRoman"/>
      <w:lvlText w:val="%3."/>
      <w:lvlJc w:val="right"/>
      <w:pPr>
        <w:tabs>
          <w:tab w:val="num" w:pos="2857"/>
        </w:tabs>
        <w:ind w:left="2857" w:hanging="180"/>
      </w:pPr>
    </w:lvl>
    <w:lvl w:ilvl="3" w:tplc="33DCC7E2" w:tentative="1">
      <w:start w:val="1"/>
      <w:numFmt w:val="decimal"/>
      <w:lvlText w:val="%4."/>
      <w:lvlJc w:val="left"/>
      <w:pPr>
        <w:tabs>
          <w:tab w:val="num" w:pos="3577"/>
        </w:tabs>
        <w:ind w:left="3577" w:hanging="360"/>
      </w:pPr>
    </w:lvl>
    <w:lvl w:ilvl="4" w:tplc="B0C4ECE4" w:tentative="1">
      <w:start w:val="1"/>
      <w:numFmt w:val="lowerLetter"/>
      <w:lvlText w:val="%5."/>
      <w:lvlJc w:val="left"/>
      <w:pPr>
        <w:tabs>
          <w:tab w:val="num" w:pos="4297"/>
        </w:tabs>
        <w:ind w:left="4297" w:hanging="360"/>
      </w:pPr>
    </w:lvl>
    <w:lvl w:ilvl="5" w:tplc="7480B27C" w:tentative="1">
      <w:start w:val="1"/>
      <w:numFmt w:val="lowerRoman"/>
      <w:lvlText w:val="%6."/>
      <w:lvlJc w:val="right"/>
      <w:pPr>
        <w:tabs>
          <w:tab w:val="num" w:pos="5017"/>
        </w:tabs>
        <w:ind w:left="5017" w:hanging="180"/>
      </w:pPr>
    </w:lvl>
    <w:lvl w:ilvl="6" w:tplc="C10C869A" w:tentative="1">
      <w:start w:val="1"/>
      <w:numFmt w:val="decimal"/>
      <w:lvlText w:val="%7."/>
      <w:lvlJc w:val="left"/>
      <w:pPr>
        <w:tabs>
          <w:tab w:val="num" w:pos="5737"/>
        </w:tabs>
        <w:ind w:left="5737" w:hanging="360"/>
      </w:pPr>
    </w:lvl>
    <w:lvl w:ilvl="7" w:tplc="616267FA" w:tentative="1">
      <w:start w:val="1"/>
      <w:numFmt w:val="lowerLetter"/>
      <w:lvlText w:val="%8."/>
      <w:lvlJc w:val="left"/>
      <w:pPr>
        <w:tabs>
          <w:tab w:val="num" w:pos="6457"/>
        </w:tabs>
        <w:ind w:left="6457" w:hanging="360"/>
      </w:pPr>
    </w:lvl>
    <w:lvl w:ilvl="8" w:tplc="7E4EF22E" w:tentative="1">
      <w:start w:val="1"/>
      <w:numFmt w:val="lowerRoman"/>
      <w:lvlText w:val="%9."/>
      <w:lvlJc w:val="right"/>
      <w:pPr>
        <w:tabs>
          <w:tab w:val="num" w:pos="7177"/>
        </w:tabs>
        <w:ind w:left="7177" w:hanging="180"/>
      </w:pPr>
    </w:lvl>
  </w:abstractNum>
  <w:abstractNum w:abstractNumId="21" w15:restartNumberingAfterBreak="0">
    <w:nsid w:val="6E1B3E4B"/>
    <w:multiLevelType w:val="hybridMultilevel"/>
    <w:tmpl w:val="518CCD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212657C"/>
    <w:multiLevelType w:val="hybridMultilevel"/>
    <w:tmpl w:val="0A8E2A84"/>
    <w:lvl w:ilvl="0" w:tplc="5622DDB2">
      <w:start w:val="1"/>
      <w:numFmt w:val="decimal"/>
      <w:pStyle w:val="ATSNumber1"/>
      <w:lvlText w:val="%1)"/>
      <w:lvlJc w:val="left"/>
      <w:pPr>
        <w:tabs>
          <w:tab w:val="num" w:pos="720"/>
        </w:tabs>
        <w:ind w:left="720" w:hanging="360"/>
      </w:pPr>
    </w:lvl>
    <w:lvl w:ilvl="1" w:tplc="78A4C232" w:tentative="1">
      <w:start w:val="1"/>
      <w:numFmt w:val="lowerLetter"/>
      <w:lvlText w:val="%2."/>
      <w:lvlJc w:val="left"/>
      <w:pPr>
        <w:tabs>
          <w:tab w:val="num" w:pos="1440"/>
        </w:tabs>
        <w:ind w:left="1440" w:hanging="360"/>
      </w:pPr>
    </w:lvl>
    <w:lvl w:ilvl="2" w:tplc="8FF2B760" w:tentative="1">
      <w:start w:val="1"/>
      <w:numFmt w:val="lowerRoman"/>
      <w:lvlText w:val="%3."/>
      <w:lvlJc w:val="right"/>
      <w:pPr>
        <w:tabs>
          <w:tab w:val="num" w:pos="2160"/>
        </w:tabs>
        <w:ind w:left="2160" w:hanging="180"/>
      </w:pPr>
    </w:lvl>
    <w:lvl w:ilvl="3" w:tplc="5C84C6B0" w:tentative="1">
      <w:start w:val="1"/>
      <w:numFmt w:val="decimal"/>
      <w:lvlText w:val="%4."/>
      <w:lvlJc w:val="left"/>
      <w:pPr>
        <w:tabs>
          <w:tab w:val="num" w:pos="2880"/>
        </w:tabs>
        <w:ind w:left="2880" w:hanging="360"/>
      </w:pPr>
    </w:lvl>
    <w:lvl w:ilvl="4" w:tplc="F9FAAE8E" w:tentative="1">
      <w:start w:val="1"/>
      <w:numFmt w:val="lowerLetter"/>
      <w:lvlText w:val="%5."/>
      <w:lvlJc w:val="left"/>
      <w:pPr>
        <w:tabs>
          <w:tab w:val="num" w:pos="3600"/>
        </w:tabs>
        <w:ind w:left="3600" w:hanging="360"/>
      </w:pPr>
    </w:lvl>
    <w:lvl w:ilvl="5" w:tplc="22D8FF84" w:tentative="1">
      <w:start w:val="1"/>
      <w:numFmt w:val="lowerRoman"/>
      <w:lvlText w:val="%6."/>
      <w:lvlJc w:val="right"/>
      <w:pPr>
        <w:tabs>
          <w:tab w:val="num" w:pos="4320"/>
        </w:tabs>
        <w:ind w:left="4320" w:hanging="180"/>
      </w:pPr>
    </w:lvl>
    <w:lvl w:ilvl="6" w:tplc="EF52A2EE" w:tentative="1">
      <w:start w:val="1"/>
      <w:numFmt w:val="decimal"/>
      <w:lvlText w:val="%7."/>
      <w:lvlJc w:val="left"/>
      <w:pPr>
        <w:tabs>
          <w:tab w:val="num" w:pos="5040"/>
        </w:tabs>
        <w:ind w:left="5040" w:hanging="360"/>
      </w:pPr>
    </w:lvl>
    <w:lvl w:ilvl="7" w:tplc="F746023C" w:tentative="1">
      <w:start w:val="1"/>
      <w:numFmt w:val="lowerLetter"/>
      <w:lvlText w:val="%8."/>
      <w:lvlJc w:val="left"/>
      <w:pPr>
        <w:tabs>
          <w:tab w:val="num" w:pos="5760"/>
        </w:tabs>
        <w:ind w:left="5760" w:hanging="360"/>
      </w:pPr>
    </w:lvl>
    <w:lvl w:ilvl="8" w:tplc="1A709C70" w:tentative="1">
      <w:start w:val="1"/>
      <w:numFmt w:val="lowerRoman"/>
      <w:lvlText w:val="%9."/>
      <w:lvlJc w:val="right"/>
      <w:pPr>
        <w:tabs>
          <w:tab w:val="num" w:pos="6480"/>
        </w:tabs>
        <w:ind w:left="6480" w:hanging="180"/>
      </w:pPr>
    </w:lvl>
  </w:abstractNum>
  <w:abstractNum w:abstractNumId="23" w15:restartNumberingAfterBreak="0">
    <w:nsid w:val="743D2161"/>
    <w:multiLevelType w:val="hybridMultilevel"/>
    <w:tmpl w:val="B0868D9E"/>
    <w:lvl w:ilvl="0" w:tplc="22DA78E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EC4F050" w:tentative="1">
      <w:start w:val="1"/>
      <w:numFmt w:val="bullet"/>
      <w:lvlText w:val="o"/>
      <w:lvlJc w:val="left"/>
      <w:pPr>
        <w:tabs>
          <w:tab w:val="num" w:pos="2517"/>
        </w:tabs>
        <w:ind w:left="2517" w:hanging="360"/>
      </w:pPr>
      <w:rPr>
        <w:rFonts w:ascii="Courier New" w:hAnsi="Courier New" w:cs="Courier New" w:hint="default"/>
      </w:rPr>
    </w:lvl>
    <w:lvl w:ilvl="2" w:tplc="E244F3E6" w:tentative="1">
      <w:start w:val="1"/>
      <w:numFmt w:val="bullet"/>
      <w:lvlText w:val=""/>
      <w:lvlJc w:val="left"/>
      <w:pPr>
        <w:tabs>
          <w:tab w:val="num" w:pos="3237"/>
        </w:tabs>
        <w:ind w:left="3237" w:hanging="360"/>
      </w:pPr>
      <w:rPr>
        <w:rFonts w:ascii="Wingdings" w:hAnsi="Wingdings" w:hint="default"/>
      </w:rPr>
    </w:lvl>
    <w:lvl w:ilvl="3" w:tplc="6C0A3038" w:tentative="1">
      <w:start w:val="1"/>
      <w:numFmt w:val="bullet"/>
      <w:lvlText w:val=""/>
      <w:lvlJc w:val="left"/>
      <w:pPr>
        <w:tabs>
          <w:tab w:val="num" w:pos="3957"/>
        </w:tabs>
        <w:ind w:left="3957" w:hanging="360"/>
      </w:pPr>
      <w:rPr>
        <w:rFonts w:ascii="Symbol" w:hAnsi="Symbol" w:hint="default"/>
      </w:rPr>
    </w:lvl>
    <w:lvl w:ilvl="4" w:tplc="58EE0594" w:tentative="1">
      <w:start w:val="1"/>
      <w:numFmt w:val="bullet"/>
      <w:lvlText w:val="o"/>
      <w:lvlJc w:val="left"/>
      <w:pPr>
        <w:tabs>
          <w:tab w:val="num" w:pos="4677"/>
        </w:tabs>
        <w:ind w:left="4677" w:hanging="360"/>
      </w:pPr>
      <w:rPr>
        <w:rFonts w:ascii="Courier New" w:hAnsi="Courier New" w:cs="Courier New" w:hint="default"/>
      </w:rPr>
    </w:lvl>
    <w:lvl w:ilvl="5" w:tplc="3E8C13CA" w:tentative="1">
      <w:start w:val="1"/>
      <w:numFmt w:val="bullet"/>
      <w:lvlText w:val=""/>
      <w:lvlJc w:val="left"/>
      <w:pPr>
        <w:tabs>
          <w:tab w:val="num" w:pos="5397"/>
        </w:tabs>
        <w:ind w:left="5397" w:hanging="360"/>
      </w:pPr>
      <w:rPr>
        <w:rFonts w:ascii="Wingdings" w:hAnsi="Wingdings" w:hint="default"/>
      </w:rPr>
    </w:lvl>
    <w:lvl w:ilvl="6" w:tplc="93B04F16" w:tentative="1">
      <w:start w:val="1"/>
      <w:numFmt w:val="bullet"/>
      <w:lvlText w:val=""/>
      <w:lvlJc w:val="left"/>
      <w:pPr>
        <w:tabs>
          <w:tab w:val="num" w:pos="6117"/>
        </w:tabs>
        <w:ind w:left="6117" w:hanging="360"/>
      </w:pPr>
      <w:rPr>
        <w:rFonts w:ascii="Symbol" w:hAnsi="Symbol" w:hint="default"/>
      </w:rPr>
    </w:lvl>
    <w:lvl w:ilvl="7" w:tplc="57829DB4" w:tentative="1">
      <w:start w:val="1"/>
      <w:numFmt w:val="bullet"/>
      <w:lvlText w:val="o"/>
      <w:lvlJc w:val="left"/>
      <w:pPr>
        <w:tabs>
          <w:tab w:val="num" w:pos="6837"/>
        </w:tabs>
        <w:ind w:left="6837" w:hanging="360"/>
      </w:pPr>
      <w:rPr>
        <w:rFonts w:ascii="Courier New" w:hAnsi="Courier New" w:cs="Courier New" w:hint="default"/>
      </w:rPr>
    </w:lvl>
    <w:lvl w:ilvl="8" w:tplc="AD507700" w:tentative="1">
      <w:start w:val="1"/>
      <w:numFmt w:val="bullet"/>
      <w:lvlText w:val=""/>
      <w:lvlJc w:val="left"/>
      <w:pPr>
        <w:tabs>
          <w:tab w:val="num" w:pos="7557"/>
        </w:tabs>
        <w:ind w:left="7557" w:hanging="360"/>
      </w:pPr>
      <w:rPr>
        <w:rFonts w:ascii="Wingdings" w:hAnsi="Wingdings" w:hint="default"/>
      </w:rPr>
    </w:lvl>
  </w:abstractNum>
  <w:abstractNum w:abstractNumId="24" w15:restartNumberingAfterBreak="0">
    <w:nsid w:val="7C866FC0"/>
    <w:multiLevelType w:val="hybridMultilevel"/>
    <w:tmpl w:val="57EA2900"/>
    <w:lvl w:ilvl="0" w:tplc="26A01300">
      <w:start w:val="1"/>
      <w:numFmt w:val="decimal"/>
      <w:pStyle w:val="ATSNumber2"/>
      <w:lvlText w:val="%1."/>
      <w:lvlJc w:val="left"/>
      <w:pPr>
        <w:tabs>
          <w:tab w:val="num" w:pos="720"/>
        </w:tabs>
        <w:ind w:left="720" w:hanging="360"/>
      </w:pPr>
      <w:rPr>
        <w:rFonts w:hint="default"/>
      </w:rPr>
    </w:lvl>
    <w:lvl w:ilvl="1" w:tplc="6CF680EE" w:tentative="1">
      <w:start w:val="1"/>
      <w:numFmt w:val="lowerLetter"/>
      <w:lvlText w:val="%2."/>
      <w:lvlJc w:val="left"/>
      <w:pPr>
        <w:tabs>
          <w:tab w:val="num" w:pos="1440"/>
        </w:tabs>
        <w:ind w:left="1440" w:hanging="360"/>
      </w:pPr>
    </w:lvl>
    <w:lvl w:ilvl="2" w:tplc="C088B1D8" w:tentative="1">
      <w:start w:val="1"/>
      <w:numFmt w:val="lowerRoman"/>
      <w:lvlText w:val="%3."/>
      <w:lvlJc w:val="right"/>
      <w:pPr>
        <w:tabs>
          <w:tab w:val="num" w:pos="2160"/>
        </w:tabs>
        <w:ind w:left="2160" w:hanging="180"/>
      </w:pPr>
    </w:lvl>
    <w:lvl w:ilvl="3" w:tplc="345C222C" w:tentative="1">
      <w:start w:val="1"/>
      <w:numFmt w:val="decimal"/>
      <w:lvlText w:val="%4."/>
      <w:lvlJc w:val="left"/>
      <w:pPr>
        <w:tabs>
          <w:tab w:val="num" w:pos="2880"/>
        </w:tabs>
        <w:ind w:left="2880" w:hanging="360"/>
      </w:pPr>
    </w:lvl>
    <w:lvl w:ilvl="4" w:tplc="37E6F56A" w:tentative="1">
      <w:start w:val="1"/>
      <w:numFmt w:val="lowerLetter"/>
      <w:lvlText w:val="%5."/>
      <w:lvlJc w:val="left"/>
      <w:pPr>
        <w:tabs>
          <w:tab w:val="num" w:pos="3600"/>
        </w:tabs>
        <w:ind w:left="3600" w:hanging="360"/>
      </w:pPr>
    </w:lvl>
    <w:lvl w:ilvl="5" w:tplc="9416A26E" w:tentative="1">
      <w:start w:val="1"/>
      <w:numFmt w:val="lowerRoman"/>
      <w:lvlText w:val="%6."/>
      <w:lvlJc w:val="right"/>
      <w:pPr>
        <w:tabs>
          <w:tab w:val="num" w:pos="4320"/>
        </w:tabs>
        <w:ind w:left="4320" w:hanging="180"/>
      </w:pPr>
    </w:lvl>
    <w:lvl w:ilvl="6" w:tplc="D76603FC" w:tentative="1">
      <w:start w:val="1"/>
      <w:numFmt w:val="decimal"/>
      <w:lvlText w:val="%7."/>
      <w:lvlJc w:val="left"/>
      <w:pPr>
        <w:tabs>
          <w:tab w:val="num" w:pos="5040"/>
        </w:tabs>
        <w:ind w:left="5040" w:hanging="360"/>
      </w:pPr>
    </w:lvl>
    <w:lvl w:ilvl="7" w:tplc="171E53E4" w:tentative="1">
      <w:start w:val="1"/>
      <w:numFmt w:val="lowerLetter"/>
      <w:lvlText w:val="%8."/>
      <w:lvlJc w:val="left"/>
      <w:pPr>
        <w:tabs>
          <w:tab w:val="num" w:pos="5760"/>
        </w:tabs>
        <w:ind w:left="5760" w:hanging="360"/>
      </w:pPr>
    </w:lvl>
    <w:lvl w:ilvl="8" w:tplc="E4DC7BD4" w:tentative="1">
      <w:start w:val="1"/>
      <w:numFmt w:val="lowerRoman"/>
      <w:lvlText w:val="%9."/>
      <w:lvlJc w:val="right"/>
      <w:pPr>
        <w:tabs>
          <w:tab w:val="num" w:pos="6480"/>
        </w:tabs>
        <w:ind w:left="6480" w:hanging="180"/>
      </w:pPr>
    </w:lvl>
  </w:abstractNum>
  <w:num w:numId="1" w16cid:durableId="1770080715">
    <w:abstractNumId w:val="9"/>
  </w:num>
  <w:num w:numId="2" w16cid:durableId="1446535831">
    <w:abstractNumId w:val="7"/>
  </w:num>
  <w:num w:numId="3" w16cid:durableId="1047218671">
    <w:abstractNumId w:val="6"/>
  </w:num>
  <w:num w:numId="4" w16cid:durableId="2116368378">
    <w:abstractNumId w:val="5"/>
  </w:num>
  <w:num w:numId="5" w16cid:durableId="1378773562">
    <w:abstractNumId w:val="4"/>
  </w:num>
  <w:num w:numId="6" w16cid:durableId="293220187">
    <w:abstractNumId w:val="8"/>
  </w:num>
  <w:num w:numId="7" w16cid:durableId="538007327">
    <w:abstractNumId w:val="3"/>
  </w:num>
  <w:num w:numId="8" w16cid:durableId="1182891552">
    <w:abstractNumId w:val="2"/>
  </w:num>
  <w:num w:numId="9" w16cid:durableId="1666349726">
    <w:abstractNumId w:val="1"/>
  </w:num>
  <w:num w:numId="10" w16cid:durableId="1242832240">
    <w:abstractNumId w:val="0"/>
  </w:num>
  <w:num w:numId="11" w16cid:durableId="258222657">
    <w:abstractNumId w:val="14"/>
  </w:num>
  <w:num w:numId="12" w16cid:durableId="881787058">
    <w:abstractNumId w:val="23"/>
  </w:num>
  <w:num w:numId="13" w16cid:durableId="1104376823">
    <w:abstractNumId w:val="22"/>
  </w:num>
  <w:num w:numId="14" w16cid:durableId="50202705">
    <w:abstractNumId w:val="17"/>
  </w:num>
  <w:num w:numId="15" w16cid:durableId="321781922">
    <w:abstractNumId w:val="20"/>
  </w:num>
  <w:num w:numId="16" w16cid:durableId="1148285858">
    <w:abstractNumId w:val="10"/>
  </w:num>
  <w:num w:numId="17" w16cid:durableId="1292706457">
    <w:abstractNumId w:val="14"/>
  </w:num>
  <w:num w:numId="18" w16cid:durableId="1526290741">
    <w:abstractNumId w:val="23"/>
  </w:num>
  <w:num w:numId="19" w16cid:durableId="1763986818">
    <w:abstractNumId w:val="22"/>
  </w:num>
  <w:num w:numId="20" w16cid:durableId="1695769093">
    <w:abstractNumId w:val="24"/>
  </w:num>
  <w:num w:numId="21" w16cid:durableId="1583758062">
    <w:abstractNumId w:val="12"/>
  </w:num>
  <w:num w:numId="22" w16cid:durableId="1854491915">
    <w:abstractNumId w:val="18"/>
  </w:num>
  <w:num w:numId="23" w16cid:durableId="1534921948">
    <w:abstractNumId w:val="13"/>
  </w:num>
  <w:num w:numId="24" w16cid:durableId="257716248">
    <w:abstractNumId w:val="11"/>
  </w:num>
  <w:num w:numId="25" w16cid:durableId="348727207">
    <w:abstractNumId w:val="21"/>
  </w:num>
  <w:num w:numId="26" w16cid:durableId="1739552372">
    <w:abstractNumId w:val="15"/>
  </w:num>
  <w:num w:numId="27" w16cid:durableId="331882734">
    <w:abstractNumId w:val="16"/>
  </w:num>
  <w:num w:numId="28" w16cid:durableId="2149716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D5"/>
    <w:rsid w:val="007302D5"/>
    <w:rsid w:val="00972F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18A19"/>
  <w15:chartTrackingRefBased/>
  <w15:docId w15:val="{56F901D8-DC97-4DED-97E8-C5091E1A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972F0C"/>
    <w:rPr>
      <w:rFonts w:ascii="Arial" w:hAnsi="Arial"/>
      <w:b/>
      <w:i/>
      <w:sz w:val="24"/>
      <w:szCs w:val="22"/>
      <w:lang w:val="en-GB" w:eastAsia="en-GB"/>
    </w:rPr>
  </w:style>
  <w:style w:type="character" w:customStyle="1" w:styleId="cf01">
    <w:name w:val="cf01"/>
    <w:basedOn w:val="Fuentedeprrafopredeter"/>
    <w:rsid w:val="00972F0C"/>
    <w:rPr>
      <w:rFonts w:ascii="Segoe UI" w:hAnsi="Segoe UI" w:cs="Segoe UI" w:hint="default"/>
      <w:sz w:val="18"/>
      <w:szCs w:val="18"/>
    </w:rPr>
  </w:style>
  <w:style w:type="character" w:customStyle="1" w:styleId="cf11">
    <w:name w:val="cf11"/>
    <w:basedOn w:val="Fuentedeprrafopredeter"/>
    <w:rsid w:val="00972F0C"/>
    <w:rPr>
      <w:rFonts w:ascii="Segoe UI" w:hAnsi="Segoe UI" w:cs="Segoe UI" w:hint="default"/>
      <w:sz w:val="18"/>
      <w:szCs w:val="18"/>
    </w:rPr>
  </w:style>
  <w:style w:type="character" w:customStyle="1" w:styleId="title-text">
    <w:name w:val="title-text"/>
    <w:basedOn w:val="Fuentedeprrafopredeter"/>
    <w:rsid w:val="00972F0C"/>
  </w:style>
  <w:style w:type="character" w:customStyle="1" w:styleId="resolver-links">
    <w:name w:val="resolver-links"/>
    <w:basedOn w:val="Fuentedeprrafopredeter"/>
    <w:qFormat/>
    <w:rsid w:val="00972F0C"/>
  </w:style>
  <w:style w:type="character" w:styleId="nfasis">
    <w:name w:val="Emphasis"/>
    <w:basedOn w:val="Fuentedeprrafopredeter"/>
    <w:uiPriority w:val="20"/>
    <w:qFormat/>
    <w:rsid w:val="00972F0C"/>
    <w:rPr>
      <w:i/>
      <w:iCs/>
    </w:rPr>
  </w:style>
  <w:style w:type="character" w:customStyle="1" w:styleId="personname">
    <w:name w:val="person_name"/>
    <w:basedOn w:val="Fuentedeprrafopredeter"/>
    <w:rsid w:val="00972F0C"/>
  </w:style>
  <w:style w:type="character" w:customStyle="1" w:styleId="markedcontent">
    <w:name w:val="markedcontent"/>
    <w:basedOn w:val="Fuentedeprrafopredeter"/>
    <w:rsid w:val="0097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journals/antarctic-science/article/need-for-increased-protection-of-antarcticas-inland-waters/1B89EF1A158F623E6112A35EE609FCE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mweltbundesamt.de/en/publikationen/risk-assessment-for-fildes-peninsula-ardley-isla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2346</Words>
  <Characters>14289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2023-05-02T11:29:00Z</dcterms:modified>
</cp:coreProperties>
</file>