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4477" w14:textId="77777777" w:rsidR="00C26F2D" w:rsidRPr="00BF077B" w:rsidRDefault="00135BA7" w:rsidP="00BF077B">
      <w:pPr>
        <w:pStyle w:val="ATSNormal"/>
        <w:rPr>
          <w:rStyle w:val="Ttulodellibro"/>
        </w:rPr>
      </w:pPr>
    </w:p>
    <w:p w14:paraId="213766E5" w14:textId="77777777" w:rsidR="002F0A13" w:rsidRDefault="00135BA7" w:rsidP="004B4A60">
      <w:pPr>
        <w:rPr>
          <w:b/>
          <w:u w:val="single"/>
          <w:lang w:val="es-ES_tradnl"/>
        </w:rPr>
      </w:pPr>
    </w:p>
    <w:p w14:paraId="6573149D" w14:textId="77777777" w:rsidR="002F0A13" w:rsidRDefault="00135BA7" w:rsidP="004B4A60">
      <w:pPr>
        <w:rPr>
          <w:b/>
          <w:u w:val="single"/>
          <w:lang w:val="es-ES_tradnl"/>
        </w:rPr>
      </w:pPr>
    </w:p>
    <w:p w14:paraId="0AEAB86F" w14:textId="77777777" w:rsidR="002F0A13" w:rsidRDefault="00135BA7" w:rsidP="004B4A60">
      <w:pPr>
        <w:rPr>
          <w:b/>
          <w:u w:val="single"/>
          <w:lang w:val="es-ES_tradnl"/>
        </w:rPr>
      </w:pPr>
    </w:p>
    <w:p w14:paraId="69B2354A" w14:textId="77777777" w:rsidR="002F0A13" w:rsidRDefault="00135BA7" w:rsidP="004B4A60">
      <w:pPr>
        <w:rPr>
          <w:b/>
          <w:u w:val="single"/>
          <w:lang w:val="es-ES_tradnl"/>
        </w:rPr>
      </w:pPr>
    </w:p>
    <w:p w14:paraId="74B35636" w14:textId="77777777" w:rsidR="00C26F2D" w:rsidRDefault="00135BA7" w:rsidP="004B4A60">
      <w:pPr>
        <w:rPr>
          <w:b/>
          <w:u w:val="single"/>
          <w:lang w:val="es-ES_tradnl"/>
        </w:rPr>
      </w:pPr>
    </w:p>
    <w:p w14:paraId="1EFF38E6" w14:textId="77777777" w:rsidR="004B4A60" w:rsidRPr="0057246E" w:rsidRDefault="00CE417F" w:rsidP="001B789F">
      <w:pPr>
        <w:pStyle w:val="ATSTitle"/>
      </w:pPr>
      <w:bookmarkStart w:id="0" w:name="name"/>
      <w:r>
        <w:t>The Climate and Cryosphere (CliC) Project of the World Climate Research Programme (WCRP)</w:t>
      </w:r>
      <w:bookmarkEnd w:id="0"/>
    </w:p>
    <w:p w14:paraId="40369CF5" w14:textId="77777777" w:rsidR="004B4A60" w:rsidRPr="0057246E" w:rsidRDefault="00135BA7" w:rsidP="00F75424">
      <w:pPr>
        <w:jc w:val="center"/>
      </w:pPr>
    </w:p>
    <w:p w14:paraId="0A302ED6" w14:textId="77777777" w:rsidR="004B4A60" w:rsidRPr="002F0A13" w:rsidRDefault="00135BA7" w:rsidP="002F0A13"/>
    <w:p w14:paraId="75817452" w14:textId="77777777" w:rsidR="004B4A60" w:rsidRDefault="00135BA7" w:rsidP="00F75424">
      <w:pPr>
        <w:jc w:val="center"/>
      </w:pPr>
      <w:bookmarkStart w:id="1" w:name="memo"/>
      <w:bookmarkEnd w:id="1"/>
    </w:p>
    <w:p w14:paraId="025870EB" w14:textId="77777777" w:rsidR="0097629D" w:rsidRDefault="00135BA7" w:rsidP="00F75424">
      <w:pPr>
        <w:jc w:val="center"/>
      </w:pPr>
    </w:p>
    <w:p w14:paraId="15F0960E" w14:textId="77777777" w:rsidR="0097629D" w:rsidRDefault="00135BA7" w:rsidP="00F75424">
      <w:pPr>
        <w:jc w:val="center"/>
      </w:pPr>
    </w:p>
    <w:p w14:paraId="49B950C8" w14:textId="77777777" w:rsidR="0097629D" w:rsidRDefault="00135BA7" w:rsidP="00F75424">
      <w:pPr>
        <w:jc w:val="center"/>
      </w:pPr>
    </w:p>
    <w:p w14:paraId="655CF440" w14:textId="77777777" w:rsidR="0097629D" w:rsidRPr="00C26F2D" w:rsidRDefault="00135BA7" w:rsidP="00F75424">
      <w:pPr>
        <w:jc w:val="center"/>
      </w:pPr>
    </w:p>
    <w:p w14:paraId="3A133529" w14:textId="77777777" w:rsidR="004B4A60" w:rsidRPr="0057246E" w:rsidRDefault="00135BA7" w:rsidP="004B4A60"/>
    <w:p w14:paraId="0DEB2DAE" w14:textId="77777777" w:rsidR="00C26F2D" w:rsidRDefault="00135BA7"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2442024" w14:textId="77777777" w:rsidR="004B4A60" w:rsidRDefault="00135BA7" w:rsidP="00952E9F"/>
    <w:p w14:paraId="77CDCA75" w14:textId="77777777" w:rsidR="00CE417F" w:rsidRPr="00F524AA" w:rsidRDefault="00CE417F" w:rsidP="00CE417F">
      <w:pPr>
        <w:spacing w:before="100" w:beforeAutospacing="1" w:after="100" w:afterAutospacing="1"/>
        <w:jc w:val="center"/>
        <w:rPr>
          <w:noProof/>
          <w:sz w:val="48"/>
          <w:szCs w:val="48"/>
          <w:lang w:val="en-US" w:eastAsia="en-GB"/>
        </w:rPr>
      </w:pPr>
      <w:r>
        <w:rPr>
          <w:rFonts w:ascii="Arial" w:hAnsi="Arial" w:cs="Arial"/>
          <w:b/>
          <w:bCs/>
          <w:noProof/>
          <w:sz w:val="32"/>
          <w:szCs w:val="32"/>
          <w:lang w:val="en-US" w:eastAsia="en-GB"/>
        </w:rPr>
        <w:t>The C</w:t>
      </w:r>
      <w:r w:rsidRPr="00F524AA">
        <w:rPr>
          <w:rFonts w:ascii="Arial" w:hAnsi="Arial" w:cs="Arial"/>
          <w:b/>
          <w:bCs/>
          <w:noProof/>
          <w:sz w:val="32"/>
          <w:szCs w:val="32"/>
          <w:lang w:val="en-US" w:eastAsia="en-GB"/>
        </w:rPr>
        <w:t>limate and Cryosphere (CliC) Project of the World Climate Research Programme (WCRP)</w:t>
      </w:r>
    </w:p>
    <w:p w14:paraId="2CDCF247" w14:textId="77777777" w:rsidR="00CE417F" w:rsidRPr="009A4235" w:rsidRDefault="00CE417F" w:rsidP="00CE417F">
      <w:pPr>
        <w:pStyle w:val="ATSHeading2"/>
        <w:rPr>
          <w:rFonts w:ascii="Times New Roman" w:hAnsi="Times New Roman"/>
        </w:rPr>
      </w:pPr>
      <w:r w:rsidRPr="009A4235">
        <w:rPr>
          <w:rFonts w:ascii="Times New Roman" w:hAnsi="Times New Roman"/>
        </w:rPr>
        <w:t>Summary</w:t>
      </w:r>
    </w:p>
    <w:p w14:paraId="3347465D" w14:textId="77777777" w:rsidR="00CE417F" w:rsidRPr="00F524AA" w:rsidRDefault="00CE417F" w:rsidP="00CE417F">
      <w:pPr>
        <w:pStyle w:val="ATSNormal"/>
        <w:jc w:val="both"/>
        <w:rPr>
          <w:lang w:val="en-NZ"/>
        </w:rPr>
      </w:pPr>
      <w:r w:rsidRPr="009A4235">
        <w:rPr>
          <w:color w:val="000000"/>
        </w:rPr>
        <w:t xml:space="preserve">The </w:t>
      </w:r>
      <w:r>
        <w:rPr>
          <w:color w:val="000000"/>
        </w:rPr>
        <w:t xml:space="preserve">World Climate Research Programme’s </w:t>
      </w:r>
      <w:r w:rsidRPr="00CF31B9">
        <w:rPr>
          <w:i/>
          <w:iCs/>
          <w:color w:val="000000"/>
        </w:rPr>
        <w:t>Climate and Cryosphere (</w:t>
      </w:r>
      <w:proofErr w:type="spellStart"/>
      <w:r w:rsidRPr="00CF31B9">
        <w:rPr>
          <w:i/>
          <w:iCs/>
          <w:color w:val="000000"/>
        </w:rPr>
        <w:t>CliC</w:t>
      </w:r>
      <w:proofErr w:type="spellEnd"/>
      <w:r w:rsidRPr="00CF31B9">
        <w:rPr>
          <w:i/>
          <w:iCs/>
          <w:color w:val="000000"/>
        </w:rPr>
        <w:t>)</w:t>
      </w:r>
      <w:r w:rsidRPr="009A4235">
        <w:rPr>
          <w:color w:val="000000"/>
        </w:rPr>
        <w:t xml:space="preserve"> </w:t>
      </w:r>
      <w:r>
        <w:rPr>
          <w:color w:val="000000"/>
        </w:rPr>
        <w:t xml:space="preserve">project is </w:t>
      </w:r>
      <w:r w:rsidRPr="009A4235">
        <w:rPr>
          <w:color w:val="000000"/>
        </w:rPr>
        <w:t xml:space="preserve">a global community of researchers with expertise and knowledge of the cryosphere </w:t>
      </w:r>
      <w:r>
        <w:rPr>
          <w:color w:val="000000"/>
        </w:rPr>
        <w:t>(</w:t>
      </w:r>
      <w:r w:rsidRPr="00480A50">
        <w:rPr>
          <w:rStyle w:val="markedcontent"/>
        </w:rPr>
        <w:t xml:space="preserve">polar seas, </w:t>
      </w:r>
      <w:r>
        <w:rPr>
          <w:rStyle w:val="markedcontent"/>
        </w:rPr>
        <w:t xml:space="preserve">permafrost, </w:t>
      </w:r>
      <w:r w:rsidRPr="00480A50">
        <w:rPr>
          <w:rStyle w:val="markedcontent"/>
        </w:rPr>
        <w:t>snow-covered land and glaciated regions, including ice sheets and mountainous areas</w:t>
      </w:r>
      <w:r>
        <w:rPr>
          <w:color w:val="000000"/>
        </w:rPr>
        <w:t xml:space="preserve">) </w:t>
      </w:r>
      <w:r w:rsidRPr="009A4235">
        <w:rPr>
          <w:color w:val="000000"/>
        </w:rPr>
        <w:t xml:space="preserve">and its interactions with the climate system. </w:t>
      </w:r>
      <w:r>
        <w:rPr>
          <w:color w:val="000000"/>
        </w:rPr>
        <w:t>A</w:t>
      </w:r>
      <w:r w:rsidRPr="009A4235">
        <w:rPr>
          <w:color w:val="000000"/>
        </w:rPr>
        <w:t xml:space="preserve">ctivities span </w:t>
      </w:r>
      <w:r w:rsidRPr="009A4235">
        <w:rPr>
          <w:lang w:eastAsia="en-US"/>
        </w:rPr>
        <w:t>observations, modelling, process understanding,</w:t>
      </w:r>
      <w:r w:rsidRPr="009A4235">
        <w:t xml:space="preserve"> </w:t>
      </w:r>
      <w:r w:rsidRPr="009A4235">
        <w:rPr>
          <w:lang w:eastAsia="en-US"/>
        </w:rPr>
        <w:t>predictions and projections</w:t>
      </w:r>
      <w:r w:rsidRPr="009A4235">
        <w:rPr>
          <w:color w:val="000000"/>
        </w:rPr>
        <w:t xml:space="preserve"> and cross-cutting activities</w:t>
      </w:r>
      <w:r>
        <w:rPr>
          <w:szCs w:val="22"/>
          <w:lang w:val="en-US"/>
        </w:rPr>
        <w:t xml:space="preserve">. Climate change is affecting Antarctica, and in return Antarctic change is impacting our planet. Here we present </w:t>
      </w:r>
      <w:proofErr w:type="spellStart"/>
      <w:r>
        <w:rPr>
          <w:szCs w:val="22"/>
          <w:lang w:val="en-US"/>
        </w:rPr>
        <w:t>CliC</w:t>
      </w:r>
      <w:proofErr w:type="spellEnd"/>
      <w:r>
        <w:rPr>
          <w:szCs w:val="22"/>
          <w:lang w:val="en-US"/>
        </w:rPr>
        <w:t xml:space="preserve"> endorsed activities in Antarctica and the Southern Ocean, </w:t>
      </w:r>
      <w:r>
        <w:t>a better understanding of: (</w:t>
      </w:r>
      <w:proofErr w:type="spellStart"/>
      <w:r>
        <w:t>i</w:t>
      </w:r>
      <w:proofErr w:type="spellEnd"/>
      <w:r>
        <w:t xml:space="preserve">) changes to the Antarctic outlet glaciers and ice sheets that have a direct impact on global sea level rise and (ii) changes in sea-ice extent </w:t>
      </w:r>
      <w:r>
        <w:rPr>
          <w:lang w:val="en-NZ"/>
        </w:rPr>
        <w:t xml:space="preserve">that may </w:t>
      </w:r>
      <w:r w:rsidRPr="004E50D5">
        <w:rPr>
          <w:lang w:val="en-NZ"/>
        </w:rPr>
        <w:t xml:space="preserve">accelerate surface warming, destabilising ice shelves leading to rapid and potentially unstoppable loss of up to one third of the Antarctica’s ice sheets. Moreover sea-ice loss weakens ocean circulation impacting </w:t>
      </w:r>
      <w:r>
        <w:rPr>
          <w:lang w:val="en-NZ"/>
        </w:rPr>
        <w:t xml:space="preserve">global </w:t>
      </w:r>
      <w:r w:rsidRPr="004E50D5">
        <w:rPr>
          <w:lang w:val="en-NZ"/>
        </w:rPr>
        <w:t xml:space="preserve">heat distribution, </w:t>
      </w:r>
      <w:r>
        <w:rPr>
          <w:lang w:val="en-NZ"/>
        </w:rPr>
        <w:t xml:space="preserve">and together with changes in marine biogeochemistry, </w:t>
      </w:r>
      <w:r w:rsidRPr="004E50D5">
        <w:rPr>
          <w:lang w:val="en-NZ"/>
        </w:rPr>
        <w:t>redu</w:t>
      </w:r>
      <w:r>
        <w:rPr>
          <w:lang w:val="en-NZ"/>
        </w:rPr>
        <w:t>ce</w:t>
      </w:r>
      <w:r w:rsidRPr="004E50D5">
        <w:rPr>
          <w:lang w:val="en-NZ"/>
        </w:rPr>
        <w:t xml:space="preserve"> nutrient supplies that currently support 75% of global ocean productivity</w:t>
      </w:r>
      <w:r>
        <w:rPr>
          <w:lang w:val="en-NZ"/>
        </w:rPr>
        <w:t xml:space="preserve"> and the ability of the </w:t>
      </w:r>
      <w:proofErr w:type="gramStart"/>
      <w:r>
        <w:rPr>
          <w:lang w:val="en-NZ"/>
        </w:rPr>
        <w:t xml:space="preserve">southern </w:t>
      </w:r>
      <w:r w:rsidRPr="004E50D5">
        <w:rPr>
          <w:lang w:val="en-NZ"/>
        </w:rPr>
        <w:t>ocean</w:t>
      </w:r>
      <w:proofErr w:type="gramEnd"/>
      <w:r w:rsidRPr="004E50D5">
        <w:rPr>
          <w:lang w:val="en-NZ"/>
        </w:rPr>
        <w:t xml:space="preserve"> </w:t>
      </w:r>
      <w:r>
        <w:rPr>
          <w:lang w:val="en-NZ"/>
        </w:rPr>
        <w:t xml:space="preserve">to </w:t>
      </w:r>
      <w:r w:rsidRPr="004E50D5">
        <w:rPr>
          <w:lang w:val="en-NZ"/>
        </w:rPr>
        <w:t>sto</w:t>
      </w:r>
      <w:r>
        <w:rPr>
          <w:lang w:val="en-NZ"/>
        </w:rPr>
        <w:t>re</w:t>
      </w:r>
      <w:r w:rsidRPr="004E50D5">
        <w:rPr>
          <w:lang w:val="en-NZ"/>
        </w:rPr>
        <w:t xml:space="preserve"> atmospheric CO</w:t>
      </w:r>
      <w:r w:rsidRPr="004E50D5">
        <w:rPr>
          <w:vertAlign w:val="subscript"/>
          <w:lang w:val="en-NZ"/>
        </w:rPr>
        <w:t>2</w:t>
      </w:r>
      <w:r>
        <w:rPr>
          <w:lang w:val="en-NZ"/>
        </w:rPr>
        <w:t>.</w:t>
      </w:r>
    </w:p>
    <w:p w14:paraId="50633CF2" w14:textId="77777777" w:rsidR="00CE417F" w:rsidRDefault="00CE417F" w:rsidP="00CE417F">
      <w:pPr>
        <w:pStyle w:val="ATSNormal"/>
        <w:jc w:val="both"/>
      </w:pPr>
      <w:proofErr w:type="spellStart"/>
      <w:r>
        <w:t>CliC</w:t>
      </w:r>
      <w:proofErr w:type="spellEnd"/>
      <w:r>
        <w:t xml:space="preserve"> is working closely with its partners to improve knowledge of these critical Antarctic climate change and ecosystem processes and related impacts, which are outlined in the new </w:t>
      </w:r>
      <w:hyperlink r:id="rId11" w:history="1">
        <w:proofErr w:type="spellStart"/>
        <w:r w:rsidRPr="00BB4707">
          <w:rPr>
            <w:rStyle w:val="Hipervnculo"/>
          </w:rPr>
          <w:t>CliC</w:t>
        </w:r>
        <w:proofErr w:type="spellEnd"/>
        <w:r w:rsidRPr="00BB4707">
          <w:rPr>
            <w:rStyle w:val="Hipervnculo"/>
          </w:rPr>
          <w:t xml:space="preserve"> strategic plan</w:t>
        </w:r>
      </w:hyperlink>
      <w:r>
        <w:t xml:space="preserve">. This work also directly addresses SCAR’s 2022 ACCE Decadal Synopsis Report which includes policy and research recommendations that were presented in ATCMXLIV WP30 rev.1 and ATCMXLIV WP31 rev.1 and recognised in ATCM XLIV Resolution 4 (2022). </w:t>
      </w:r>
      <w:proofErr w:type="spellStart"/>
      <w:r>
        <w:t>CliC</w:t>
      </w:r>
      <w:proofErr w:type="spellEnd"/>
      <w:r>
        <w:t xml:space="preserve"> plans to work with SCAR to provide regular information and updates to support the Parties in </w:t>
      </w:r>
      <w:proofErr w:type="gramStart"/>
      <w:r>
        <w:t>taking action</w:t>
      </w:r>
      <w:proofErr w:type="gramEnd"/>
      <w:r>
        <w:t xml:space="preserve"> on mitigation and adaptation.</w:t>
      </w:r>
    </w:p>
    <w:p w14:paraId="0A25DD9E" w14:textId="77777777" w:rsidR="00CE417F" w:rsidRDefault="00CE417F" w:rsidP="00CE417F">
      <w:pPr>
        <w:pStyle w:val="ATSNormal"/>
        <w:jc w:val="both"/>
      </w:pPr>
    </w:p>
    <w:p w14:paraId="69B3B7BC" w14:textId="77777777" w:rsidR="00CE417F" w:rsidRPr="005C4EE5" w:rsidRDefault="00CE417F" w:rsidP="00CE417F">
      <w:pPr>
        <w:pStyle w:val="ATSNormal"/>
        <w:snapToGrid w:val="0"/>
        <w:spacing w:before="240"/>
        <w:rPr>
          <w:b/>
          <w:bCs/>
          <w:sz w:val="24"/>
          <w:lang w:eastAsia="en-US"/>
        </w:rPr>
      </w:pPr>
      <w:r w:rsidRPr="005C4EE5">
        <w:rPr>
          <w:b/>
          <w:bCs/>
          <w:sz w:val="24"/>
          <w:lang w:eastAsia="en-US"/>
        </w:rPr>
        <w:t>Introduction</w:t>
      </w:r>
    </w:p>
    <w:p w14:paraId="2E9C901F" w14:textId="77777777" w:rsidR="00CE417F" w:rsidRPr="009A4235" w:rsidRDefault="00CE417F" w:rsidP="00CE417F">
      <w:pPr>
        <w:jc w:val="both"/>
        <w:rPr>
          <w:i/>
          <w:color w:val="000000"/>
        </w:rPr>
      </w:pPr>
      <w:r w:rsidRPr="009A4235">
        <w:rPr>
          <w:color w:val="000000"/>
        </w:rPr>
        <w:t>The Climate and Cryosphere (</w:t>
      </w:r>
      <w:proofErr w:type="spellStart"/>
      <w:r w:rsidRPr="009A4235">
        <w:rPr>
          <w:color w:val="000000"/>
        </w:rPr>
        <w:t>CliC</w:t>
      </w:r>
      <w:proofErr w:type="spellEnd"/>
      <w:r w:rsidRPr="009A4235">
        <w:rPr>
          <w:color w:val="000000"/>
        </w:rPr>
        <w:t>)</w:t>
      </w:r>
      <w:r>
        <w:rPr>
          <w:color w:val="000000"/>
        </w:rPr>
        <w:t xml:space="preserve"> Core Project of the World Climate Research Programme (WCRP) co-sponsored by WMO, </w:t>
      </w:r>
      <w:r w:rsidRPr="009A4235">
        <w:rPr>
          <w:color w:val="000000"/>
        </w:rPr>
        <w:t xml:space="preserve">is a global community of researchers with expertise and knowledge of the cryosphere and its interactions with the climate system. </w:t>
      </w:r>
      <w:proofErr w:type="spellStart"/>
      <w:r w:rsidRPr="009A4235">
        <w:rPr>
          <w:color w:val="000000"/>
        </w:rPr>
        <w:t>CliC</w:t>
      </w:r>
      <w:proofErr w:type="spellEnd"/>
      <w:r w:rsidRPr="009A4235">
        <w:rPr>
          <w:color w:val="000000"/>
        </w:rPr>
        <w:t xml:space="preserve"> identifies key research questions, priorities, gaps</w:t>
      </w:r>
      <w:r>
        <w:rPr>
          <w:color w:val="000000"/>
        </w:rPr>
        <w:t>,</w:t>
      </w:r>
      <w:r w:rsidRPr="009A4235">
        <w:rPr>
          <w:color w:val="000000"/>
        </w:rPr>
        <w:t xml:space="preserve"> and challenges pertaining to the cryosphere and its interaction with the global climate system and coordinates international activities to promote activities that address these matters. </w:t>
      </w:r>
      <w:proofErr w:type="spellStart"/>
      <w:r w:rsidRPr="009A4235">
        <w:rPr>
          <w:color w:val="000000"/>
        </w:rPr>
        <w:t>CliC</w:t>
      </w:r>
      <w:proofErr w:type="spellEnd"/>
      <w:r w:rsidRPr="009A4235">
        <w:rPr>
          <w:color w:val="000000"/>
        </w:rPr>
        <w:t xml:space="preserve"> highlights emerging issues, facilitates exchanges amongst scientist</w:t>
      </w:r>
      <w:r>
        <w:rPr>
          <w:color w:val="000000"/>
        </w:rPr>
        <w:t>s</w:t>
      </w:r>
      <w:r w:rsidRPr="009A4235">
        <w:rPr>
          <w:color w:val="000000"/>
        </w:rPr>
        <w:t xml:space="preserve"> and relevant external stakeholders, </w:t>
      </w:r>
      <w:r>
        <w:rPr>
          <w:color w:val="000000"/>
        </w:rPr>
        <w:t xml:space="preserve">and </w:t>
      </w:r>
      <w:r w:rsidRPr="009A4235">
        <w:rPr>
          <w:color w:val="000000"/>
        </w:rPr>
        <w:t>promotes international cooperation. The project also communicates cryosphere</w:t>
      </w:r>
      <w:r>
        <w:rPr>
          <w:color w:val="000000"/>
        </w:rPr>
        <w:t>-</w:t>
      </w:r>
      <w:r w:rsidRPr="009A4235">
        <w:rPr>
          <w:color w:val="000000"/>
        </w:rPr>
        <w:t xml:space="preserve">related science to policymakers, funding agencies, and the </w:t>
      </w:r>
      <w:proofErr w:type="gramStart"/>
      <w:r w:rsidRPr="009A4235">
        <w:rPr>
          <w:color w:val="000000"/>
        </w:rPr>
        <w:t>general public</w:t>
      </w:r>
      <w:proofErr w:type="gramEnd"/>
      <w:r w:rsidRPr="009A4235">
        <w:rPr>
          <w:color w:val="000000"/>
        </w:rPr>
        <w:t xml:space="preserve">. To ensure that we are preparing for the future, </w:t>
      </w:r>
      <w:proofErr w:type="spellStart"/>
      <w:r w:rsidRPr="009A4235">
        <w:rPr>
          <w:color w:val="000000"/>
        </w:rPr>
        <w:t>CliC</w:t>
      </w:r>
      <w:proofErr w:type="spellEnd"/>
      <w:r w:rsidRPr="009A4235">
        <w:rPr>
          <w:color w:val="000000"/>
        </w:rPr>
        <w:t xml:space="preserve"> </w:t>
      </w:r>
      <w:r>
        <w:rPr>
          <w:color w:val="000000"/>
        </w:rPr>
        <w:t xml:space="preserve">also </w:t>
      </w:r>
      <w:r w:rsidRPr="009A4235">
        <w:rPr>
          <w:color w:val="000000"/>
        </w:rPr>
        <w:t xml:space="preserve">promotes </w:t>
      </w:r>
      <w:r>
        <w:rPr>
          <w:color w:val="000000"/>
        </w:rPr>
        <w:t xml:space="preserve">the </w:t>
      </w:r>
      <w:r w:rsidRPr="009A4235">
        <w:rPr>
          <w:color w:val="000000"/>
        </w:rPr>
        <w:t xml:space="preserve">career development of Early Career Researchers, through </w:t>
      </w:r>
      <w:r>
        <w:rPr>
          <w:color w:val="000000"/>
        </w:rPr>
        <w:t xml:space="preserve">the provision of (normally annual) research </w:t>
      </w:r>
      <w:r w:rsidRPr="009A4235">
        <w:rPr>
          <w:color w:val="000000"/>
        </w:rPr>
        <w:t xml:space="preserve">grants. </w:t>
      </w:r>
    </w:p>
    <w:p w14:paraId="4751D385" w14:textId="77777777" w:rsidR="00CE417F" w:rsidRDefault="00CE417F" w:rsidP="00CE417F">
      <w:pPr>
        <w:pStyle w:val="ATSNormal"/>
        <w:jc w:val="both"/>
      </w:pPr>
      <w:r w:rsidRPr="009A4235">
        <w:rPr>
          <w:noProof/>
        </w:rPr>
        <w:lastRenderedPageBreak/>
        <w:drawing>
          <wp:anchor distT="0" distB="0" distL="114300" distR="114300" simplePos="0" relativeHeight="251659264" behindDoc="0" locked="0" layoutInCell="1" allowOverlap="1" wp14:anchorId="454184D1" wp14:editId="7D91205C">
            <wp:simplePos x="0" y="0"/>
            <wp:positionH relativeFrom="column">
              <wp:posOffset>28575</wp:posOffset>
            </wp:positionH>
            <wp:positionV relativeFrom="paragraph">
              <wp:posOffset>1593850</wp:posOffset>
            </wp:positionV>
            <wp:extent cx="1461135" cy="2060575"/>
            <wp:effectExtent l="0" t="0" r="0" b="0"/>
            <wp:wrapSquare wrapText="bothSides"/>
            <wp:docPr id="8" name="Picture 8" descr="A picture containing text, outdoor, snow, 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snow, i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1135" cy="2060575"/>
                    </a:xfrm>
                    <a:prstGeom prst="rect">
                      <a:avLst/>
                    </a:prstGeom>
                  </pic:spPr>
                </pic:pic>
              </a:graphicData>
            </a:graphic>
            <wp14:sizeRelH relativeFrom="page">
              <wp14:pctWidth>0</wp14:pctWidth>
            </wp14:sizeRelH>
            <wp14:sizeRelV relativeFrom="page">
              <wp14:pctHeight>0</wp14:pctHeight>
            </wp14:sizeRelV>
          </wp:anchor>
        </w:drawing>
      </w:r>
      <w:r>
        <w:rPr>
          <w:noProof/>
        </w:rPr>
        <w:t>For</w:t>
      </w:r>
      <w:r w:rsidRPr="009A4235">
        <w:rPr>
          <w:noProof/>
        </w:rPr>
        <w:t xml:space="preserve"> the</w:t>
      </w:r>
      <w:r w:rsidRPr="009A4235">
        <w:t xml:space="preserve"> upcoming decade</w:t>
      </w:r>
      <w:r w:rsidRPr="009A4235">
        <w:rPr>
          <w:lang w:eastAsia="en-US"/>
        </w:rPr>
        <w:t xml:space="preserve"> </w:t>
      </w:r>
      <w:proofErr w:type="spellStart"/>
      <w:r w:rsidRPr="009A4235">
        <w:t>CliC</w:t>
      </w:r>
      <w:proofErr w:type="spellEnd"/>
      <w:r w:rsidRPr="009A4235">
        <w:t xml:space="preserve"> </w:t>
      </w:r>
      <w:r>
        <w:t>has</w:t>
      </w:r>
      <w:r w:rsidRPr="009A4235">
        <w:t xml:space="preserve"> broaden</w:t>
      </w:r>
      <w:r>
        <w:t>ed</w:t>
      </w:r>
      <w:r w:rsidRPr="009A4235">
        <w:t xml:space="preserve"> its vision and mission to include research that is co-designed and executed with relevant stakeholders and user communities, while continuing to support </w:t>
      </w:r>
      <w:r>
        <w:t xml:space="preserve">fundamental science </w:t>
      </w:r>
      <w:r w:rsidRPr="009A4235">
        <w:t>research</w:t>
      </w:r>
      <w:r>
        <w:t xml:space="preserve"> on climate/cryosphere processes. The </w:t>
      </w:r>
      <w:hyperlink r:id="rId13" w:history="1">
        <w:proofErr w:type="spellStart"/>
        <w:r w:rsidRPr="00BB4707">
          <w:rPr>
            <w:rStyle w:val="Hipervnculo"/>
            <w:lang w:eastAsia="en-US"/>
          </w:rPr>
          <w:t>CliC</w:t>
        </w:r>
        <w:proofErr w:type="spellEnd"/>
        <w:r w:rsidRPr="00BB4707">
          <w:rPr>
            <w:rStyle w:val="Hipervnculo"/>
            <w:lang w:eastAsia="en-US"/>
          </w:rPr>
          <w:t xml:space="preserve"> Strategic Plan 2022-2031</w:t>
        </w:r>
      </w:hyperlink>
      <w:r>
        <w:rPr>
          <w:lang w:eastAsia="en-US"/>
        </w:rPr>
        <w:t xml:space="preserve"> is </w:t>
      </w:r>
      <w:r w:rsidRPr="009A4235">
        <w:rPr>
          <w:lang w:eastAsia="en-US"/>
        </w:rPr>
        <w:t xml:space="preserve">a response to </w:t>
      </w:r>
      <w:r>
        <w:rPr>
          <w:lang w:eastAsia="en-US"/>
        </w:rPr>
        <w:t>an</w:t>
      </w:r>
      <w:r w:rsidRPr="009A4235">
        <w:t xml:space="preserve"> improved understanding of the cryosphere</w:t>
      </w:r>
      <w:r>
        <w:t>. It reflects</w:t>
      </w:r>
      <w:r w:rsidRPr="009A4235">
        <w:t xml:space="preserve"> an increased awareness of the large impact that human activities are having on the planet and how these changes, in turn, are affecting human and natural systems. </w:t>
      </w:r>
      <w:r>
        <w:t>In</w:t>
      </w:r>
      <w:r w:rsidRPr="009A4235">
        <w:t xml:space="preserve"> the cryosphere, the rate of loss of land</w:t>
      </w:r>
      <w:r>
        <w:t xml:space="preserve"> </w:t>
      </w:r>
      <w:r w:rsidRPr="009A4235">
        <w:t>ice, sea ice, and permafrost, has rapidly increased over the last few decades</w:t>
      </w:r>
      <w:r>
        <w:t xml:space="preserve"> and continues to do so</w:t>
      </w:r>
      <w:r w:rsidRPr="009A4235">
        <w:t xml:space="preserve">, representing </w:t>
      </w:r>
      <w:r>
        <w:t>arguably</w:t>
      </w:r>
      <w:r w:rsidRPr="009A4235">
        <w:t xml:space="preserve"> the clearest planet</w:t>
      </w:r>
      <w:r>
        <w:t>ary</w:t>
      </w:r>
      <w:r w:rsidRPr="009A4235">
        <w:t>-wide response to human-induced global warming.</w:t>
      </w:r>
      <w:r>
        <w:t xml:space="preserve">  </w:t>
      </w:r>
    </w:p>
    <w:p w14:paraId="292C827D" w14:textId="77777777" w:rsidR="00CE417F" w:rsidRPr="009A4235" w:rsidRDefault="00CE417F" w:rsidP="00CE417F">
      <w:pPr>
        <w:pStyle w:val="ATSNormal"/>
        <w:jc w:val="both"/>
        <w:rPr>
          <w:color w:val="000000"/>
        </w:rPr>
      </w:pPr>
      <w:proofErr w:type="spellStart"/>
      <w:r w:rsidRPr="009A4235">
        <w:t>CliC</w:t>
      </w:r>
      <w:proofErr w:type="spellEnd"/>
      <w:r>
        <w:t xml:space="preserve"> strives to support </w:t>
      </w:r>
      <w:r w:rsidRPr="009A4235">
        <w:t>a system</w:t>
      </w:r>
      <w:r>
        <w:t>atic</w:t>
      </w:r>
      <w:r w:rsidRPr="009A4235">
        <w:t xml:space="preserve"> understanding of the cryosphere and its services </w:t>
      </w:r>
      <w:r>
        <w:t xml:space="preserve">by encouraging co-designed research projects between </w:t>
      </w:r>
      <w:r w:rsidRPr="009A4235">
        <w:t xml:space="preserve">natural and social scientists, stakeholders and affected communities. </w:t>
      </w:r>
      <w:proofErr w:type="spellStart"/>
      <w:r w:rsidRPr="009A4235">
        <w:rPr>
          <w:color w:val="000000"/>
        </w:rPr>
        <w:t>CliC´s</w:t>
      </w:r>
      <w:proofErr w:type="spellEnd"/>
      <w:r w:rsidRPr="009A4235">
        <w:rPr>
          <w:color w:val="000000"/>
        </w:rPr>
        <w:t xml:space="preserve"> new </w:t>
      </w:r>
      <w:r>
        <w:rPr>
          <w:color w:val="000000"/>
        </w:rPr>
        <w:t xml:space="preserve">decadal </w:t>
      </w:r>
      <w:r w:rsidRPr="009A4235">
        <w:rPr>
          <w:color w:val="000000"/>
        </w:rPr>
        <w:t>strategy aligns with the vision of</w:t>
      </w:r>
      <w:r>
        <w:rPr>
          <w:color w:val="000000"/>
        </w:rPr>
        <w:t xml:space="preserve"> the</w:t>
      </w:r>
      <w:r w:rsidRPr="009A4235">
        <w:rPr>
          <w:color w:val="000000"/>
        </w:rPr>
        <w:t xml:space="preserve"> </w:t>
      </w:r>
      <w:hyperlink r:id="rId14" w:history="1">
        <w:r w:rsidRPr="009A4235">
          <w:rPr>
            <w:rStyle w:val="Hipervnculo"/>
          </w:rPr>
          <w:t>WCRP Strategic Plan 2019-2028,</w:t>
        </w:r>
      </w:hyperlink>
      <w:r w:rsidRPr="009A4235">
        <w:rPr>
          <w:color w:val="000000"/>
        </w:rPr>
        <w:t xml:space="preserve"> </w:t>
      </w:r>
      <w:r>
        <w:rPr>
          <w:color w:val="000000"/>
        </w:rPr>
        <w:t xml:space="preserve">for </w:t>
      </w:r>
      <w:r w:rsidRPr="009A4235">
        <w:rPr>
          <w:color w:val="000000"/>
        </w:rPr>
        <w:t>“…</w:t>
      </w:r>
      <w:r w:rsidRPr="009A4235">
        <w:rPr>
          <w:i/>
          <w:iCs/>
          <w:color w:val="000000"/>
        </w:rPr>
        <w:t xml:space="preserve">sound, relevant, and timely climate science to ensure a more resilient present and sustainable future for humankind”, </w:t>
      </w:r>
      <w:r w:rsidRPr="009A4235">
        <w:rPr>
          <w:color w:val="000000"/>
        </w:rPr>
        <w:t xml:space="preserve">and </w:t>
      </w:r>
      <w:r>
        <w:rPr>
          <w:color w:val="000000"/>
        </w:rPr>
        <w:t xml:space="preserve">directly </w:t>
      </w:r>
      <w:r w:rsidRPr="009A4235">
        <w:rPr>
          <w:color w:val="000000"/>
        </w:rPr>
        <w:t>addresses the  strategic objective of</w:t>
      </w:r>
      <w:r w:rsidRPr="009A4235">
        <w:rPr>
          <w:i/>
          <w:iCs/>
          <w:color w:val="000000"/>
        </w:rPr>
        <w:t xml:space="preserve"> “bridging climate science and society</w:t>
      </w:r>
      <w:r>
        <w:rPr>
          <w:i/>
          <w:iCs/>
          <w:color w:val="000000"/>
        </w:rPr>
        <w:t>.</w:t>
      </w:r>
      <w:r w:rsidRPr="009A4235">
        <w:rPr>
          <w:color w:val="000000"/>
        </w:rPr>
        <w:t>”</w:t>
      </w:r>
      <w:r>
        <w:rPr>
          <w:color w:val="000000"/>
        </w:rPr>
        <w:t xml:space="preserve"> A key factor in implementing the strategy will be developing strong partnerships with other organisations (</w:t>
      </w:r>
      <w:proofErr w:type="gramStart"/>
      <w:r>
        <w:rPr>
          <w:color w:val="000000"/>
        </w:rPr>
        <w:t>e.g.</w:t>
      </w:r>
      <w:proofErr w:type="gramEnd"/>
      <w:r>
        <w:rPr>
          <w:color w:val="000000"/>
        </w:rPr>
        <w:t xml:space="preserve"> SCAR) with aligned priorities.</w:t>
      </w:r>
    </w:p>
    <w:p w14:paraId="2B96C1D7" w14:textId="77777777" w:rsidR="00CE417F" w:rsidRDefault="00CE417F" w:rsidP="00CE417F">
      <w:pPr>
        <w:pStyle w:val="ATSNormal"/>
        <w:rPr>
          <w:lang w:eastAsia="en-US"/>
        </w:rPr>
      </w:pPr>
      <w:r>
        <w:rPr>
          <w:lang w:eastAsia="en-US"/>
        </w:rPr>
        <w:t xml:space="preserve">Below, we describe </w:t>
      </w:r>
      <w:proofErr w:type="spellStart"/>
      <w:r w:rsidRPr="009A4235">
        <w:rPr>
          <w:lang w:eastAsia="en-US"/>
        </w:rPr>
        <w:t>CliC</w:t>
      </w:r>
      <w:proofErr w:type="spellEnd"/>
      <w:r>
        <w:rPr>
          <w:lang w:eastAsia="en-US"/>
        </w:rPr>
        <w:t xml:space="preserve"> endorsed activities </w:t>
      </w:r>
      <w:r w:rsidRPr="009A4235">
        <w:rPr>
          <w:lang w:eastAsia="en-US"/>
        </w:rPr>
        <w:t>in Antarctica and</w:t>
      </w:r>
      <w:r>
        <w:rPr>
          <w:lang w:eastAsia="en-US"/>
        </w:rPr>
        <w:t xml:space="preserve"> t</w:t>
      </w:r>
      <w:r w:rsidRPr="009A4235">
        <w:rPr>
          <w:lang w:eastAsia="en-US"/>
        </w:rPr>
        <w:t>he Southern Ocean</w:t>
      </w:r>
      <w:r>
        <w:rPr>
          <w:lang w:eastAsia="en-US"/>
        </w:rPr>
        <w:t xml:space="preserve"> that also deliver key information for IPCC </w:t>
      </w:r>
      <w:proofErr w:type="gramStart"/>
      <w:r>
        <w:rPr>
          <w:lang w:eastAsia="en-US"/>
        </w:rPr>
        <w:t>projections</w:t>
      </w:r>
      <w:proofErr w:type="gramEnd"/>
    </w:p>
    <w:p w14:paraId="51971312" w14:textId="77777777" w:rsidR="00CE417F" w:rsidRPr="009A4235" w:rsidRDefault="00CE417F" w:rsidP="00CE417F">
      <w:pPr>
        <w:pStyle w:val="ATSNormal"/>
        <w:rPr>
          <w:lang w:eastAsia="en-US"/>
        </w:rPr>
      </w:pPr>
    </w:p>
    <w:p w14:paraId="2BC37BB2" w14:textId="77777777" w:rsidR="00CE417F" w:rsidRPr="009B27FC" w:rsidRDefault="00CE417F" w:rsidP="00CE417F">
      <w:pPr>
        <w:snapToGrid w:val="0"/>
        <w:spacing w:before="120" w:after="120"/>
        <w:ind w:right="-28"/>
        <w:jc w:val="both"/>
        <w:rPr>
          <w:iCs/>
          <w:sz w:val="24"/>
          <w:u w:val="single"/>
        </w:rPr>
      </w:pPr>
      <w:r w:rsidRPr="009B27FC">
        <w:rPr>
          <w:iCs/>
          <w:sz w:val="24"/>
          <w:u w:val="single"/>
        </w:rPr>
        <w:t>Modelling</w:t>
      </w:r>
    </w:p>
    <w:p w14:paraId="056D338F" w14:textId="77777777" w:rsidR="00CE417F" w:rsidRPr="003354C5" w:rsidRDefault="00CE417F" w:rsidP="00CE417F">
      <w:pPr>
        <w:autoSpaceDE w:val="0"/>
        <w:autoSpaceDN w:val="0"/>
        <w:adjustRightInd w:val="0"/>
        <w:snapToGrid w:val="0"/>
        <w:spacing w:beforeLines="60" w:before="144" w:afterLines="60" w:after="144"/>
        <w:jc w:val="both"/>
        <w:rPr>
          <w:rFonts w:eastAsia="Calibri"/>
          <w:color w:val="000000"/>
        </w:rPr>
      </w:pPr>
      <w:r w:rsidRPr="009A4235">
        <w:t xml:space="preserve">The </w:t>
      </w:r>
      <w:r w:rsidRPr="009A4235">
        <w:rPr>
          <w:i/>
          <w:iCs/>
        </w:rPr>
        <w:t>Ice Sheet Model Intercomparison for CMIP6 (ISMIP6)</w:t>
      </w:r>
      <w:r w:rsidRPr="009A4235">
        <w:t xml:space="preserve"> has the key objective of improving projection</w:t>
      </w:r>
      <w:r>
        <w:t>s</w:t>
      </w:r>
      <w:r w:rsidRPr="009A4235">
        <w:t xml:space="preserve"> of </w:t>
      </w:r>
      <w:r>
        <w:t xml:space="preserve">ice mass contribution </w:t>
      </w:r>
      <w:r w:rsidRPr="009A4235">
        <w:t>from the Greenland and Antarctic ice sheets</w:t>
      </w:r>
      <w:r>
        <w:t xml:space="preserve"> to </w:t>
      </w:r>
      <w:r w:rsidRPr="009A4235">
        <w:t>sea level. As uncertainties in future sea level arise due to both the climate forcing and the response of the ice sheets, a primary focus for ISMIP6 was to become better integrated in the CMIP6 initiative. ISMIP6 became an endorsed activity of CMIP6 in 2015 allowing</w:t>
      </w:r>
      <w:r>
        <w:t>,</w:t>
      </w:r>
      <w:r w:rsidRPr="009A4235">
        <w:t xml:space="preserve"> for the first time in CMIP</w:t>
      </w:r>
      <w:r>
        <w:t>,</w:t>
      </w:r>
      <w:r w:rsidRPr="009A4235">
        <w:t xml:space="preserve"> ice sheets to be considered as a component of the Earth system.</w:t>
      </w:r>
      <w:r>
        <w:t xml:space="preserve"> ISMIP, with its partner SCAR-INSTANT, is also interested in reducing uncertainty through a better understanding of “low-confidence” processes that may promote instability of the Antarctic Ice sheet. </w:t>
      </w:r>
      <w:r w:rsidRPr="00455498">
        <w:rPr>
          <w:rFonts w:eastAsia="Calibri"/>
          <w:i/>
          <w:iCs/>
          <w:color w:val="000000"/>
        </w:rPr>
        <w:t>Contact</w:t>
      </w:r>
      <w:r>
        <w:rPr>
          <w:rFonts w:eastAsia="Calibri"/>
          <w:color w:val="000000"/>
        </w:rPr>
        <w:t xml:space="preserve">: </w:t>
      </w:r>
      <w:r w:rsidRPr="003354C5">
        <w:rPr>
          <w:rFonts w:eastAsia="Calibri"/>
          <w:color w:val="000000"/>
        </w:rPr>
        <w:t>Sophie Nowicki, University at Buffalo, USA</w:t>
      </w:r>
      <w:r>
        <w:rPr>
          <w:rFonts w:eastAsia="Calibri"/>
          <w:color w:val="000000"/>
        </w:rPr>
        <w:t xml:space="preserve"> (</w:t>
      </w:r>
      <w:hyperlink r:id="rId15" w:history="1">
        <w:r w:rsidRPr="001919C7">
          <w:rPr>
            <w:rStyle w:val="Hipervnculo"/>
            <w:rFonts w:eastAsia="Calibri"/>
          </w:rPr>
          <w:t>sophien@buffalo.edu</w:t>
        </w:r>
      </w:hyperlink>
      <w:r>
        <w:rPr>
          <w:rStyle w:val="Hipervnculo"/>
          <w:rFonts w:eastAsia="Calibri"/>
        </w:rPr>
        <w:t>)</w:t>
      </w:r>
      <w:r>
        <w:rPr>
          <w:rFonts w:eastAsia="Calibri"/>
          <w:color w:val="000000"/>
        </w:rPr>
        <w:t>.</w:t>
      </w:r>
    </w:p>
    <w:p w14:paraId="495FAAE6" w14:textId="77777777" w:rsidR="00CE417F" w:rsidRPr="003354C5" w:rsidRDefault="00CE417F" w:rsidP="00CE417F">
      <w:pPr>
        <w:snapToGrid w:val="0"/>
        <w:spacing w:beforeLines="60" w:before="144" w:afterLines="60" w:after="144"/>
        <w:jc w:val="both"/>
        <w:rPr>
          <w:rStyle w:val="Hipervnculo"/>
          <w:szCs w:val="22"/>
        </w:rPr>
      </w:pPr>
      <w:r w:rsidRPr="009A4235">
        <w:rPr>
          <w:iCs/>
        </w:rPr>
        <w:t xml:space="preserve">The aim of the </w:t>
      </w:r>
      <w:r w:rsidRPr="009A4235">
        <w:rPr>
          <w:i/>
        </w:rPr>
        <w:t>Marine Ice Sheet Ocean Model Intercomparison Project (MISOMIP</w:t>
      </w:r>
      <w:r w:rsidRPr="009A4235">
        <w:rPr>
          <w:iCs/>
        </w:rPr>
        <w:t xml:space="preserve">) is </w:t>
      </w:r>
      <w:r>
        <w:rPr>
          <w:iCs/>
        </w:rPr>
        <w:t>to address the uncertain role of ocean forcing on marine-based sectors of both the Greenland and Antarctic Ice Sheets. These regions have potential for rapid and irreversible threshold behaviour. This is achieved through nurturing</w:t>
      </w:r>
      <w:r w:rsidRPr="009A4235">
        <w:rPr>
          <w:iCs/>
        </w:rPr>
        <w:t xml:space="preserve"> strong </w:t>
      </w:r>
      <w:r>
        <w:rPr>
          <w:iCs/>
        </w:rPr>
        <w:t>relationships</w:t>
      </w:r>
      <w:r w:rsidRPr="009A4235">
        <w:rPr>
          <w:iCs/>
        </w:rPr>
        <w:t xml:space="preserve"> between the ocean and ice-sheet modelling communities and to further investigate the robustness and biases of ocean and/or ice-sheet models in a range of Antarctic environments. </w:t>
      </w:r>
      <w:r>
        <w:rPr>
          <w:iCs/>
        </w:rPr>
        <w:t>P</w:t>
      </w:r>
      <w:r w:rsidRPr="009A4235">
        <w:t>hase 2</w:t>
      </w:r>
      <w:r>
        <w:t xml:space="preserve"> of MISOMIP will </w:t>
      </w:r>
      <w:r w:rsidRPr="009A4235">
        <w:t>provide a platform to assess the ability of ocean models to simulate melt rates for different realistic forcings and variable cavity geometries and assess the sensitivity of ice dynamics to various perturbations in a realistic environment.</w:t>
      </w:r>
      <w:r>
        <w:t xml:space="preserve"> </w:t>
      </w:r>
      <w:r w:rsidRPr="00455498">
        <w:rPr>
          <w:i/>
          <w:iCs/>
        </w:rPr>
        <w:t>Contact</w:t>
      </w:r>
      <w:r>
        <w:rPr>
          <w:i/>
          <w:iCs/>
        </w:rPr>
        <w:t>s</w:t>
      </w:r>
      <w:r>
        <w:t>:</w:t>
      </w:r>
      <w:r w:rsidRPr="008661D9">
        <w:rPr>
          <w:szCs w:val="22"/>
        </w:rPr>
        <w:t xml:space="preserve"> </w:t>
      </w:r>
      <w:r w:rsidRPr="003354C5">
        <w:rPr>
          <w:szCs w:val="22"/>
        </w:rPr>
        <w:t xml:space="preserve">Jan De </w:t>
      </w:r>
      <w:proofErr w:type="spellStart"/>
      <w:r w:rsidRPr="003354C5">
        <w:rPr>
          <w:szCs w:val="22"/>
        </w:rPr>
        <w:t>Rydt</w:t>
      </w:r>
      <w:proofErr w:type="spellEnd"/>
      <w:r>
        <w:rPr>
          <w:szCs w:val="22"/>
        </w:rPr>
        <w:t>, Northumbria University, UK (</w:t>
      </w:r>
      <w:hyperlink r:id="rId16" w:history="1">
        <w:r w:rsidRPr="003354C5">
          <w:rPr>
            <w:rStyle w:val="Hipervnculo"/>
            <w:szCs w:val="22"/>
          </w:rPr>
          <w:t>jan.rydt@northumbria.ac.uk</w:t>
        </w:r>
      </w:hyperlink>
      <w:r>
        <w:rPr>
          <w:rStyle w:val="Hipervnculo"/>
          <w:szCs w:val="22"/>
        </w:rPr>
        <w:t xml:space="preserve">); </w:t>
      </w:r>
      <w:r w:rsidRPr="003354C5">
        <w:rPr>
          <w:szCs w:val="22"/>
        </w:rPr>
        <w:t>Nicolas Jourdain,</w:t>
      </w:r>
      <w:r>
        <w:rPr>
          <w:szCs w:val="22"/>
        </w:rPr>
        <w:t xml:space="preserve"> U. Grenoble, France (</w:t>
      </w:r>
      <w:hyperlink r:id="rId17" w:history="1">
        <w:r w:rsidRPr="003354C5">
          <w:rPr>
            <w:rStyle w:val="Hipervnculo"/>
            <w:szCs w:val="22"/>
          </w:rPr>
          <w:t>nicolas.jourdain@univ-grenoble-alpes.fr</w:t>
        </w:r>
      </w:hyperlink>
      <w:r>
        <w:rPr>
          <w:rStyle w:val="Hipervnculo"/>
          <w:szCs w:val="22"/>
        </w:rPr>
        <w:t>)</w:t>
      </w:r>
    </w:p>
    <w:p w14:paraId="762C0B00" w14:textId="77777777" w:rsidR="00CE417F" w:rsidRPr="00F524AA" w:rsidRDefault="00CE417F" w:rsidP="00CE417F">
      <w:pPr>
        <w:snapToGrid w:val="0"/>
        <w:spacing w:beforeLines="60" w:before="144" w:afterLines="60" w:after="144"/>
        <w:ind w:right="-30"/>
        <w:jc w:val="both"/>
        <w:rPr>
          <w:lang w:val="fr-CH"/>
        </w:rPr>
      </w:pPr>
      <w:r w:rsidRPr="009A4235">
        <w:t xml:space="preserve">The </w:t>
      </w:r>
      <w:r w:rsidRPr="009A4235">
        <w:rPr>
          <w:i/>
          <w:iCs/>
        </w:rPr>
        <w:t>Land Surface, Snow and Soil Moisture Intercomparison Project (LS3MIP)</w:t>
      </w:r>
      <w:r w:rsidRPr="009A4235">
        <w:t xml:space="preserve"> is an endorsed subproject of CMIP6. The </w:t>
      </w:r>
      <w:r w:rsidRPr="009A4235">
        <w:rPr>
          <w:i/>
          <w:iCs/>
        </w:rPr>
        <w:t>ESM Snow Model Intercomparison (ESM-</w:t>
      </w:r>
      <w:proofErr w:type="spellStart"/>
      <w:r w:rsidRPr="009A4235">
        <w:rPr>
          <w:i/>
          <w:iCs/>
        </w:rPr>
        <w:t>SnowMIP</w:t>
      </w:r>
      <w:proofErr w:type="spellEnd"/>
      <w:r w:rsidRPr="009A4235">
        <w:t>) is an extension to LS3MIP focusing on the evaluation of the representation of snow in global and dedicated process models. In addition to global land surface and coupled simulations like LS3MIP, ESM-</w:t>
      </w:r>
      <w:proofErr w:type="spellStart"/>
      <w:r w:rsidRPr="009A4235">
        <w:t>SnowMIP</w:t>
      </w:r>
      <w:proofErr w:type="spellEnd"/>
      <w:r w:rsidRPr="009A4235">
        <w:t xml:space="preserve"> also includes site-scale simulations designed to evaluate model performance at local scales.</w:t>
      </w:r>
      <w:r>
        <w:t xml:space="preserve"> </w:t>
      </w:r>
      <w:proofErr w:type="gramStart"/>
      <w:r w:rsidRPr="00F524AA">
        <w:rPr>
          <w:i/>
          <w:iCs/>
          <w:lang w:val="fr-CH"/>
        </w:rPr>
        <w:t>Contact</w:t>
      </w:r>
      <w:r w:rsidRPr="00F524AA">
        <w:rPr>
          <w:lang w:val="fr-CH"/>
        </w:rPr>
        <w:t>:</w:t>
      </w:r>
      <w:proofErr w:type="gramEnd"/>
      <w:r w:rsidRPr="00F524AA">
        <w:rPr>
          <w:lang w:val="fr-CH"/>
        </w:rPr>
        <w:t xml:space="preserve"> Gerhard </w:t>
      </w:r>
      <w:proofErr w:type="spellStart"/>
      <w:r w:rsidRPr="00F524AA">
        <w:rPr>
          <w:lang w:val="fr-CH"/>
        </w:rPr>
        <w:t>Krinner</w:t>
      </w:r>
      <w:proofErr w:type="spellEnd"/>
      <w:r w:rsidRPr="00F524AA">
        <w:rPr>
          <w:lang w:val="fr-CH"/>
        </w:rPr>
        <w:t>, Institut des Géosciences de l´</w:t>
      </w:r>
      <w:proofErr w:type="spellStart"/>
      <w:r w:rsidRPr="00F524AA">
        <w:rPr>
          <w:lang w:val="fr-CH"/>
        </w:rPr>
        <w:t>Environment</w:t>
      </w:r>
      <w:proofErr w:type="spellEnd"/>
      <w:r w:rsidRPr="00F524AA">
        <w:rPr>
          <w:lang w:val="fr-CH"/>
        </w:rPr>
        <w:t>, France  (</w:t>
      </w:r>
      <w:hyperlink r:id="rId18" w:history="1">
        <w:r w:rsidRPr="00F524AA">
          <w:rPr>
            <w:rStyle w:val="Hipervnculo"/>
            <w:lang w:val="fr-CH"/>
          </w:rPr>
          <w:t>gerhard.krinner</w:t>
        </w:r>
      </w:hyperlink>
      <w:hyperlink r:id="rId19">
        <w:r w:rsidRPr="00F524AA">
          <w:rPr>
            <w:color w:val="0000FF"/>
            <w:u w:val="single"/>
            <w:lang w:val="fr-CH"/>
          </w:rPr>
          <w:t>@</w:t>
        </w:r>
      </w:hyperlink>
      <w:hyperlink r:id="rId20">
        <w:r w:rsidRPr="00F524AA">
          <w:rPr>
            <w:color w:val="0563C1"/>
            <w:u w:val="single"/>
            <w:lang w:val="fr-CH"/>
          </w:rPr>
          <w:t>cnrs.fr</w:t>
        </w:r>
      </w:hyperlink>
      <w:r w:rsidRPr="00F524AA">
        <w:rPr>
          <w:lang w:val="fr-CH"/>
        </w:rPr>
        <w:t>)</w:t>
      </w:r>
    </w:p>
    <w:p w14:paraId="12AEE9DA" w14:textId="77777777" w:rsidR="00CE417F" w:rsidRPr="003354C5" w:rsidRDefault="00CE417F" w:rsidP="00CE417F">
      <w:pPr>
        <w:snapToGrid w:val="0"/>
        <w:spacing w:beforeLines="60" w:before="144" w:afterLines="60" w:after="144"/>
        <w:ind w:right="-28"/>
        <w:jc w:val="both"/>
        <w:rPr>
          <w:color w:val="0563C1"/>
          <w:u w:val="single"/>
        </w:rPr>
      </w:pPr>
      <w:r w:rsidRPr="009A4235">
        <w:lastRenderedPageBreak/>
        <w:t xml:space="preserve">The </w:t>
      </w:r>
      <w:r w:rsidRPr="009A4235">
        <w:rPr>
          <w:i/>
          <w:iCs/>
        </w:rPr>
        <w:t>Global Scale Glacier Intercomparison Model Project (</w:t>
      </w:r>
      <w:proofErr w:type="spellStart"/>
      <w:r w:rsidRPr="009A4235">
        <w:rPr>
          <w:i/>
          <w:iCs/>
        </w:rPr>
        <w:t>GlacierMIP</w:t>
      </w:r>
      <w:proofErr w:type="spellEnd"/>
      <w:r w:rsidRPr="009A4235">
        <w:t>) is a model intercomparison project focusing on all glaciers in the world outside the ice sheets. It provides a framework for a coordinated intercomparison of global-scale glacier evolution models, to foster model improvements and reduce uncertainties in global glacier projections and related sea-level projections.</w:t>
      </w:r>
      <w:r>
        <w:t xml:space="preserve"> </w:t>
      </w:r>
      <w:r w:rsidRPr="00455498">
        <w:rPr>
          <w:i/>
          <w:iCs/>
        </w:rPr>
        <w:t>Contact</w:t>
      </w:r>
      <w:r>
        <w:rPr>
          <w:i/>
          <w:iCs/>
        </w:rPr>
        <w:t>s</w:t>
      </w:r>
      <w:r>
        <w:t>:</w:t>
      </w:r>
      <w:r w:rsidRPr="00CC68E0">
        <w:t xml:space="preserve"> </w:t>
      </w:r>
      <w:r w:rsidRPr="003354C5">
        <w:t>Regine Hock, University of Oslo, Norway</w:t>
      </w:r>
      <w:r>
        <w:t xml:space="preserve"> (</w:t>
      </w:r>
      <w:hyperlink r:id="rId21">
        <w:r w:rsidRPr="003354C5">
          <w:rPr>
            <w:color w:val="0563C1"/>
            <w:u w:val="single"/>
          </w:rPr>
          <w:t>regine.hock@geo.uio.no</w:t>
        </w:r>
      </w:hyperlink>
      <w:r>
        <w:rPr>
          <w:color w:val="0563C1"/>
          <w:u w:val="single"/>
        </w:rPr>
        <w:t xml:space="preserve">); </w:t>
      </w:r>
      <w:r w:rsidRPr="003354C5">
        <w:t xml:space="preserve">Ben </w:t>
      </w:r>
      <w:proofErr w:type="spellStart"/>
      <w:r w:rsidRPr="003354C5">
        <w:t>Marzeion</w:t>
      </w:r>
      <w:proofErr w:type="spellEnd"/>
      <w:r w:rsidRPr="003354C5">
        <w:t xml:space="preserve">, University of Bremen, Germany </w:t>
      </w:r>
      <w:r>
        <w:t>(</w:t>
      </w:r>
      <w:hyperlink r:id="rId22" w:history="1">
        <w:r w:rsidRPr="001919C7">
          <w:rPr>
            <w:rStyle w:val="Hipervnculo"/>
          </w:rPr>
          <w:t>ben.marzeion@uni-bremen.de</w:t>
        </w:r>
      </w:hyperlink>
      <w:r>
        <w:rPr>
          <w:color w:val="0563C1"/>
          <w:u w:val="single"/>
        </w:rPr>
        <w:t>)</w:t>
      </w:r>
    </w:p>
    <w:p w14:paraId="5B4E0492" w14:textId="77777777" w:rsidR="00CE417F" w:rsidRPr="003354C5" w:rsidRDefault="00CE417F" w:rsidP="00CE417F">
      <w:pPr>
        <w:snapToGrid w:val="0"/>
        <w:spacing w:beforeLines="60" w:before="144" w:afterLines="60" w:after="144"/>
        <w:ind w:right="-28"/>
        <w:jc w:val="both"/>
        <w:rPr>
          <w:color w:val="000000"/>
        </w:rPr>
      </w:pPr>
      <w:r w:rsidRPr="009A4235">
        <w:rPr>
          <w:color w:val="000000"/>
        </w:rPr>
        <w:t xml:space="preserve">The </w:t>
      </w:r>
      <w:r w:rsidRPr="009A4235">
        <w:rPr>
          <w:i/>
          <w:iCs/>
          <w:color w:val="000000"/>
        </w:rPr>
        <w:t>Diagnostic Sea Ice Intercomparison Model Project (SIMIP)</w:t>
      </w:r>
      <w:r w:rsidRPr="009A4235">
        <w:rPr>
          <w:color w:val="000000"/>
        </w:rPr>
        <w:t xml:space="preserve"> contributes to a better understanding of the role of sea ice </w:t>
      </w:r>
      <w:r>
        <w:rPr>
          <w:color w:val="000000"/>
        </w:rPr>
        <w:t>in</w:t>
      </w:r>
      <w:r w:rsidRPr="009A4235">
        <w:rPr>
          <w:color w:val="000000"/>
        </w:rPr>
        <w:t xml:space="preserve"> the changing climate of our planet. </w:t>
      </w:r>
      <w:r>
        <w:rPr>
          <w:color w:val="000000"/>
        </w:rPr>
        <w:t>They</w:t>
      </w:r>
      <w:r w:rsidRPr="009A4235">
        <w:rPr>
          <w:color w:val="000000"/>
        </w:rPr>
        <w:t xml:space="preserve"> coordinate large-scale model simulations and facilitate the exchange of ideas between modelers and observers through joint workshops. As part of th</w:t>
      </w:r>
      <w:r>
        <w:rPr>
          <w:color w:val="000000"/>
        </w:rPr>
        <w:t>is</w:t>
      </w:r>
      <w:r w:rsidRPr="009A4235">
        <w:rPr>
          <w:color w:val="000000"/>
        </w:rPr>
        <w:t xml:space="preserve"> effort, the Diagnostic Sea Ice Model Intercomparison Project (SIMIP) facilitates process-based model analysis of sea ice in CMIP6, through an updated variable request, community coordination, and workshops. </w:t>
      </w:r>
      <w:r w:rsidRPr="009A4235">
        <w:t>SIMIP is an endorsed diagnostic MIP for CMIP6 that defines a list of variables to understand the evolution of sea ice in any experiment using the sea ice model as part of CMIP6.</w:t>
      </w:r>
      <w:r>
        <w:t xml:space="preserve"> </w:t>
      </w:r>
      <w:r w:rsidRPr="00455498">
        <w:rPr>
          <w:i/>
          <w:iCs/>
        </w:rPr>
        <w:t>Contact</w:t>
      </w:r>
      <w:r>
        <w:rPr>
          <w:i/>
          <w:iCs/>
        </w:rPr>
        <w:t>s</w:t>
      </w:r>
      <w:r>
        <w:t xml:space="preserve">: </w:t>
      </w:r>
      <w:r w:rsidRPr="003354C5">
        <w:t>Alexandra Jahn, University of Colorado, Boulder, USA</w:t>
      </w:r>
      <w:r>
        <w:t xml:space="preserve"> (</w:t>
      </w:r>
      <w:hyperlink r:id="rId23" w:history="1">
        <w:r w:rsidRPr="001919C7">
          <w:rPr>
            <w:rStyle w:val="Hipervnculo"/>
            <w:i/>
          </w:rPr>
          <w:t>Alexandra.Jahn@Colorado.edu</w:t>
        </w:r>
      </w:hyperlink>
      <w:r>
        <w:rPr>
          <w:i/>
          <w:color w:val="0563C1"/>
          <w:u w:val="single"/>
        </w:rPr>
        <w:t xml:space="preserve">); </w:t>
      </w:r>
      <w:r w:rsidRPr="003354C5">
        <w:rPr>
          <w:color w:val="000000"/>
        </w:rPr>
        <w:t xml:space="preserve">Dirk </w:t>
      </w:r>
      <w:proofErr w:type="spellStart"/>
      <w:r w:rsidRPr="003354C5">
        <w:rPr>
          <w:color w:val="000000"/>
        </w:rPr>
        <w:t>Notz</w:t>
      </w:r>
      <w:proofErr w:type="spellEnd"/>
      <w:r w:rsidRPr="003354C5">
        <w:rPr>
          <w:color w:val="000000"/>
        </w:rPr>
        <w:t>, MPI/University of Hamburg, Germany</w:t>
      </w:r>
      <w:r>
        <w:rPr>
          <w:color w:val="000000"/>
        </w:rPr>
        <w:t xml:space="preserve"> (</w:t>
      </w:r>
      <w:hyperlink r:id="rId24">
        <w:r w:rsidRPr="003354C5">
          <w:rPr>
            <w:color w:val="0563C1"/>
            <w:u w:val="single"/>
          </w:rPr>
          <w:t>dirk.notz@mpimet.mpg.de</w:t>
        </w:r>
      </w:hyperlink>
      <w:r>
        <w:rPr>
          <w:color w:val="0563C1"/>
          <w:u w:val="single"/>
        </w:rPr>
        <w:t>)</w:t>
      </w:r>
    </w:p>
    <w:p w14:paraId="5B122D9A" w14:textId="77777777" w:rsidR="00CE417F" w:rsidRPr="003354C5" w:rsidRDefault="00CE417F" w:rsidP="00CE417F">
      <w:pPr>
        <w:snapToGrid w:val="0"/>
        <w:spacing w:beforeLines="60" w:before="144" w:afterLines="60" w:after="144"/>
        <w:jc w:val="both"/>
      </w:pPr>
      <w:r w:rsidRPr="009A4235">
        <w:t xml:space="preserve">The </w:t>
      </w:r>
      <w:r w:rsidRPr="009A4235">
        <w:rPr>
          <w:i/>
          <w:iCs/>
        </w:rPr>
        <w:t>Polar Climate Predictability Initiative (PCPI</w:t>
      </w:r>
      <w:r w:rsidRPr="009A4235">
        <w:t>) is an initiative of WCRP, whose goal is to improve the understanding of the predictability of climate and the effect of human activities on climate. The PCPI focus</w:t>
      </w:r>
      <w:r>
        <w:t>es</w:t>
      </w:r>
      <w:r w:rsidRPr="009A4235">
        <w:t xml:space="preserve"> on polar regions and their role in the global climate system and aims to improve predictability of climate on all time scales by improving our understanding of the underlying physical mechanisms and their representation in climate models.</w:t>
      </w:r>
      <w:r w:rsidRPr="009A4235">
        <w:rPr>
          <w:lang w:eastAsia="zh-CN"/>
        </w:rPr>
        <w:t xml:space="preserve"> </w:t>
      </w:r>
      <w:r w:rsidRPr="009A4235">
        <w:t xml:space="preserve">The PCPI is supported by both </w:t>
      </w:r>
      <w:proofErr w:type="spellStart"/>
      <w:r w:rsidRPr="009A4235">
        <w:t>CliC</w:t>
      </w:r>
      <w:proofErr w:type="spellEnd"/>
      <w:r w:rsidRPr="009A4235">
        <w:t xml:space="preserve"> and the WCRP </w:t>
      </w:r>
      <w:hyperlink r:id="rId25" w:history="1">
        <w:r w:rsidRPr="009A4235">
          <w:rPr>
            <w:rStyle w:val="Hipervnculo"/>
          </w:rPr>
          <w:t>Stratosphere-troposphere Processes And their Role in Climate Project (SPARC)</w:t>
        </w:r>
      </w:hyperlink>
      <w:r>
        <w:rPr>
          <w:rStyle w:val="Hipervnculo"/>
        </w:rPr>
        <w:t xml:space="preserve"> Core Project</w:t>
      </w:r>
      <w:r>
        <w:rPr>
          <w:i/>
          <w:iCs/>
        </w:rPr>
        <w:t xml:space="preserve">. </w:t>
      </w:r>
      <w:r w:rsidRPr="00455498">
        <w:rPr>
          <w:i/>
          <w:iCs/>
        </w:rPr>
        <w:t>Contact</w:t>
      </w:r>
      <w:r>
        <w:rPr>
          <w:i/>
          <w:iCs/>
        </w:rPr>
        <w:t>s</w:t>
      </w:r>
      <w:r>
        <w:t>:</w:t>
      </w:r>
      <w:r w:rsidRPr="008B6FC3">
        <w:t xml:space="preserve"> </w:t>
      </w:r>
      <w:r w:rsidRPr="003354C5">
        <w:t xml:space="preserve">Marilyn Raphael, </w:t>
      </w:r>
      <w:r>
        <w:t>UCLA</w:t>
      </w:r>
      <w:r w:rsidRPr="003354C5">
        <w:t xml:space="preserve">, USA </w:t>
      </w:r>
      <w:r>
        <w:t>(</w:t>
      </w:r>
      <w:hyperlink r:id="rId26" w:history="1">
        <w:r w:rsidRPr="001919C7">
          <w:rPr>
            <w:rStyle w:val="Hipervnculo"/>
          </w:rPr>
          <w:t>raphael@geog.ucla.edu</w:t>
        </w:r>
      </w:hyperlink>
      <w:r w:rsidRPr="003354C5">
        <w:t>), Julie Jones, University of Sheffield, UK (</w:t>
      </w:r>
      <w:hyperlink r:id="rId27" w:history="1">
        <w:r w:rsidRPr="003354C5">
          <w:rPr>
            <w:rStyle w:val="Hipervnculo"/>
          </w:rPr>
          <w:t>julie.jones@sheffield.ac.uk</w:t>
        </w:r>
      </w:hyperlink>
      <w:r w:rsidRPr="003354C5">
        <w:t>)</w:t>
      </w:r>
    </w:p>
    <w:p w14:paraId="636C619B" w14:textId="77777777" w:rsidR="00CE417F" w:rsidRPr="009B27FC" w:rsidRDefault="00CE417F" w:rsidP="00CE417F">
      <w:pPr>
        <w:spacing w:before="120" w:after="120"/>
        <w:jc w:val="both"/>
        <w:rPr>
          <w:iCs/>
          <w:sz w:val="24"/>
          <w:u w:val="single"/>
        </w:rPr>
      </w:pPr>
      <w:r w:rsidRPr="009B27FC">
        <w:rPr>
          <w:iCs/>
          <w:sz w:val="24"/>
          <w:u w:val="single"/>
        </w:rPr>
        <w:t xml:space="preserve">Observations, process understanding and cross-disciplinary </w:t>
      </w:r>
      <w:proofErr w:type="gramStart"/>
      <w:r w:rsidRPr="009B27FC">
        <w:rPr>
          <w:iCs/>
          <w:sz w:val="24"/>
          <w:u w:val="single"/>
        </w:rPr>
        <w:t>activities</w:t>
      </w:r>
      <w:proofErr w:type="gramEnd"/>
    </w:p>
    <w:p w14:paraId="4FE97064" w14:textId="77777777" w:rsidR="00CE417F" w:rsidRPr="003354C5" w:rsidRDefault="00CE417F" w:rsidP="00CE417F">
      <w:pPr>
        <w:pBdr>
          <w:top w:val="nil"/>
          <w:left w:val="nil"/>
          <w:bottom w:val="nil"/>
          <w:right w:val="nil"/>
          <w:between w:val="nil"/>
        </w:pBdr>
        <w:snapToGrid w:val="0"/>
        <w:spacing w:beforeLines="60" w:before="144" w:after="60"/>
        <w:jc w:val="both"/>
      </w:pPr>
      <w:r>
        <w:rPr>
          <w:rFonts w:eastAsia="Calibri"/>
          <w:color w:val="000000"/>
        </w:rPr>
        <w:t>The SCAR/</w:t>
      </w:r>
      <w:proofErr w:type="spellStart"/>
      <w:r>
        <w:rPr>
          <w:rFonts w:eastAsia="Calibri"/>
          <w:color w:val="000000"/>
        </w:rPr>
        <w:t>CliC</w:t>
      </w:r>
      <w:proofErr w:type="spellEnd"/>
      <w:r>
        <w:rPr>
          <w:rFonts w:eastAsia="Calibri"/>
          <w:color w:val="000000"/>
        </w:rPr>
        <w:t xml:space="preserve"> </w:t>
      </w:r>
      <w:r w:rsidRPr="00230446">
        <w:rPr>
          <w:rFonts w:eastAsia="Calibri"/>
          <w:i/>
          <w:iCs/>
          <w:color w:val="000000"/>
        </w:rPr>
        <w:t>Antarctic Sea Ice Processes and Climate (</w:t>
      </w:r>
      <w:proofErr w:type="spellStart"/>
      <w:r w:rsidRPr="00230446">
        <w:rPr>
          <w:rFonts w:eastAsia="Calibri"/>
          <w:i/>
          <w:iCs/>
          <w:color w:val="000000"/>
        </w:rPr>
        <w:t>ASPeCt</w:t>
      </w:r>
      <w:proofErr w:type="spellEnd"/>
      <w:r>
        <w:rPr>
          <w:rFonts w:eastAsia="Calibri"/>
          <w:color w:val="000000"/>
        </w:rPr>
        <w:t xml:space="preserve">) </w:t>
      </w:r>
      <w:r w:rsidRPr="005D3CB4">
        <w:rPr>
          <w:rFonts w:eastAsia="Calibri"/>
          <w:color w:val="000000"/>
        </w:rPr>
        <w:t xml:space="preserve">is an expert group on multi-disciplinary </w:t>
      </w:r>
      <w:proofErr w:type="gramStart"/>
      <w:r w:rsidRPr="005D3CB4">
        <w:rPr>
          <w:rFonts w:eastAsia="Calibri"/>
          <w:color w:val="000000"/>
        </w:rPr>
        <w:t>Antarctic</w:t>
      </w:r>
      <w:r>
        <w:rPr>
          <w:rFonts w:eastAsia="Calibri"/>
          <w:color w:val="000000"/>
        </w:rPr>
        <w:t xml:space="preserve"> </w:t>
      </w:r>
      <w:r w:rsidRPr="005D3CB4">
        <w:rPr>
          <w:rFonts w:eastAsia="Calibri"/>
          <w:color w:val="000000"/>
        </w:rPr>
        <w:t>sea</w:t>
      </w:r>
      <w:proofErr w:type="gramEnd"/>
      <w:r w:rsidRPr="005D3CB4">
        <w:rPr>
          <w:rFonts w:eastAsia="Calibri"/>
          <w:color w:val="000000"/>
        </w:rPr>
        <w:t xml:space="preserve"> ice zone research with the key objective of improving our understanding of the Antarctic sea ice zone and its response to climate change. This </w:t>
      </w:r>
      <w:r>
        <w:rPr>
          <w:rFonts w:eastAsia="Calibri"/>
          <w:color w:val="000000"/>
        </w:rPr>
        <w:t>is</w:t>
      </w:r>
      <w:r w:rsidRPr="005D3CB4">
        <w:rPr>
          <w:rFonts w:eastAsia="Calibri"/>
          <w:color w:val="000000"/>
        </w:rPr>
        <w:t xml:space="preserve"> achieved through focused field programs, </w:t>
      </w:r>
      <w:r>
        <w:rPr>
          <w:rFonts w:eastAsia="Calibri"/>
          <w:color w:val="000000"/>
        </w:rPr>
        <w:t xml:space="preserve">the </w:t>
      </w:r>
      <w:r w:rsidRPr="005D3CB4">
        <w:rPr>
          <w:rFonts w:eastAsia="Calibri"/>
          <w:color w:val="000000"/>
        </w:rPr>
        <w:t xml:space="preserve">systematic monitoring of the ice cover, </w:t>
      </w:r>
      <w:r>
        <w:rPr>
          <w:rFonts w:eastAsia="Calibri"/>
          <w:color w:val="000000"/>
        </w:rPr>
        <w:t xml:space="preserve">and the </w:t>
      </w:r>
      <w:r w:rsidRPr="005D3CB4">
        <w:rPr>
          <w:rFonts w:eastAsia="Calibri"/>
          <w:color w:val="000000"/>
        </w:rPr>
        <w:t>analysis of remote sensing and numerical modelling</w:t>
      </w:r>
      <w:r>
        <w:rPr>
          <w:rFonts w:eastAsia="Calibri"/>
          <w:color w:val="000000"/>
        </w:rPr>
        <w:t xml:space="preserve"> tools</w:t>
      </w:r>
      <w:r w:rsidRPr="005D3CB4">
        <w:rPr>
          <w:rFonts w:eastAsia="Calibri"/>
          <w:color w:val="000000"/>
        </w:rPr>
        <w:t>.</w:t>
      </w:r>
      <w:r>
        <w:rPr>
          <w:rFonts w:eastAsia="Calibri"/>
          <w:color w:val="000000"/>
        </w:rPr>
        <w:t xml:space="preserve"> </w:t>
      </w:r>
      <w:r w:rsidRPr="00455498">
        <w:rPr>
          <w:i/>
          <w:iCs/>
        </w:rPr>
        <w:t>Contact</w:t>
      </w:r>
      <w:r>
        <w:rPr>
          <w:i/>
          <w:iCs/>
        </w:rPr>
        <w:t>s</w:t>
      </w:r>
      <w:r>
        <w:t xml:space="preserve">: </w:t>
      </w:r>
      <w:r w:rsidRPr="003354C5">
        <w:t>Marilyn Raphael, U</w:t>
      </w:r>
      <w:r>
        <w:t>CLA</w:t>
      </w:r>
      <w:r w:rsidRPr="003354C5">
        <w:t>, USA</w:t>
      </w:r>
      <w:r>
        <w:t xml:space="preserve"> (</w:t>
      </w:r>
      <w:hyperlink r:id="rId28">
        <w:r w:rsidRPr="003354C5">
          <w:rPr>
            <w:color w:val="0563C1"/>
            <w:u w:val="single"/>
          </w:rPr>
          <w:t>Raphael@geog.ucla.edu</w:t>
        </w:r>
      </w:hyperlink>
      <w:r>
        <w:t xml:space="preserve">); </w:t>
      </w:r>
      <w:r w:rsidRPr="003354C5">
        <w:t>Petra Heil, Antarctic Climate and Ecosystems Cooperative Research Centre, Australia</w:t>
      </w:r>
      <w:r>
        <w:t xml:space="preserve"> (</w:t>
      </w:r>
      <w:hyperlink r:id="rId29">
        <w:r w:rsidRPr="003354C5">
          <w:rPr>
            <w:color w:val="0563C1"/>
            <w:u w:val="single"/>
          </w:rPr>
          <w:t>petra.heil@utas.edu.au</w:t>
        </w:r>
      </w:hyperlink>
      <w:r>
        <w:rPr>
          <w:color w:val="0563C1"/>
          <w:u w:val="single"/>
        </w:rPr>
        <w:t>)</w:t>
      </w:r>
    </w:p>
    <w:p w14:paraId="49899A8C" w14:textId="77777777" w:rsidR="00CE417F" w:rsidRPr="003354C5" w:rsidRDefault="00CE417F" w:rsidP="00CE417F">
      <w:pPr>
        <w:snapToGrid w:val="0"/>
        <w:spacing w:beforeLines="60" w:before="144" w:after="60"/>
        <w:ind w:right="-30"/>
        <w:jc w:val="both"/>
        <w:rPr>
          <w:rFonts w:eastAsia="Calibri"/>
        </w:rPr>
      </w:pPr>
      <w:r w:rsidRPr="005D3CB4">
        <w:t xml:space="preserve">The goal of </w:t>
      </w:r>
      <w:r>
        <w:t xml:space="preserve">the </w:t>
      </w:r>
      <w:r w:rsidRPr="00CD76C4">
        <w:rPr>
          <w:i/>
          <w:iCs/>
        </w:rPr>
        <w:t>Ice Sheet Mass Balance and Sea Level (ISMASS</w:t>
      </w:r>
      <w:r>
        <w:t xml:space="preserve">) project is </w:t>
      </w:r>
      <w:r w:rsidRPr="005D3CB4">
        <w:t xml:space="preserve">to promote research on the estimation of the mass balance of ice sheets and its contribution to sea level, to facilitate coordination among the different international efforts focused on this field of research, to propose directions for future research in this area, to integrate observations and modelling efforts, as well as the distribution and archiving of the corresponding data, to attract a new generation of scientists into this field of research, and to contribute to the </w:t>
      </w:r>
      <w:r>
        <w:t>dissemination</w:t>
      </w:r>
      <w:r w:rsidRPr="005D3CB4">
        <w:t>, to society and policymakers, of the current scientific knowledge and the main achievements in this field of science</w:t>
      </w:r>
      <w:r>
        <w:t xml:space="preserve">. </w:t>
      </w:r>
      <w:r w:rsidRPr="00455498">
        <w:rPr>
          <w:i/>
          <w:iCs/>
        </w:rPr>
        <w:t>Contact</w:t>
      </w:r>
      <w:r>
        <w:t>:</w:t>
      </w:r>
      <w:r w:rsidRPr="00CD76C4">
        <w:rPr>
          <w:rFonts w:eastAsia="Calibri"/>
        </w:rPr>
        <w:t xml:space="preserve"> </w:t>
      </w:r>
      <w:r w:rsidRPr="003354C5">
        <w:rPr>
          <w:rFonts w:eastAsia="Calibri"/>
        </w:rPr>
        <w:t xml:space="preserve">Heiko </w:t>
      </w:r>
      <w:proofErr w:type="spellStart"/>
      <w:r w:rsidRPr="003354C5">
        <w:rPr>
          <w:rFonts w:eastAsia="Calibri"/>
        </w:rPr>
        <w:t>Goelzer</w:t>
      </w:r>
      <w:proofErr w:type="spellEnd"/>
      <w:r w:rsidRPr="003354C5">
        <w:rPr>
          <w:rFonts w:eastAsia="Calibri"/>
        </w:rPr>
        <w:t xml:space="preserve">, NORCE and </w:t>
      </w:r>
      <w:proofErr w:type="spellStart"/>
      <w:r w:rsidRPr="003354C5">
        <w:rPr>
          <w:rFonts w:eastAsia="Calibri"/>
        </w:rPr>
        <w:t>Bjerknes</w:t>
      </w:r>
      <w:proofErr w:type="spellEnd"/>
      <w:r w:rsidRPr="003354C5">
        <w:rPr>
          <w:rFonts w:eastAsia="Calibri"/>
        </w:rPr>
        <w:t xml:space="preserve"> Centre for Climate Research, </w:t>
      </w:r>
      <w:proofErr w:type="gramStart"/>
      <w:r w:rsidRPr="003354C5">
        <w:rPr>
          <w:rFonts w:eastAsia="Calibri"/>
        </w:rPr>
        <w:t xml:space="preserve">Norway </w:t>
      </w:r>
      <w:r>
        <w:rPr>
          <w:rFonts w:eastAsia="Calibri"/>
        </w:rPr>
        <w:t xml:space="preserve"> (</w:t>
      </w:r>
      <w:proofErr w:type="gramEnd"/>
      <w:r>
        <w:fldChar w:fldCharType="begin"/>
      </w:r>
      <w:r>
        <w:instrText xml:space="preserve"> HYPERLINK "mailto:heig@norceresearch.no" </w:instrText>
      </w:r>
      <w:r>
        <w:fldChar w:fldCharType="separate"/>
      </w:r>
      <w:r w:rsidRPr="001919C7">
        <w:rPr>
          <w:rStyle w:val="Hipervnculo"/>
          <w:rFonts w:eastAsia="Calibri"/>
        </w:rPr>
        <w:t>heig@norceresearch.no</w:t>
      </w:r>
      <w:r>
        <w:rPr>
          <w:rStyle w:val="Hipervnculo"/>
          <w:rFonts w:eastAsia="Calibri"/>
        </w:rPr>
        <w:fldChar w:fldCharType="end"/>
      </w:r>
      <w:r>
        <w:rPr>
          <w:rFonts w:eastAsia="Calibri"/>
          <w:color w:val="0563C1"/>
          <w:u w:val="single"/>
        </w:rPr>
        <w:t>)</w:t>
      </w:r>
      <w:r w:rsidRPr="003354C5">
        <w:rPr>
          <w:rFonts w:eastAsia="Calibri"/>
        </w:rPr>
        <w:t xml:space="preserve"> </w:t>
      </w:r>
    </w:p>
    <w:p w14:paraId="3EFACE1E" w14:textId="77777777" w:rsidR="00CE417F" w:rsidRPr="003354C5" w:rsidRDefault="00CE417F" w:rsidP="00CE417F">
      <w:pPr>
        <w:widowControl w:val="0"/>
        <w:pBdr>
          <w:top w:val="nil"/>
          <w:left w:val="nil"/>
          <w:bottom w:val="nil"/>
          <w:right w:val="nil"/>
          <w:between w:val="nil"/>
        </w:pBdr>
        <w:snapToGrid w:val="0"/>
        <w:spacing w:beforeLines="60" w:before="144" w:after="60"/>
        <w:ind w:right="13"/>
        <w:jc w:val="both"/>
        <w:rPr>
          <w:iCs/>
        </w:rPr>
      </w:pPr>
      <w:r>
        <w:rPr>
          <w:rFonts w:eastAsia="Calibri"/>
          <w:color w:val="000000"/>
        </w:rPr>
        <w:t xml:space="preserve">The </w:t>
      </w:r>
      <w:proofErr w:type="spellStart"/>
      <w:r>
        <w:rPr>
          <w:rFonts w:eastAsia="Calibri"/>
          <w:color w:val="000000"/>
        </w:rPr>
        <w:t>CliC</w:t>
      </w:r>
      <w:proofErr w:type="spellEnd"/>
      <w:r>
        <w:rPr>
          <w:rFonts w:eastAsia="Calibri"/>
          <w:color w:val="000000"/>
        </w:rPr>
        <w:t xml:space="preserve">/CLIVAR (Climate and Ocean – Variability, Predictability, and Change Core Project of WCRP) /SCAR </w:t>
      </w:r>
      <w:r w:rsidRPr="007C0EDE">
        <w:rPr>
          <w:rFonts w:eastAsia="Calibri"/>
          <w:i/>
          <w:iCs/>
          <w:color w:val="000000"/>
        </w:rPr>
        <w:t>Southern Ocean Regional Panel</w:t>
      </w:r>
      <w:r>
        <w:rPr>
          <w:rFonts w:eastAsia="Calibri"/>
          <w:color w:val="000000"/>
        </w:rPr>
        <w:t xml:space="preserve"> (</w:t>
      </w:r>
      <w:r w:rsidRPr="005D3CB4">
        <w:rPr>
          <w:rFonts w:eastAsia="Calibri"/>
          <w:color w:val="000000"/>
        </w:rPr>
        <w:t>SORP</w:t>
      </w:r>
      <w:r>
        <w:rPr>
          <w:rFonts w:eastAsia="Calibri"/>
          <w:color w:val="000000"/>
        </w:rPr>
        <w:t>)</w:t>
      </w:r>
      <w:r w:rsidRPr="005D3CB4">
        <w:rPr>
          <w:rFonts w:eastAsia="Calibri"/>
          <w:color w:val="000000"/>
        </w:rPr>
        <w:t xml:space="preserve"> serves as a forum for the discussion and communication of scientific advances on the understanding of climate variability and change in the Southern Ocean. It also advises CLIVAR, </w:t>
      </w:r>
      <w:proofErr w:type="spellStart"/>
      <w:r w:rsidRPr="005D3CB4">
        <w:rPr>
          <w:rFonts w:eastAsia="Calibri"/>
          <w:color w:val="000000"/>
        </w:rPr>
        <w:t>CliC</w:t>
      </w:r>
      <w:proofErr w:type="spellEnd"/>
      <w:r w:rsidRPr="005D3CB4">
        <w:rPr>
          <w:rFonts w:eastAsia="Calibri"/>
          <w:color w:val="000000"/>
        </w:rPr>
        <w:t>, and SCAR on progress, achievements, new opportunities, and impediments in internationally coordinated Southern Ocean research.</w:t>
      </w:r>
      <w:r>
        <w:rPr>
          <w:rFonts w:eastAsia="Calibri"/>
          <w:color w:val="000000"/>
        </w:rPr>
        <w:t xml:space="preserve"> </w:t>
      </w:r>
      <w:r w:rsidRPr="00455498">
        <w:rPr>
          <w:i/>
          <w:iCs/>
        </w:rPr>
        <w:t>Contact</w:t>
      </w:r>
      <w:r>
        <w:rPr>
          <w:i/>
          <w:iCs/>
        </w:rPr>
        <w:t>s</w:t>
      </w:r>
      <w:r>
        <w:t xml:space="preserve">: </w:t>
      </w:r>
      <w:proofErr w:type="spellStart"/>
      <w:r w:rsidRPr="003354C5">
        <w:t>Torge</w:t>
      </w:r>
      <w:proofErr w:type="spellEnd"/>
      <w:r w:rsidRPr="003354C5">
        <w:t xml:space="preserve"> Martin, GEOMAR, Germany</w:t>
      </w:r>
      <w:r>
        <w:t xml:space="preserve"> (</w:t>
      </w:r>
      <w:hyperlink r:id="rId30">
        <w:r w:rsidRPr="003354C5">
          <w:rPr>
            <w:color w:val="0563C1"/>
            <w:u w:val="single"/>
          </w:rPr>
          <w:t>tomartin@geomar.de</w:t>
        </w:r>
      </w:hyperlink>
      <w:r>
        <w:rPr>
          <w:color w:val="0563C1"/>
          <w:u w:val="single"/>
        </w:rPr>
        <w:t xml:space="preserve">), </w:t>
      </w:r>
      <w:proofErr w:type="spellStart"/>
      <w:r w:rsidRPr="003354C5">
        <w:rPr>
          <w:iCs/>
        </w:rPr>
        <w:t>Ariann</w:t>
      </w:r>
      <w:proofErr w:type="spellEnd"/>
      <w:r w:rsidRPr="003354C5">
        <w:rPr>
          <w:iCs/>
        </w:rPr>
        <w:t xml:space="preserve"> </w:t>
      </w:r>
      <w:proofErr w:type="spellStart"/>
      <w:r w:rsidRPr="003354C5">
        <w:rPr>
          <w:iCs/>
        </w:rPr>
        <w:t>Purich</w:t>
      </w:r>
      <w:proofErr w:type="spellEnd"/>
      <w:r w:rsidRPr="003354C5">
        <w:rPr>
          <w:iCs/>
        </w:rPr>
        <w:t>, Monash U, Australia</w:t>
      </w:r>
      <w:r>
        <w:rPr>
          <w:iCs/>
        </w:rPr>
        <w:t xml:space="preserve"> (</w:t>
      </w:r>
      <w:hyperlink r:id="rId31" w:history="1">
        <w:r w:rsidRPr="003354C5">
          <w:rPr>
            <w:rStyle w:val="Hipervnculo"/>
            <w:iCs/>
          </w:rPr>
          <w:t>ariaan.purich@monash.edu</w:t>
        </w:r>
      </w:hyperlink>
      <w:r>
        <w:rPr>
          <w:rStyle w:val="Hipervnculo"/>
          <w:iCs/>
        </w:rPr>
        <w:t>)</w:t>
      </w:r>
    </w:p>
    <w:p w14:paraId="36C225E6" w14:textId="77777777" w:rsidR="00CE417F" w:rsidRPr="003354C5" w:rsidRDefault="00CE417F" w:rsidP="00CE417F">
      <w:pPr>
        <w:snapToGrid w:val="0"/>
        <w:spacing w:beforeLines="60" w:before="144" w:after="60"/>
        <w:ind w:right="-30"/>
        <w:jc w:val="both"/>
        <w:rPr>
          <w:color w:val="0563C1"/>
          <w:u w:val="single"/>
        </w:rPr>
      </w:pPr>
      <w:r w:rsidRPr="005D3CB4">
        <w:t xml:space="preserve">Polar CORDEX </w:t>
      </w:r>
      <w:r>
        <w:t xml:space="preserve">is a </w:t>
      </w:r>
      <w:proofErr w:type="spellStart"/>
      <w:r>
        <w:t>CliC</w:t>
      </w:r>
      <w:proofErr w:type="spellEnd"/>
      <w:r>
        <w:t xml:space="preserve">/CORDEX endorsed activity that </w:t>
      </w:r>
      <w:r w:rsidRPr="005D3CB4">
        <w:t xml:space="preserve">aims at improving the understanding of polar processes and </w:t>
      </w:r>
      <w:r>
        <w:t xml:space="preserve">the </w:t>
      </w:r>
      <w:r w:rsidRPr="005D3CB4">
        <w:t>generation of regional climate change projections</w:t>
      </w:r>
      <w:r>
        <w:t xml:space="preserve"> in the Arctic and Antarctica. </w:t>
      </w:r>
      <w:r w:rsidRPr="00455498">
        <w:rPr>
          <w:i/>
          <w:iCs/>
        </w:rPr>
        <w:t>Contact</w:t>
      </w:r>
      <w:r>
        <w:t xml:space="preserve">: </w:t>
      </w:r>
      <w:r w:rsidRPr="003354C5">
        <w:t>Andrew Orr, British Antarctic Survey, UK</w:t>
      </w:r>
      <w:r>
        <w:t xml:space="preserve"> (</w:t>
      </w:r>
      <w:hyperlink r:id="rId32">
        <w:r w:rsidRPr="003354C5">
          <w:rPr>
            <w:color w:val="0563C1"/>
            <w:u w:val="single"/>
          </w:rPr>
          <w:t>anmcr@bas.ac.uk</w:t>
        </w:r>
      </w:hyperlink>
      <w:r>
        <w:rPr>
          <w:color w:val="0563C1"/>
          <w:u w:val="single"/>
        </w:rPr>
        <w:t xml:space="preserve">). </w:t>
      </w:r>
      <w:r w:rsidRPr="008E755C">
        <w:t>See accompanying IP.</w:t>
      </w:r>
    </w:p>
    <w:p w14:paraId="5134A997" w14:textId="77777777" w:rsidR="00CE417F" w:rsidRDefault="00CE417F" w:rsidP="00CE417F">
      <w:pPr>
        <w:widowControl w:val="0"/>
        <w:tabs>
          <w:tab w:val="left" w:pos="561"/>
          <w:tab w:val="left" w:pos="562"/>
        </w:tabs>
        <w:snapToGrid w:val="0"/>
        <w:spacing w:beforeLines="60" w:before="144" w:after="60"/>
        <w:jc w:val="both"/>
        <w:rPr>
          <w:color w:val="0563C1"/>
          <w:u w:val="single"/>
        </w:rPr>
      </w:pPr>
      <w:r>
        <w:lastRenderedPageBreak/>
        <w:t xml:space="preserve">The </w:t>
      </w:r>
      <w:r w:rsidRPr="00230446">
        <w:rPr>
          <w:i/>
          <w:iCs/>
        </w:rPr>
        <w:t xml:space="preserve">Biogeochemical Exchange Processes at Sea Ice Interface (BEPSII) </w:t>
      </w:r>
      <w:r>
        <w:t>is an</w:t>
      </w:r>
      <w:r w:rsidRPr="005D3CB4">
        <w:t xml:space="preserve"> endorsed SOLAS-</w:t>
      </w:r>
      <w:proofErr w:type="spellStart"/>
      <w:r w:rsidRPr="005D3CB4">
        <w:t>CliC</w:t>
      </w:r>
      <w:proofErr w:type="spellEnd"/>
      <w:r w:rsidRPr="005D3CB4">
        <w:t xml:space="preserve"> forum as well as a SCAR Action Group. BEPSII coordinat</w:t>
      </w:r>
      <w:r>
        <w:t>es</w:t>
      </w:r>
      <w:r w:rsidRPr="005D3CB4">
        <w:t xml:space="preserve"> community activities linked to the biogeochemistry of sea ice-influenced environments, involving about 120 scientists.</w:t>
      </w:r>
      <w:r>
        <w:t xml:space="preserve"> </w:t>
      </w:r>
      <w:r w:rsidRPr="00455498">
        <w:rPr>
          <w:i/>
          <w:iCs/>
        </w:rPr>
        <w:t>Contact</w:t>
      </w:r>
      <w:r>
        <w:t>:</w:t>
      </w:r>
      <w:r w:rsidRPr="00DF5C07">
        <w:t xml:space="preserve"> </w:t>
      </w:r>
      <w:r w:rsidRPr="003354C5">
        <w:t xml:space="preserve">Jackeline </w:t>
      </w:r>
      <w:proofErr w:type="spellStart"/>
      <w:r w:rsidRPr="003354C5">
        <w:t>Stefens</w:t>
      </w:r>
      <w:proofErr w:type="spellEnd"/>
      <w:r w:rsidRPr="003354C5">
        <w:t>, University of Groningen, The Netherlands</w:t>
      </w:r>
      <w:r>
        <w:t xml:space="preserve"> (</w:t>
      </w:r>
      <w:hyperlink r:id="rId33">
        <w:r w:rsidRPr="003354C5">
          <w:rPr>
            <w:color w:val="0563C1"/>
            <w:u w:val="single"/>
          </w:rPr>
          <w:t>j.stefels@rug.nl</w:t>
        </w:r>
      </w:hyperlink>
      <w:r>
        <w:rPr>
          <w:color w:val="0563C1"/>
          <w:u w:val="single"/>
        </w:rPr>
        <w:t xml:space="preserve">); </w:t>
      </w:r>
      <w:r w:rsidRPr="003354C5">
        <w:t>Nadja Steiner, Fisheries and Oceans Canada</w:t>
      </w:r>
      <w:r>
        <w:t xml:space="preserve"> (</w:t>
      </w:r>
      <w:hyperlink r:id="rId34">
        <w:r w:rsidRPr="003354C5">
          <w:rPr>
            <w:color w:val="0563C1"/>
            <w:u w:val="single"/>
          </w:rPr>
          <w:t>Nadja.Steiner@dfo-mpo.gc.ca</w:t>
        </w:r>
      </w:hyperlink>
      <w:r>
        <w:rPr>
          <w:color w:val="0563C1"/>
          <w:u w:val="single"/>
        </w:rPr>
        <w:t>)</w:t>
      </w:r>
    </w:p>
    <w:p w14:paraId="6C5AF92B" w14:textId="77777777" w:rsidR="00CE417F" w:rsidRPr="005C4EE5" w:rsidRDefault="00CE417F" w:rsidP="00CE417F">
      <w:pPr>
        <w:pStyle w:val="ATSNormal"/>
        <w:spacing w:before="240"/>
        <w:rPr>
          <w:b/>
          <w:bCs/>
          <w:sz w:val="24"/>
          <w:lang w:eastAsia="en-US"/>
        </w:rPr>
      </w:pPr>
      <w:r w:rsidRPr="005C4EE5">
        <w:rPr>
          <w:b/>
          <w:bCs/>
          <w:sz w:val="24"/>
          <w:lang w:eastAsia="en-US"/>
        </w:rPr>
        <w:t>Governance</w:t>
      </w:r>
    </w:p>
    <w:p w14:paraId="7915D55D" w14:textId="77777777" w:rsidR="00CE417F" w:rsidRDefault="00CE417F" w:rsidP="00CE417F">
      <w:pPr>
        <w:spacing w:before="15" w:line="254" w:lineRule="auto"/>
        <w:ind w:right="-30"/>
        <w:jc w:val="both"/>
        <w:rPr>
          <w:color w:val="000000"/>
        </w:rPr>
      </w:pPr>
      <w:proofErr w:type="spellStart"/>
      <w:r w:rsidRPr="009A4235">
        <w:rPr>
          <w:color w:val="000000"/>
        </w:rPr>
        <w:t>CliC</w:t>
      </w:r>
      <w:proofErr w:type="spellEnd"/>
      <w:r w:rsidRPr="009A4235">
        <w:rPr>
          <w:color w:val="000000"/>
        </w:rPr>
        <w:t xml:space="preserve"> activities are overseen by a Scientific Steering Group (SSG) which has the overall responsibility for planning and guiding the work of the Core Project. The SSG is composed of international experts spanning all cryosphere research fields, with a balance </w:t>
      </w:r>
      <w:r>
        <w:rPr>
          <w:color w:val="000000"/>
        </w:rPr>
        <w:t xml:space="preserve">in the </w:t>
      </w:r>
      <w:r w:rsidRPr="009A4235">
        <w:rPr>
          <w:color w:val="000000"/>
        </w:rPr>
        <w:t xml:space="preserve">representation </w:t>
      </w:r>
      <w:r>
        <w:rPr>
          <w:color w:val="000000"/>
        </w:rPr>
        <w:t>of</w:t>
      </w:r>
      <w:r w:rsidRPr="009A4235">
        <w:rPr>
          <w:color w:val="000000"/>
        </w:rPr>
        <w:t xml:space="preserve"> gender, career stage and geographical distribution. An International Project Office </w:t>
      </w:r>
      <w:r>
        <w:rPr>
          <w:color w:val="000000"/>
        </w:rPr>
        <w:t xml:space="preserve">(currently moving to the University of Massachusetts Amherst in the US) </w:t>
      </w:r>
      <w:r w:rsidRPr="009A4235">
        <w:rPr>
          <w:color w:val="000000"/>
        </w:rPr>
        <w:t xml:space="preserve">supports the SSG and the wider </w:t>
      </w:r>
      <w:proofErr w:type="spellStart"/>
      <w:r w:rsidRPr="009A4235">
        <w:rPr>
          <w:color w:val="000000"/>
        </w:rPr>
        <w:t>CliC</w:t>
      </w:r>
      <w:proofErr w:type="spellEnd"/>
      <w:r w:rsidRPr="009A4235">
        <w:rPr>
          <w:color w:val="000000"/>
        </w:rPr>
        <w:t xml:space="preserve"> community in their work and is the main point of contact for </w:t>
      </w:r>
      <w:proofErr w:type="spellStart"/>
      <w:r w:rsidRPr="009A4235">
        <w:rPr>
          <w:color w:val="000000"/>
        </w:rPr>
        <w:t>CliC</w:t>
      </w:r>
      <w:proofErr w:type="spellEnd"/>
      <w:r w:rsidRPr="009A4235">
        <w:rPr>
          <w:color w:val="000000"/>
        </w:rPr>
        <w:t>.</w:t>
      </w:r>
    </w:p>
    <w:p w14:paraId="55A73C9B" w14:textId="77777777" w:rsidR="00CE417F" w:rsidRPr="00BB4707" w:rsidRDefault="00CE417F" w:rsidP="00CE417F">
      <w:pPr>
        <w:spacing w:before="15" w:line="254" w:lineRule="auto"/>
        <w:ind w:right="-30"/>
        <w:jc w:val="both"/>
        <w:rPr>
          <w:b/>
          <w:bCs/>
          <w:color w:val="000000"/>
        </w:rPr>
      </w:pPr>
    </w:p>
    <w:p w14:paraId="0BCCEED6" w14:textId="77777777" w:rsidR="00CE417F" w:rsidRPr="00BB4707" w:rsidRDefault="00CE417F" w:rsidP="00CE417F">
      <w:pPr>
        <w:spacing w:before="15" w:line="254" w:lineRule="auto"/>
        <w:ind w:right="-30"/>
        <w:jc w:val="both"/>
        <w:rPr>
          <w:b/>
          <w:bCs/>
          <w:color w:val="000000"/>
        </w:rPr>
      </w:pPr>
      <w:r w:rsidRPr="00BB4707">
        <w:rPr>
          <w:b/>
          <w:bCs/>
          <w:color w:val="000000"/>
        </w:rPr>
        <w:t>Recommendations</w:t>
      </w:r>
    </w:p>
    <w:p w14:paraId="4FF34A21" w14:textId="77777777" w:rsidR="00CE417F" w:rsidRDefault="00CE417F" w:rsidP="00CE417F">
      <w:pPr>
        <w:pStyle w:val="ATSNormal"/>
      </w:pPr>
      <w:r>
        <w:t>WCRP-</w:t>
      </w:r>
      <w:proofErr w:type="spellStart"/>
      <w:r>
        <w:t>CliC</w:t>
      </w:r>
      <w:proofErr w:type="spellEnd"/>
      <w:r>
        <w:t xml:space="preserve"> supports SCAR in its efforts to encourage CEP Members and Antarctic Treaty Parties (as outlined in </w:t>
      </w:r>
      <w:r w:rsidRPr="008E755C">
        <w:t>ATCMXLIV WP042</w:t>
      </w:r>
      <w:r>
        <w:t>)</w:t>
      </w:r>
      <w:r w:rsidRPr="002E4F23">
        <w:t xml:space="preserve"> </w:t>
      </w:r>
      <w:r>
        <w:t>to:</w:t>
      </w:r>
    </w:p>
    <w:p w14:paraId="436FAB48" w14:textId="78DB9BA3" w:rsidR="00CE417F" w:rsidRDefault="00CE417F" w:rsidP="00CE417F">
      <w:pPr>
        <w:pStyle w:val="ATSNumber1"/>
        <w:numPr>
          <w:ilvl w:val="0"/>
          <w:numId w:val="21"/>
        </w:numPr>
      </w:pPr>
      <w:r w:rsidRPr="002E4F23">
        <w:t>continue to implement the 2022 ACCE Decadal Synopsis recommendations with urgency</w:t>
      </w:r>
      <w:r>
        <w:t xml:space="preserve"> (</w:t>
      </w:r>
      <w:r w:rsidRPr="002E4F23">
        <w:t>particularly in</w:t>
      </w:r>
      <w:r w:rsidRPr="000D1656">
        <w:t xml:space="preserve"> </w:t>
      </w:r>
      <w:r w:rsidRPr="002E4F23">
        <w:t>communicating internationally the critical importance of meeting and exceeding targets for the reduction of greenhouse gas emissions, and the need for resources to address research priorities to understand global impacts, as well as impacts on Antarctica</w:t>
      </w:r>
      <w:r>
        <w:t xml:space="preserve"> (</w:t>
      </w:r>
      <w:r w:rsidR="00135BA7">
        <w:t>IP 95</w:t>
      </w:r>
      <w:r w:rsidRPr="00BB4707">
        <w:t> </w:t>
      </w:r>
      <w:r w:rsidRPr="00135BA7">
        <w:rPr>
          <w:i/>
          <w:iCs/>
        </w:rPr>
        <w:t>Understanding Future Sea-level Change Around Antarctica</w:t>
      </w:r>
      <w:r>
        <w:t>)</w:t>
      </w:r>
    </w:p>
    <w:p w14:paraId="2E0AB416" w14:textId="77777777" w:rsidR="00CE417F" w:rsidRDefault="00CE417F" w:rsidP="00CE417F">
      <w:pPr>
        <w:pStyle w:val="ATSNumber1"/>
        <w:numPr>
          <w:ilvl w:val="0"/>
          <w:numId w:val="21"/>
        </w:numPr>
      </w:pPr>
      <w:r w:rsidRPr="002E4F23">
        <w:t xml:space="preserve">continue to engage with the research community to deepen understanding of the key messages emerging from research as well as to determine what science and what types of information will best support the development of robust policies and </w:t>
      </w:r>
      <w:proofErr w:type="gramStart"/>
      <w:r w:rsidRPr="002E4F23">
        <w:t>actions;</w:t>
      </w:r>
      <w:proofErr w:type="gramEnd"/>
    </w:p>
    <w:p w14:paraId="6BAB7C0B" w14:textId="77777777" w:rsidR="00CE417F" w:rsidRDefault="00CE417F" w:rsidP="00CE417F">
      <w:pPr>
        <w:pStyle w:val="ATSNumber1"/>
        <w:numPr>
          <w:ilvl w:val="0"/>
          <w:numId w:val="21"/>
        </w:numPr>
      </w:pPr>
      <w:r w:rsidRPr="002E4F23">
        <w:t>consider how to provide regular assessments of progress against the recommendations and priority actions identified by the 2022 ACCE Decadal Synopsis and the 2023 joint CEP/ATCM session on climate change</w:t>
      </w:r>
      <w:r>
        <w:t>.</w:t>
      </w:r>
    </w:p>
    <w:p w14:paraId="2CC299D9" w14:textId="77777777" w:rsidR="00CE417F" w:rsidRPr="001F56AF" w:rsidRDefault="00CE417F" w:rsidP="00CE417F">
      <w:pPr>
        <w:spacing w:before="15" w:line="254" w:lineRule="auto"/>
        <w:ind w:right="-30"/>
        <w:jc w:val="both"/>
        <w:rPr>
          <w:color w:val="000000"/>
        </w:rPr>
      </w:pPr>
    </w:p>
    <w:p w14:paraId="4094EA61" w14:textId="77777777" w:rsidR="00CE417F" w:rsidRPr="005C4EE5" w:rsidRDefault="00CE417F" w:rsidP="00CE417F">
      <w:pPr>
        <w:pStyle w:val="ATSNormal"/>
        <w:spacing w:before="240"/>
        <w:rPr>
          <w:b/>
          <w:bCs/>
          <w:sz w:val="24"/>
          <w:lang w:eastAsia="en-US"/>
        </w:rPr>
      </w:pPr>
      <w:r w:rsidRPr="005C4EE5">
        <w:rPr>
          <w:b/>
          <w:bCs/>
          <w:sz w:val="24"/>
          <w:lang w:eastAsia="en-US"/>
        </w:rPr>
        <w:t>Further details</w:t>
      </w:r>
    </w:p>
    <w:p w14:paraId="2BF06F32" w14:textId="77777777" w:rsidR="00CE417F" w:rsidRPr="009A4235" w:rsidRDefault="00CE417F" w:rsidP="00CE417F">
      <w:pPr>
        <w:pStyle w:val="ATSNormal"/>
        <w:spacing w:before="0" w:after="0"/>
        <w:rPr>
          <w:lang w:eastAsia="en-US"/>
        </w:rPr>
      </w:pPr>
      <w:r w:rsidRPr="009A4235">
        <w:rPr>
          <w:lang w:eastAsia="en-US"/>
        </w:rPr>
        <w:t xml:space="preserve">Contact: International Project Office at </w:t>
      </w:r>
      <w:hyperlink r:id="rId35" w:history="1">
        <w:r w:rsidRPr="009A4235">
          <w:rPr>
            <w:rStyle w:val="Hipervnculo"/>
            <w:lang w:eastAsia="en-US"/>
          </w:rPr>
          <w:t>info@climate-cryosphere.org</w:t>
        </w:r>
      </w:hyperlink>
    </w:p>
    <w:p w14:paraId="41E6907B" w14:textId="77777777" w:rsidR="00CE417F" w:rsidRPr="009A4235" w:rsidRDefault="00CE417F" w:rsidP="00CE417F">
      <w:pPr>
        <w:pStyle w:val="ATSNormal"/>
        <w:spacing w:before="0" w:after="0"/>
        <w:rPr>
          <w:color w:val="000000"/>
        </w:rPr>
      </w:pPr>
      <w:r w:rsidRPr="009A4235">
        <w:rPr>
          <w:lang w:eastAsia="en-US"/>
        </w:rPr>
        <w:t xml:space="preserve">Web: </w:t>
      </w:r>
      <w:hyperlink r:id="rId36" w:history="1">
        <w:r w:rsidRPr="009A4235">
          <w:rPr>
            <w:rStyle w:val="Hipervnculo"/>
          </w:rPr>
          <w:t>www.climate-cryosphere.org</w:t>
        </w:r>
      </w:hyperlink>
    </w:p>
    <w:p w14:paraId="3BA44144" w14:textId="77777777" w:rsidR="00CE417F" w:rsidRDefault="00CE417F" w:rsidP="00952E9F"/>
    <w:sectPr w:rsidR="00CE417F" w:rsidSect="00283F0F">
      <w:headerReference w:type="default" r:id="rId37"/>
      <w:footerReference w:type="default" r:id="rId38"/>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81C62" w14:textId="77777777" w:rsidR="00591C7F" w:rsidRDefault="00CE417F">
      <w:r>
        <w:separator/>
      </w:r>
    </w:p>
  </w:endnote>
  <w:endnote w:type="continuationSeparator" w:id="0">
    <w:p w14:paraId="29AC2462" w14:textId="77777777" w:rsidR="00591C7F" w:rsidRDefault="00CE4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5A1A" w14:textId="77777777" w:rsidR="00FA0B9F" w:rsidRDefault="00CE417F" w:rsidP="00CF5C82">
    <w:pPr>
      <w:framePr w:wrap="around" w:vAnchor="text" w:hAnchor="margin" w:xAlign="right" w:y="1"/>
    </w:pPr>
    <w:r>
      <w:fldChar w:fldCharType="begin"/>
    </w:r>
    <w:r>
      <w:instrText xml:space="preserve">PAGE  </w:instrText>
    </w:r>
    <w:r w:rsidR="00135BA7">
      <w:fldChar w:fldCharType="separate"/>
    </w:r>
    <w:r>
      <w:fldChar w:fldCharType="end"/>
    </w:r>
  </w:p>
  <w:p w14:paraId="165475A2" w14:textId="77777777" w:rsidR="00FA0B9F" w:rsidRDefault="00135BA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61DA" w14:textId="77777777" w:rsidR="00FA0B9F" w:rsidRDefault="00CE417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8C9A5C9" w14:textId="6D084FA7" w:rsidR="00FA0B9F" w:rsidRDefault="00135BA7" w:rsidP="00CE417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17D55" w14:textId="77777777" w:rsidR="00E311C9" w:rsidRDefault="00CE417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5820CFA" w14:textId="77777777" w:rsidR="00E311C9" w:rsidRDefault="00135BA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1B3D5" w14:textId="77777777" w:rsidR="00591C7F" w:rsidRDefault="00CE417F">
      <w:r>
        <w:separator/>
      </w:r>
    </w:p>
  </w:footnote>
  <w:footnote w:type="continuationSeparator" w:id="0">
    <w:p w14:paraId="5C1D3B41" w14:textId="77777777" w:rsidR="00591C7F" w:rsidRDefault="00CE4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1B3CD5" w14:paraId="5FE1A6AC" w14:textId="77777777" w:rsidTr="002E12EC">
      <w:trPr>
        <w:trHeight w:val="344"/>
        <w:jc w:val="center"/>
      </w:trPr>
      <w:tc>
        <w:tcPr>
          <w:tcW w:w="5495" w:type="dxa"/>
        </w:tcPr>
        <w:p w14:paraId="4543DFB1" w14:textId="77777777" w:rsidR="00DB7C09" w:rsidRDefault="00135BA7" w:rsidP="00F968D4"/>
      </w:tc>
      <w:tc>
        <w:tcPr>
          <w:tcW w:w="4253" w:type="dxa"/>
          <w:gridSpan w:val="2"/>
        </w:tcPr>
        <w:p w14:paraId="57E966E3" w14:textId="77777777" w:rsidR="00DB7C09" w:rsidRPr="00BD47E4" w:rsidRDefault="00CE417F" w:rsidP="002A07BC">
          <w:pPr>
            <w:jc w:val="right"/>
            <w:rPr>
              <w:b/>
              <w:sz w:val="32"/>
              <w:szCs w:val="32"/>
            </w:rPr>
          </w:pPr>
          <w:bookmarkStart w:id="2" w:name="type"/>
          <w:r w:rsidRPr="00BD47E4">
            <w:rPr>
              <w:b/>
              <w:sz w:val="32"/>
              <w:szCs w:val="32"/>
            </w:rPr>
            <w:t>IP</w:t>
          </w:r>
          <w:bookmarkEnd w:id="2"/>
        </w:p>
      </w:tc>
      <w:tc>
        <w:tcPr>
          <w:tcW w:w="1524" w:type="dxa"/>
          <w:gridSpan w:val="2"/>
        </w:tcPr>
        <w:p w14:paraId="301CE749" w14:textId="77777777" w:rsidR="00DB7C09" w:rsidRPr="00BD47E4" w:rsidRDefault="00CE417F" w:rsidP="00DB7C09">
          <w:pPr>
            <w:rPr>
              <w:b/>
              <w:sz w:val="32"/>
              <w:szCs w:val="32"/>
            </w:rPr>
          </w:pPr>
          <w:bookmarkStart w:id="3" w:name="number"/>
          <w:r w:rsidRPr="00BD47E4">
            <w:rPr>
              <w:b/>
              <w:sz w:val="32"/>
              <w:szCs w:val="32"/>
            </w:rPr>
            <w:t>94</w:t>
          </w:r>
          <w:bookmarkEnd w:id="3"/>
        </w:p>
      </w:tc>
    </w:tr>
    <w:tr w:rsidR="001B3CD5" w14:paraId="4FAC3EBB" w14:textId="77777777" w:rsidTr="002E12EC">
      <w:trPr>
        <w:trHeight w:val="2165"/>
        <w:jc w:val="center"/>
      </w:trPr>
      <w:tc>
        <w:tcPr>
          <w:tcW w:w="5495" w:type="dxa"/>
        </w:tcPr>
        <w:p w14:paraId="6EC3F570" w14:textId="77777777" w:rsidR="00490760" w:rsidRPr="00EE4D48" w:rsidRDefault="00CE417F" w:rsidP="002A07BC">
          <w:pPr>
            <w:rPr>
              <w:b/>
              <w:sz w:val="28"/>
              <w:szCs w:val="28"/>
            </w:rPr>
          </w:pPr>
          <w:r>
            <w:rPr>
              <w:noProof/>
            </w:rPr>
            <w:drawing>
              <wp:inline distT="0" distB="0" distL="0" distR="0" wp14:anchorId="5DED4DF4" wp14:editId="73D46E1E">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3798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EABCB89" w14:textId="77777777" w:rsidR="00490760" w:rsidRPr="00FE5146" w:rsidRDefault="00CE417F" w:rsidP="00490760">
          <w:pPr>
            <w:jc w:val="right"/>
            <w:rPr>
              <w:sz w:val="144"/>
              <w:szCs w:val="144"/>
            </w:rPr>
          </w:pPr>
          <w:r w:rsidRPr="00FE5146">
            <w:rPr>
              <w:sz w:val="144"/>
              <w:szCs w:val="144"/>
            </w:rPr>
            <w:t>ENG</w:t>
          </w:r>
        </w:p>
      </w:tc>
    </w:tr>
    <w:tr w:rsidR="001B3CD5" w14:paraId="5A583499" w14:textId="77777777" w:rsidTr="002E12EC">
      <w:trPr>
        <w:trHeight w:val="409"/>
        <w:jc w:val="center"/>
      </w:trPr>
      <w:tc>
        <w:tcPr>
          <w:tcW w:w="8500" w:type="dxa"/>
          <w:gridSpan w:val="2"/>
        </w:tcPr>
        <w:p w14:paraId="1DEF5E6F" w14:textId="77777777" w:rsidR="00BD47E4" w:rsidRDefault="00CE417F" w:rsidP="002C30DA">
          <w:pPr>
            <w:jc w:val="right"/>
          </w:pPr>
          <w:r>
            <w:t>Agenda Item:</w:t>
          </w:r>
        </w:p>
      </w:tc>
      <w:tc>
        <w:tcPr>
          <w:tcW w:w="2382" w:type="dxa"/>
          <w:gridSpan w:val="2"/>
        </w:tcPr>
        <w:p w14:paraId="03067B48" w14:textId="77777777" w:rsidR="00BD47E4" w:rsidRDefault="00CE417F" w:rsidP="002C30DA">
          <w:pPr>
            <w:jc w:val="right"/>
          </w:pPr>
          <w:bookmarkStart w:id="4" w:name="agenda"/>
          <w:r>
            <w:t>ATCM 6d, CEP 7a</w:t>
          </w:r>
          <w:bookmarkEnd w:id="4"/>
        </w:p>
      </w:tc>
      <w:tc>
        <w:tcPr>
          <w:tcW w:w="390" w:type="dxa"/>
        </w:tcPr>
        <w:p w14:paraId="2AB41A0D" w14:textId="77777777" w:rsidR="00BD47E4" w:rsidRDefault="00135BA7" w:rsidP="00387A65">
          <w:pPr>
            <w:jc w:val="right"/>
          </w:pPr>
        </w:p>
      </w:tc>
    </w:tr>
    <w:tr w:rsidR="001B3CD5" w14:paraId="007F9C70" w14:textId="77777777" w:rsidTr="002E12EC">
      <w:trPr>
        <w:trHeight w:val="397"/>
        <w:jc w:val="center"/>
      </w:trPr>
      <w:tc>
        <w:tcPr>
          <w:tcW w:w="8500" w:type="dxa"/>
          <w:gridSpan w:val="2"/>
        </w:tcPr>
        <w:p w14:paraId="04E6B431" w14:textId="77777777" w:rsidR="00BD47E4" w:rsidRDefault="00CE417F" w:rsidP="002C30DA">
          <w:pPr>
            <w:jc w:val="right"/>
          </w:pPr>
          <w:r>
            <w:t>Presented by:</w:t>
          </w:r>
        </w:p>
      </w:tc>
      <w:tc>
        <w:tcPr>
          <w:tcW w:w="2382" w:type="dxa"/>
          <w:gridSpan w:val="2"/>
        </w:tcPr>
        <w:p w14:paraId="219B70C7" w14:textId="77777777" w:rsidR="00BD47E4" w:rsidRDefault="00CE417F" w:rsidP="002C30DA">
          <w:pPr>
            <w:jc w:val="right"/>
          </w:pPr>
          <w:bookmarkStart w:id="5" w:name="party"/>
          <w:r>
            <w:t>WMO</w:t>
          </w:r>
          <w:bookmarkEnd w:id="5"/>
        </w:p>
      </w:tc>
      <w:tc>
        <w:tcPr>
          <w:tcW w:w="390" w:type="dxa"/>
        </w:tcPr>
        <w:p w14:paraId="634245E0" w14:textId="77777777" w:rsidR="00BD47E4" w:rsidRDefault="00135BA7" w:rsidP="00387A65">
          <w:pPr>
            <w:jc w:val="right"/>
          </w:pPr>
        </w:p>
      </w:tc>
    </w:tr>
    <w:tr w:rsidR="001B3CD5" w14:paraId="41A4657B" w14:textId="77777777" w:rsidTr="002E12EC">
      <w:trPr>
        <w:trHeight w:val="409"/>
        <w:jc w:val="center"/>
      </w:trPr>
      <w:tc>
        <w:tcPr>
          <w:tcW w:w="8500" w:type="dxa"/>
          <w:gridSpan w:val="2"/>
        </w:tcPr>
        <w:p w14:paraId="3AA1240B" w14:textId="77777777" w:rsidR="00BD47E4" w:rsidRDefault="00CE417F" w:rsidP="002C30DA">
          <w:pPr>
            <w:jc w:val="right"/>
          </w:pPr>
          <w:r>
            <w:t>Original:</w:t>
          </w:r>
        </w:p>
      </w:tc>
      <w:tc>
        <w:tcPr>
          <w:tcW w:w="2382" w:type="dxa"/>
          <w:gridSpan w:val="2"/>
        </w:tcPr>
        <w:p w14:paraId="52F08C0B" w14:textId="77777777" w:rsidR="00BD47E4" w:rsidRDefault="00CE417F" w:rsidP="002C30DA">
          <w:pPr>
            <w:jc w:val="right"/>
          </w:pPr>
          <w:bookmarkStart w:id="6" w:name="language"/>
          <w:r>
            <w:t>English</w:t>
          </w:r>
          <w:bookmarkEnd w:id="6"/>
        </w:p>
      </w:tc>
      <w:tc>
        <w:tcPr>
          <w:tcW w:w="390" w:type="dxa"/>
        </w:tcPr>
        <w:p w14:paraId="71396353" w14:textId="77777777" w:rsidR="00BD47E4" w:rsidRDefault="00135BA7" w:rsidP="00387A65">
          <w:pPr>
            <w:jc w:val="right"/>
          </w:pPr>
        </w:p>
      </w:tc>
    </w:tr>
    <w:tr w:rsidR="001B3CD5" w14:paraId="5EE5E52B" w14:textId="77777777" w:rsidTr="002E12EC">
      <w:trPr>
        <w:trHeight w:val="409"/>
        <w:jc w:val="center"/>
      </w:trPr>
      <w:tc>
        <w:tcPr>
          <w:tcW w:w="8500" w:type="dxa"/>
          <w:gridSpan w:val="2"/>
        </w:tcPr>
        <w:p w14:paraId="5AD6031D" w14:textId="77777777" w:rsidR="0097629D" w:rsidRDefault="00CE417F" w:rsidP="002C30DA">
          <w:pPr>
            <w:jc w:val="right"/>
          </w:pPr>
          <w:r>
            <w:t>Submitted:</w:t>
          </w:r>
        </w:p>
      </w:tc>
      <w:tc>
        <w:tcPr>
          <w:tcW w:w="2382" w:type="dxa"/>
          <w:gridSpan w:val="2"/>
        </w:tcPr>
        <w:p w14:paraId="5F424ACC" w14:textId="77777777" w:rsidR="0097629D" w:rsidRDefault="00CE417F" w:rsidP="0097629D">
          <w:pPr>
            <w:jc w:val="right"/>
          </w:pPr>
          <w:bookmarkStart w:id="7" w:name="date_submission"/>
          <w:r>
            <w:t>28 Apr 2023</w:t>
          </w:r>
          <w:bookmarkEnd w:id="7"/>
        </w:p>
      </w:tc>
      <w:tc>
        <w:tcPr>
          <w:tcW w:w="390" w:type="dxa"/>
        </w:tcPr>
        <w:p w14:paraId="0D3C5718" w14:textId="77777777" w:rsidR="0097629D" w:rsidRDefault="00135BA7" w:rsidP="00387A65">
          <w:pPr>
            <w:jc w:val="right"/>
          </w:pPr>
        </w:p>
      </w:tc>
    </w:tr>
  </w:tbl>
  <w:p w14:paraId="34959E54" w14:textId="77777777" w:rsidR="00AE5DD0" w:rsidRDefault="00135B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B3CD5" w14:paraId="229BB18B" w14:textId="77777777">
      <w:trPr>
        <w:trHeight w:val="354"/>
        <w:jc w:val="center"/>
      </w:trPr>
      <w:tc>
        <w:tcPr>
          <w:tcW w:w="9694" w:type="dxa"/>
        </w:tcPr>
        <w:p w14:paraId="5C92BAC9" w14:textId="22641A3E" w:rsidR="00AE5DD0" w:rsidRPr="00BD47E4" w:rsidRDefault="00CE417F" w:rsidP="00C26F2D">
          <w:pPr>
            <w:jc w:val="right"/>
            <w:rPr>
              <w:b/>
              <w:sz w:val="32"/>
              <w:szCs w:val="32"/>
            </w:rPr>
          </w:pPr>
          <w:r>
            <w:rPr>
              <w:b/>
              <w:sz w:val="32"/>
              <w:szCs w:val="32"/>
            </w:rPr>
            <w:t>IP</w:t>
          </w:r>
        </w:p>
      </w:tc>
      <w:tc>
        <w:tcPr>
          <w:tcW w:w="1332" w:type="dxa"/>
        </w:tcPr>
        <w:p w14:paraId="0414876A" w14:textId="758482BF" w:rsidR="00AE5DD0" w:rsidRPr="00BD47E4" w:rsidRDefault="00CE417F" w:rsidP="00080F4C">
          <w:pPr>
            <w:rPr>
              <w:b/>
              <w:sz w:val="32"/>
              <w:szCs w:val="32"/>
            </w:rPr>
          </w:pPr>
          <w:r>
            <w:rPr>
              <w:b/>
              <w:sz w:val="32"/>
              <w:szCs w:val="32"/>
            </w:rPr>
            <w:t>94</w:t>
          </w:r>
        </w:p>
      </w:tc>
    </w:tr>
  </w:tbl>
  <w:p w14:paraId="49F6F8A3" w14:textId="77777777" w:rsidR="00AE5DD0" w:rsidRDefault="00135B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9549494">
      <w:start w:val="1"/>
      <w:numFmt w:val="bullet"/>
      <w:pStyle w:val="ATSBullet1"/>
      <w:lvlText w:val=""/>
      <w:lvlJc w:val="left"/>
      <w:pPr>
        <w:tabs>
          <w:tab w:val="num" w:pos="360"/>
        </w:tabs>
        <w:ind w:left="360" w:hanging="360"/>
      </w:pPr>
      <w:rPr>
        <w:rFonts w:ascii="Symbol" w:hAnsi="Symbol" w:hint="default"/>
        <w:color w:val="auto"/>
      </w:rPr>
    </w:lvl>
    <w:lvl w:ilvl="1" w:tplc="94805CA6" w:tentative="1">
      <w:start w:val="1"/>
      <w:numFmt w:val="bullet"/>
      <w:lvlText w:val="o"/>
      <w:lvlJc w:val="left"/>
      <w:pPr>
        <w:tabs>
          <w:tab w:val="num" w:pos="1440"/>
        </w:tabs>
        <w:ind w:left="1440" w:hanging="360"/>
      </w:pPr>
      <w:rPr>
        <w:rFonts w:ascii="Courier New" w:hAnsi="Courier New" w:cs="Courier New" w:hint="default"/>
      </w:rPr>
    </w:lvl>
    <w:lvl w:ilvl="2" w:tplc="B0984CAC" w:tentative="1">
      <w:start w:val="1"/>
      <w:numFmt w:val="bullet"/>
      <w:lvlText w:val=""/>
      <w:lvlJc w:val="left"/>
      <w:pPr>
        <w:tabs>
          <w:tab w:val="num" w:pos="2160"/>
        </w:tabs>
        <w:ind w:left="2160" w:hanging="360"/>
      </w:pPr>
      <w:rPr>
        <w:rFonts w:ascii="Wingdings" w:hAnsi="Wingdings" w:hint="default"/>
      </w:rPr>
    </w:lvl>
    <w:lvl w:ilvl="3" w:tplc="F920F6B4" w:tentative="1">
      <w:start w:val="1"/>
      <w:numFmt w:val="bullet"/>
      <w:lvlText w:val=""/>
      <w:lvlJc w:val="left"/>
      <w:pPr>
        <w:tabs>
          <w:tab w:val="num" w:pos="2880"/>
        </w:tabs>
        <w:ind w:left="2880" w:hanging="360"/>
      </w:pPr>
      <w:rPr>
        <w:rFonts w:ascii="Symbol" w:hAnsi="Symbol" w:hint="default"/>
      </w:rPr>
    </w:lvl>
    <w:lvl w:ilvl="4" w:tplc="EC368C5E" w:tentative="1">
      <w:start w:val="1"/>
      <w:numFmt w:val="bullet"/>
      <w:lvlText w:val="o"/>
      <w:lvlJc w:val="left"/>
      <w:pPr>
        <w:tabs>
          <w:tab w:val="num" w:pos="3600"/>
        </w:tabs>
        <w:ind w:left="3600" w:hanging="360"/>
      </w:pPr>
      <w:rPr>
        <w:rFonts w:ascii="Courier New" w:hAnsi="Courier New" w:cs="Courier New" w:hint="default"/>
      </w:rPr>
    </w:lvl>
    <w:lvl w:ilvl="5" w:tplc="71A8B492" w:tentative="1">
      <w:start w:val="1"/>
      <w:numFmt w:val="bullet"/>
      <w:lvlText w:val=""/>
      <w:lvlJc w:val="left"/>
      <w:pPr>
        <w:tabs>
          <w:tab w:val="num" w:pos="4320"/>
        </w:tabs>
        <w:ind w:left="4320" w:hanging="360"/>
      </w:pPr>
      <w:rPr>
        <w:rFonts w:ascii="Wingdings" w:hAnsi="Wingdings" w:hint="default"/>
      </w:rPr>
    </w:lvl>
    <w:lvl w:ilvl="6" w:tplc="BDFAB6FC" w:tentative="1">
      <w:start w:val="1"/>
      <w:numFmt w:val="bullet"/>
      <w:lvlText w:val=""/>
      <w:lvlJc w:val="left"/>
      <w:pPr>
        <w:tabs>
          <w:tab w:val="num" w:pos="5040"/>
        </w:tabs>
        <w:ind w:left="5040" w:hanging="360"/>
      </w:pPr>
      <w:rPr>
        <w:rFonts w:ascii="Symbol" w:hAnsi="Symbol" w:hint="default"/>
      </w:rPr>
    </w:lvl>
    <w:lvl w:ilvl="7" w:tplc="8DBE26AE" w:tentative="1">
      <w:start w:val="1"/>
      <w:numFmt w:val="bullet"/>
      <w:lvlText w:val="o"/>
      <w:lvlJc w:val="left"/>
      <w:pPr>
        <w:tabs>
          <w:tab w:val="num" w:pos="5760"/>
        </w:tabs>
        <w:ind w:left="5760" w:hanging="360"/>
      </w:pPr>
      <w:rPr>
        <w:rFonts w:ascii="Courier New" w:hAnsi="Courier New" w:cs="Courier New" w:hint="default"/>
      </w:rPr>
    </w:lvl>
    <w:lvl w:ilvl="8" w:tplc="557CD5E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A2E8466">
      <w:start w:val="1"/>
      <w:numFmt w:val="decimal"/>
      <w:lvlText w:val="%1)"/>
      <w:lvlJc w:val="left"/>
      <w:pPr>
        <w:tabs>
          <w:tab w:val="num" w:pos="340"/>
        </w:tabs>
        <w:ind w:left="340" w:hanging="340"/>
      </w:pPr>
      <w:rPr>
        <w:rFonts w:hint="default"/>
      </w:rPr>
    </w:lvl>
    <w:lvl w:ilvl="1" w:tplc="D3FE70C6" w:tentative="1">
      <w:start w:val="1"/>
      <w:numFmt w:val="lowerLetter"/>
      <w:lvlText w:val="%2."/>
      <w:lvlJc w:val="left"/>
      <w:pPr>
        <w:tabs>
          <w:tab w:val="num" w:pos="1440"/>
        </w:tabs>
        <w:ind w:left="1440" w:hanging="360"/>
      </w:pPr>
    </w:lvl>
    <w:lvl w:ilvl="2" w:tplc="C75812C0" w:tentative="1">
      <w:start w:val="1"/>
      <w:numFmt w:val="lowerRoman"/>
      <w:lvlText w:val="%3."/>
      <w:lvlJc w:val="right"/>
      <w:pPr>
        <w:tabs>
          <w:tab w:val="num" w:pos="2160"/>
        </w:tabs>
        <w:ind w:left="2160" w:hanging="180"/>
      </w:pPr>
    </w:lvl>
    <w:lvl w:ilvl="3" w:tplc="BD58782C" w:tentative="1">
      <w:start w:val="1"/>
      <w:numFmt w:val="decimal"/>
      <w:lvlText w:val="%4."/>
      <w:lvlJc w:val="left"/>
      <w:pPr>
        <w:tabs>
          <w:tab w:val="num" w:pos="2880"/>
        </w:tabs>
        <w:ind w:left="2880" w:hanging="360"/>
      </w:pPr>
    </w:lvl>
    <w:lvl w:ilvl="4" w:tplc="9FE826A6" w:tentative="1">
      <w:start w:val="1"/>
      <w:numFmt w:val="lowerLetter"/>
      <w:lvlText w:val="%5."/>
      <w:lvlJc w:val="left"/>
      <w:pPr>
        <w:tabs>
          <w:tab w:val="num" w:pos="3600"/>
        </w:tabs>
        <w:ind w:left="3600" w:hanging="360"/>
      </w:pPr>
    </w:lvl>
    <w:lvl w:ilvl="5" w:tplc="F02C90C8" w:tentative="1">
      <w:start w:val="1"/>
      <w:numFmt w:val="lowerRoman"/>
      <w:lvlText w:val="%6."/>
      <w:lvlJc w:val="right"/>
      <w:pPr>
        <w:tabs>
          <w:tab w:val="num" w:pos="4320"/>
        </w:tabs>
        <w:ind w:left="4320" w:hanging="180"/>
      </w:pPr>
    </w:lvl>
    <w:lvl w:ilvl="6" w:tplc="B58644B0" w:tentative="1">
      <w:start w:val="1"/>
      <w:numFmt w:val="decimal"/>
      <w:lvlText w:val="%7."/>
      <w:lvlJc w:val="left"/>
      <w:pPr>
        <w:tabs>
          <w:tab w:val="num" w:pos="5040"/>
        </w:tabs>
        <w:ind w:left="5040" w:hanging="360"/>
      </w:pPr>
    </w:lvl>
    <w:lvl w:ilvl="7" w:tplc="787ED986" w:tentative="1">
      <w:start w:val="1"/>
      <w:numFmt w:val="lowerLetter"/>
      <w:lvlText w:val="%8."/>
      <w:lvlJc w:val="left"/>
      <w:pPr>
        <w:tabs>
          <w:tab w:val="num" w:pos="5760"/>
        </w:tabs>
        <w:ind w:left="5760" w:hanging="360"/>
      </w:pPr>
    </w:lvl>
    <w:lvl w:ilvl="8" w:tplc="7898F20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4ACC38E">
      <w:start w:val="1"/>
      <w:numFmt w:val="decimal"/>
      <w:lvlText w:val="%1."/>
      <w:lvlJc w:val="left"/>
      <w:pPr>
        <w:tabs>
          <w:tab w:val="num" w:pos="1057"/>
        </w:tabs>
        <w:ind w:left="1057" w:hanging="360"/>
      </w:pPr>
      <w:rPr>
        <w:rFonts w:hint="default"/>
      </w:rPr>
    </w:lvl>
    <w:lvl w:ilvl="1" w:tplc="D7268BCE" w:tentative="1">
      <w:start w:val="1"/>
      <w:numFmt w:val="lowerLetter"/>
      <w:lvlText w:val="%2."/>
      <w:lvlJc w:val="left"/>
      <w:pPr>
        <w:tabs>
          <w:tab w:val="num" w:pos="2137"/>
        </w:tabs>
        <w:ind w:left="2137" w:hanging="360"/>
      </w:pPr>
    </w:lvl>
    <w:lvl w:ilvl="2" w:tplc="F4C824BC" w:tentative="1">
      <w:start w:val="1"/>
      <w:numFmt w:val="lowerRoman"/>
      <w:lvlText w:val="%3."/>
      <w:lvlJc w:val="right"/>
      <w:pPr>
        <w:tabs>
          <w:tab w:val="num" w:pos="2857"/>
        </w:tabs>
        <w:ind w:left="2857" w:hanging="180"/>
      </w:pPr>
    </w:lvl>
    <w:lvl w:ilvl="3" w:tplc="C94E4BA2" w:tentative="1">
      <w:start w:val="1"/>
      <w:numFmt w:val="decimal"/>
      <w:lvlText w:val="%4."/>
      <w:lvlJc w:val="left"/>
      <w:pPr>
        <w:tabs>
          <w:tab w:val="num" w:pos="3577"/>
        </w:tabs>
        <w:ind w:left="3577" w:hanging="360"/>
      </w:pPr>
    </w:lvl>
    <w:lvl w:ilvl="4" w:tplc="F09E7CD0" w:tentative="1">
      <w:start w:val="1"/>
      <w:numFmt w:val="lowerLetter"/>
      <w:lvlText w:val="%5."/>
      <w:lvlJc w:val="left"/>
      <w:pPr>
        <w:tabs>
          <w:tab w:val="num" w:pos="4297"/>
        </w:tabs>
        <w:ind w:left="4297" w:hanging="360"/>
      </w:pPr>
    </w:lvl>
    <w:lvl w:ilvl="5" w:tplc="9892A3F6" w:tentative="1">
      <w:start w:val="1"/>
      <w:numFmt w:val="lowerRoman"/>
      <w:lvlText w:val="%6."/>
      <w:lvlJc w:val="right"/>
      <w:pPr>
        <w:tabs>
          <w:tab w:val="num" w:pos="5017"/>
        </w:tabs>
        <w:ind w:left="5017" w:hanging="180"/>
      </w:pPr>
    </w:lvl>
    <w:lvl w:ilvl="6" w:tplc="C07CFA84" w:tentative="1">
      <w:start w:val="1"/>
      <w:numFmt w:val="decimal"/>
      <w:lvlText w:val="%7."/>
      <w:lvlJc w:val="left"/>
      <w:pPr>
        <w:tabs>
          <w:tab w:val="num" w:pos="5737"/>
        </w:tabs>
        <w:ind w:left="5737" w:hanging="360"/>
      </w:pPr>
    </w:lvl>
    <w:lvl w:ilvl="7" w:tplc="675C927C" w:tentative="1">
      <w:start w:val="1"/>
      <w:numFmt w:val="lowerLetter"/>
      <w:lvlText w:val="%8."/>
      <w:lvlJc w:val="left"/>
      <w:pPr>
        <w:tabs>
          <w:tab w:val="num" w:pos="6457"/>
        </w:tabs>
        <w:ind w:left="6457" w:hanging="360"/>
      </w:pPr>
    </w:lvl>
    <w:lvl w:ilvl="8" w:tplc="1758F384" w:tentative="1">
      <w:start w:val="1"/>
      <w:numFmt w:val="lowerRoman"/>
      <w:lvlText w:val="%9."/>
      <w:lvlJc w:val="right"/>
      <w:pPr>
        <w:tabs>
          <w:tab w:val="num" w:pos="7177"/>
        </w:tabs>
        <w:ind w:left="7177" w:hanging="180"/>
      </w:pPr>
    </w:lvl>
  </w:abstractNum>
  <w:abstractNum w:abstractNumId="14" w15:restartNumberingAfterBreak="0">
    <w:nsid w:val="6FBE1B4F"/>
    <w:multiLevelType w:val="hybridMultilevel"/>
    <w:tmpl w:val="D4BCC4DA"/>
    <w:lvl w:ilvl="0" w:tplc="082AB156">
      <w:start w:val="1"/>
      <w:numFmt w:val="lowerRoman"/>
      <w:lvlText w:val="%1)"/>
      <w:lvlJc w:val="left"/>
      <w:pPr>
        <w:ind w:left="720" w:hanging="360"/>
      </w:pPr>
      <w:rPr>
        <w:rFonts w:hint="default"/>
      </w:rPr>
    </w:lvl>
    <w:lvl w:ilvl="1" w:tplc="B52E47CE" w:tentative="1">
      <w:start w:val="1"/>
      <w:numFmt w:val="lowerLetter"/>
      <w:lvlText w:val="%2."/>
      <w:lvlJc w:val="left"/>
      <w:pPr>
        <w:tabs>
          <w:tab w:val="num" w:pos="1440"/>
        </w:tabs>
        <w:ind w:left="1440" w:hanging="360"/>
      </w:pPr>
    </w:lvl>
    <w:lvl w:ilvl="2" w:tplc="F8C4167C" w:tentative="1">
      <w:start w:val="1"/>
      <w:numFmt w:val="lowerRoman"/>
      <w:lvlText w:val="%3."/>
      <w:lvlJc w:val="right"/>
      <w:pPr>
        <w:tabs>
          <w:tab w:val="num" w:pos="2160"/>
        </w:tabs>
        <w:ind w:left="2160" w:hanging="180"/>
      </w:pPr>
    </w:lvl>
    <w:lvl w:ilvl="3" w:tplc="E87EC622" w:tentative="1">
      <w:start w:val="1"/>
      <w:numFmt w:val="decimal"/>
      <w:lvlText w:val="%4."/>
      <w:lvlJc w:val="left"/>
      <w:pPr>
        <w:tabs>
          <w:tab w:val="num" w:pos="2880"/>
        </w:tabs>
        <w:ind w:left="2880" w:hanging="360"/>
      </w:pPr>
    </w:lvl>
    <w:lvl w:ilvl="4" w:tplc="B8AC18F8" w:tentative="1">
      <w:start w:val="1"/>
      <w:numFmt w:val="lowerLetter"/>
      <w:lvlText w:val="%5."/>
      <w:lvlJc w:val="left"/>
      <w:pPr>
        <w:tabs>
          <w:tab w:val="num" w:pos="3600"/>
        </w:tabs>
        <w:ind w:left="3600" w:hanging="360"/>
      </w:pPr>
    </w:lvl>
    <w:lvl w:ilvl="5" w:tplc="2B4C6C32" w:tentative="1">
      <w:start w:val="1"/>
      <w:numFmt w:val="lowerRoman"/>
      <w:lvlText w:val="%6."/>
      <w:lvlJc w:val="right"/>
      <w:pPr>
        <w:tabs>
          <w:tab w:val="num" w:pos="4320"/>
        </w:tabs>
        <w:ind w:left="4320" w:hanging="180"/>
      </w:pPr>
    </w:lvl>
    <w:lvl w:ilvl="6" w:tplc="21D449B8" w:tentative="1">
      <w:start w:val="1"/>
      <w:numFmt w:val="decimal"/>
      <w:lvlText w:val="%7."/>
      <w:lvlJc w:val="left"/>
      <w:pPr>
        <w:tabs>
          <w:tab w:val="num" w:pos="5040"/>
        </w:tabs>
        <w:ind w:left="5040" w:hanging="360"/>
      </w:pPr>
    </w:lvl>
    <w:lvl w:ilvl="7" w:tplc="9F7AAB7C" w:tentative="1">
      <w:start w:val="1"/>
      <w:numFmt w:val="lowerLetter"/>
      <w:lvlText w:val="%8."/>
      <w:lvlJc w:val="left"/>
      <w:pPr>
        <w:tabs>
          <w:tab w:val="num" w:pos="5760"/>
        </w:tabs>
        <w:ind w:left="5760" w:hanging="360"/>
      </w:pPr>
    </w:lvl>
    <w:lvl w:ilvl="8" w:tplc="5C6E8224" w:tentative="1">
      <w:start w:val="1"/>
      <w:numFmt w:val="lowerRoman"/>
      <w:lvlText w:val="%9."/>
      <w:lvlJc w:val="right"/>
      <w:pPr>
        <w:tabs>
          <w:tab w:val="num" w:pos="6480"/>
        </w:tabs>
        <w:ind w:left="6480" w:hanging="180"/>
      </w:pPr>
    </w:lvl>
  </w:abstractNum>
  <w:abstractNum w:abstractNumId="15" w15:restartNumberingAfterBreak="0">
    <w:nsid w:val="7212657C"/>
    <w:multiLevelType w:val="hybridMultilevel"/>
    <w:tmpl w:val="0A8E2A84"/>
    <w:lvl w:ilvl="0" w:tplc="55BEE798">
      <w:start w:val="1"/>
      <w:numFmt w:val="decimal"/>
      <w:pStyle w:val="ATSNumber1"/>
      <w:lvlText w:val="%1)"/>
      <w:lvlJc w:val="left"/>
      <w:pPr>
        <w:tabs>
          <w:tab w:val="num" w:pos="720"/>
        </w:tabs>
        <w:ind w:left="720" w:hanging="360"/>
      </w:pPr>
    </w:lvl>
    <w:lvl w:ilvl="1" w:tplc="76449F06" w:tentative="1">
      <w:start w:val="1"/>
      <w:numFmt w:val="lowerLetter"/>
      <w:lvlText w:val="%2."/>
      <w:lvlJc w:val="left"/>
      <w:pPr>
        <w:tabs>
          <w:tab w:val="num" w:pos="1440"/>
        </w:tabs>
        <w:ind w:left="1440" w:hanging="360"/>
      </w:pPr>
    </w:lvl>
    <w:lvl w:ilvl="2" w:tplc="5A06F910" w:tentative="1">
      <w:start w:val="1"/>
      <w:numFmt w:val="lowerRoman"/>
      <w:lvlText w:val="%3."/>
      <w:lvlJc w:val="right"/>
      <w:pPr>
        <w:tabs>
          <w:tab w:val="num" w:pos="2160"/>
        </w:tabs>
        <w:ind w:left="2160" w:hanging="180"/>
      </w:pPr>
    </w:lvl>
    <w:lvl w:ilvl="3" w:tplc="907C89D2" w:tentative="1">
      <w:start w:val="1"/>
      <w:numFmt w:val="decimal"/>
      <w:lvlText w:val="%4."/>
      <w:lvlJc w:val="left"/>
      <w:pPr>
        <w:tabs>
          <w:tab w:val="num" w:pos="2880"/>
        </w:tabs>
        <w:ind w:left="2880" w:hanging="360"/>
      </w:pPr>
    </w:lvl>
    <w:lvl w:ilvl="4" w:tplc="D108A710" w:tentative="1">
      <w:start w:val="1"/>
      <w:numFmt w:val="lowerLetter"/>
      <w:lvlText w:val="%5."/>
      <w:lvlJc w:val="left"/>
      <w:pPr>
        <w:tabs>
          <w:tab w:val="num" w:pos="3600"/>
        </w:tabs>
        <w:ind w:left="3600" w:hanging="360"/>
      </w:pPr>
    </w:lvl>
    <w:lvl w:ilvl="5" w:tplc="C44E8148" w:tentative="1">
      <w:start w:val="1"/>
      <w:numFmt w:val="lowerRoman"/>
      <w:lvlText w:val="%6."/>
      <w:lvlJc w:val="right"/>
      <w:pPr>
        <w:tabs>
          <w:tab w:val="num" w:pos="4320"/>
        </w:tabs>
        <w:ind w:left="4320" w:hanging="180"/>
      </w:pPr>
    </w:lvl>
    <w:lvl w:ilvl="6" w:tplc="4C7462F8" w:tentative="1">
      <w:start w:val="1"/>
      <w:numFmt w:val="decimal"/>
      <w:lvlText w:val="%7."/>
      <w:lvlJc w:val="left"/>
      <w:pPr>
        <w:tabs>
          <w:tab w:val="num" w:pos="5040"/>
        </w:tabs>
        <w:ind w:left="5040" w:hanging="360"/>
      </w:pPr>
    </w:lvl>
    <w:lvl w:ilvl="7" w:tplc="27DED82E" w:tentative="1">
      <w:start w:val="1"/>
      <w:numFmt w:val="lowerLetter"/>
      <w:lvlText w:val="%8."/>
      <w:lvlJc w:val="left"/>
      <w:pPr>
        <w:tabs>
          <w:tab w:val="num" w:pos="5760"/>
        </w:tabs>
        <w:ind w:left="5760" w:hanging="360"/>
      </w:pPr>
    </w:lvl>
    <w:lvl w:ilvl="8" w:tplc="EDB25D16"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4E52121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EEE88F8" w:tentative="1">
      <w:start w:val="1"/>
      <w:numFmt w:val="bullet"/>
      <w:lvlText w:val="o"/>
      <w:lvlJc w:val="left"/>
      <w:pPr>
        <w:tabs>
          <w:tab w:val="num" w:pos="2517"/>
        </w:tabs>
        <w:ind w:left="2517" w:hanging="360"/>
      </w:pPr>
      <w:rPr>
        <w:rFonts w:ascii="Courier New" w:hAnsi="Courier New" w:cs="Courier New" w:hint="default"/>
      </w:rPr>
    </w:lvl>
    <w:lvl w:ilvl="2" w:tplc="0DE6B314" w:tentative="1">
      <w:start w:val="1"/>
      <w:numFmt w:val="bullet"/>
      <w:lvlText w:val=""/>
      <w:lvlJc w:val="left"/>
      <w:pPr>
        <w:tabs>
          <w:tab w:val="num" w:pos="3237"/>
        </w:tabs>
        <w:ind w:left="3237" w:hanging="360"/>
      </w:pPr>
      <w:rPr>
        <w:rFonts w:ascii="Wingdings" w:hAnsi="Wingdings" w:hint="default"/>
      </w:rPr>
    </w:lvl>
    <w:lvl w:ilvl="3" w:tplc="845C3172" w:tentative="1">
      <w:start w:val="1"/>
      <w:numFmt w:val="bullet"/>
      <w:lvlText w:val=""/>
      <w:lvlJc w:val="left"/>
      <w:pPr>
        <w:tabs>
          <w:tab w:val="num" w:pos="3957"/>
        </w:tabs>
        <w:ind w:left="3957" w:hanging="360"/>
      </w:pPr>
      <w:rPr>
        <w:rFonts w:ascii="Symbol" w:hAnsi="Symbol" w:hint="default"/>
      </w:rPr>
    </w:lvl>
    <w:lvl w:ilvl="4" w:tplc="2F60011C" w:tentative="1">
      <w:start w:val="1"/>
      <w:numFmt w:val="bullet"/>
      <w:lvlText w:val="o"/>
      <w:lvlJc w:val="left"/>
      <w:pPr>
        <w:tabs>
          <w:tab w:val="num" w:pos="4677"/>
        </w:tabs>
        <w:ind w:left="4677" w:hanging="360"/>
      </w:pPr>
      <w:rPr>
        <w:rFonts w:ascii="Courier New" w:hAnsi="Courier New" w:cs="Courier New" w:hint="default"/>
      </w:rPr>
    </w:lvl>
    <w:lvl w:ilvl="5" w:tplc="DD16109C" w:tentative="1">
      <w:start w:val="1"/>
      <w:numFmt w:val="bullet"/>
      <w:lvlText w:val=""/>
      <w:lvlJc w:val="left"/>
      <w:pPr>
        <w:tabs>
          <w:tab w:val="num" w:pos="5397"/>
        </w:tabs>
        <w:ind w:left="5397" w:hanging="360"/>
      </w:pPr>
      <w:rPr>
        <w:rFonts w:ascii="Wingdings" w:hAnsi="Wingdings" w:hint="default"/>
      </w:rPr>
    </w:lvl>
    <w:lvl w:ilvl="6" w:tplc="A73C2F96" w:tentative="1">
      <w:start w:val="1"/>
      <w:numFmt w:val="bullet"/>
      <w:lvlText w:val=""/>
      <w:lvlJc w:val="left"/>
      <w:pPr>
        <w:tabs>
          <w:tab w:val="num" w:pos="6117"/>
        </w:tabs>
        <w:ind w:left="6117" w:hanging="360"/>
      </w:pPr>
      <w:rPr>
        <w:rFonts w:ascii="Symbol" w:hAnsi="Symbol" w:hint="default"/>
      </w:rPr>
    </w:lvl>
    <w:lvl w:ilvl="7" w:tplc="F26A5760" w:tentative="1">
      <w:start w:val="1"/>
      <w:numFmt w:val="bullet"/>
      <w:lvlText w:val="o"/>
      <w:lvlJc w:val="left"/>
      <w:pPr>
        <w:tabs>
          <w:tab w:val="num" w:pos="6837"/>
        </w:tabs>
        <w:ind w:left="6837" w:hanging="360"/>
      </w:pPr>
      <w:rPr>
        <w:rFonts w:ascii="Courier New" w:hAnsi="Courier New" w:cs="Courier New" w:hint="default"/>
      </w:rPr>
    </w:lvl>
    <w:lvl w:ilvl="8" w:tplc="5F664BF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B978D326">
      <w:start w:val="1"/>
      <w:numFmt w:val="decimal"/>
      <w:pStyle w:val="ATSNumber2"/>
      <w:lvlText w:val="%1."/>
      <w:lvlJc w:val="left"/>
      <w:pPr>
        <w:tabs>
          <w:tab w:val="num" w:pos="720"/>
        </w:tabs>
        <w:ind w:left="720" w:hanging="360"/>
      </w:pPr>
      <w:rPr>
        <w:rFonts w:hint="default"/>
      </w:rPr>
    </w:lvl>
    <w:lvl w:ilvl="1" w:tplc="035641BC" w:tentative="1">
      <w:start w:val="1"/>
      <w:numFmt w:val="lowerLetter"/>
      <w:lvlText w:val="%2."/>
      <w:lvlJc w:val="left"/>
      <w:pPr>
        <w:tabs>
          <w:tab w:val="num" w:pos="1440"/>
        </w:tabs>
        <w:ind w:left="1440" w:hanging="360"/>
      </w:pPr>
    </w:lvl>
    <w:lvl w:ilvl="2" w:tplc="3FB8C6D2" w:tentative="1">
      <w:start w:val="1"/>
      <w:numFmt w:val="lowerRoman"/>
      <w:lvlText w:val="%3."/>
      <w:lvlJc w:val="right"/>
      <w:pPr>
        <w:tabs>
          <w:tab w:val="num" w:pos="2160"/>
        </w:tabs>
        <w:ind w:left="2160" w:hanging="180"/>
      </w:pPr>
    </w:lvl>
    <w:lvl w:ilvl="3" w:tplc="DDE07756" w:tentative="1">
      <w:start w:val="1"/>
      <w:numFmt w:val="decimal"/>
      <w:lvlText w:val="%4."/>
      <w:lvlJc w:val="left"/>
      <w:pPr>
        <w:tabs>
          <w:tab w:val="num" w:pos="2880"/>
        </w:tabs>
        <w:ind w:left="2880" w:hanging="360"/>
      </w:pPr>
    </w:lvl>
    <w:lvl w:ilvl="4" w:tplc="8E5AA70A" w:tentative="1">
      <w:start w:val="1"/>
      <w:numFmt w:val="lowerLetter"/>
      <w:lvlText w:val="%5."/>
      <w:lvlJc w:val="left"/>
      <w:pPr>
        <w:tabs>
          <w:tab w:val="num" w:pos="3600"/>
        </w:tabs>
        <w:ind w:left="3600" w:hanging="360"/>
      </w:pPr>
    </w:lvl>
    <w:lvl w:ilvl="5" w:tplc="D214F2F0" w:tentative="1">
      <w:start w:val="1"/>
      <w:numFmt w:val="lowerRoman"/>
      <w:lvlText w:val="%6."/>
      <w:lvlJc w:val="right"/>
      <w:pPr>
        <w:tabs>
          <w:tab w:val="num" w:pos="4320"/>
        </w:tabs>
        <w:ind w:left="4320" w:hanging="180"/>
      </w:pPr>
    </w:lvl>
    <w:lvl w:ilvl="6" w:tplc="8C1EEDE6" w:tentative="1">
      <w:start w:val="1"/>
      <w:numFmt w:val="decimal"/>
      <w:lvlText w:val="%7."/>
      <w:lvlJc w:val="left"/>
      <w:pPr>
        <w:tabs>
          <w:tab w:val="num" w:pos="5040"/>
        </w:tabs>
        <w:ind w:left="5040" w:hanging="360"/>
      </w:pPr>
    </w:lvl>
    <w:lvl w:ilvl="7" w:tplc="128E3558" w:tentative="1">
      <w:start w:val="1"/>
      <w:numFmt w:val="lowerLetter"/>
      <w:lvlText w:val="%8."/>
      <w:lvlJc w:val="left"/>
      <w:pPr>
        <w:tabs>
          <w:tab w:val="num" w:pos="5760"/>
        </w:tabs>
        <w:ind w:left="5760" w:hanging="360"/>
      </w:pPr>
    </w:lvl>
    <w:lvl w:ilvl="8" w:tplc="DA38525A" w:tentative="1">
      <w:start w:val="1"/>
      <w:numFmt w:val="lowerRoman"/>
      <w:lvlText w:val="%9."/>
      <w:lvlJc w:val="right"/>
      <w:pPr>
        <w:tabs>
          <w:tab w:val="num" w:pos="6480"/>
        </w:tabs>
        <w:ind w:left="6480" w:hanging="180"/>
      </w:pPr>
    </w:lvl>
  </w:abstractNum>
  <w:num w:numId="1" w16cid:durableId="912162158">
    <w:abstractNumId w:val="9"/>
  </w:num>
  <w:num w:numId="2" w16cid:durableId="1507748533">
    <w:abstractNumId w:val="7"/>
  </w:num>
  <w:num w:numId="3" w16cid:durableId="2137064154">
    <w:abstractNumId w:val="6"/>
  </w:num>
  <w:num w:numId="4" w16cid:durableId="2824054">
    <w:abstractNumId w:val="5"/>
  </w:num>
  <w:num w:numId="5" w16cid:durableId="1363824752">
    <w:abstractNumId w:val="4"/>
  </w:num>
  <w:num w:numId="6" w16cid:durableId="504519211">
    <w:abstractNumId w:val="8"/>
  </w:num>
  <w:num w:numId="7" w16cid:durableId="2145001654">
    <w:abstractNumId w:val="3"/>
  </w:num>
  <w:num w:numId="8" w16cid:durableId="1164248301">
    <w:abstractNumId w:val="2"/>
  </w:num>
  <w:num w:numId="9" w16cid:durableId="789519206">
    <w:abstractNumId w:val="1"/>
  </w:num>
  <w:num w:numId="10" w16cid:durableId="1342507084">
    <w:abstractNumId w:val="0"/>
  </w:num>
  <w:num w:numId="11" w16cid:durableId="296956502">
    <w:abstractNumId w:val="11"/>
  </w:num>
  <w:num w:numId="12" w16cid:durableId="740754645">
    <w:abstractNumId w:val="16"/>
  </w:num>
  <w:num w:numId="13" w16cid:durableId="797141632">
    <w:abstractNumId w:val="15"/>
  </w:num>
  <w:num w:numId="14" w16cid:durableId="1070692154">
    <w:abstractNumId w:val="12"/>
  </w:num>
  <w:num w:numId="15" w16cid:durableId="197744188">
    <w:abstractNumId w:val="13"/>
  </w:num>
  <w:num w:numId="16" w16cid:durableId="725641671">
    <w:abstractNumId w:val="10"/>
  </w:num>
  <w:num w:numId="17" w16cid:durableId="391513380">
    <w:abstractNumId w:val="11"/>
  </w:num>
  <w:num w:numId="18" w16cid:durableId="868376688">
    <w:abstractNumId w:val="16"/>
  </w:num>
  <w:num w:numId="19" w16cid:durableId="1937711094">
    <w:abstractNumId w:val="15"/>
  </w:num>
  <w:num w:numId="20" w16cid:durableId="1097867515">
    <w:abstractNumId w:val="17"/>
  </w:num>
  <w:num w:numId="21" w16cid:durableId="116895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D5"/>
    <w:rsid w:val="00135BA7"/>
    <w:rsid w:val="001B3CD5"/>
    <w:rsid w:val="00591C7F"/>
    <w:rsid w:val="00CE41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C33EC"/>
  <w15:chartTrackingRefBased/>
  <w15:docId w15:val="{CA0133AA-2213-455B-8068-12656246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CE417F"/>
    <w:rPr>
      <w:rFonts w:ascii="Arial" w:hAnsi="Arial"/>
      <w:b/>
      <w:i/>
      <w:sz w:val="24"/>
      <w:szCs w:val="22"/>
      <w:lang w:val="en-GB" w:eastAsia="en-GB"/>
    </w:rPr>
  </w:style>
  <w:style w:type="character" w:customStyle="1" w:styleId="markedcontent">
    <w:name w:val="markedcontent"/>
    <w:basedOn w:val="Fuentedeprrafopredeter"/>
    <w:rsid w:val="00CE4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limate-cryosphere.org/wp-content/uploads/2022/01/CliC_StrategicPlan_2022-2031.pdf" TargetMode="External"/><Relationship Id="rId18" Type="http://schemas.openxmlformats.org/officeDocument/2006/relationships/hyperlink" Target="mailto:gerhard.krinner" TargetMode="External"/><Relationship Id="rId26" Type="http://schemas.openxmlformats.org/officeDocument/2006/relationships/hyperlink" Target="mailto:raphael@geog.ucla.edu" TargetMode="External"/><Relationship Id="rId39" Type="http://schemas.openxmlformats.org/officeDocument/2006/relationships/fontTable" Target="fontTable.xml"/><Relationship Id="rId21" Type="http://schemas.openxmlformats.org/officeDocument/2006/relationships/hyperlink" Target="mailto:regine.hock@geo.uio.no" TargetMode="External"/><Relationship Id="rId34" Type="http://schemas.openxmlformats.org/officeDocument/2006/relationships/hyperlink" Target="mailto:Nadja.Steiner@dfo-mpo.gc.c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nicolas.jourdain@univ-grenoble-alpes.fr" TargetMode="External"/><Relationship Id="rId25" Type="http://schemas.openxmlformats.org/officeDocument/2006/relationships/hyperlink" Target="http://www.sparc-climate.org/" TargetMode="External"/><Relationship Id="rId33" Type="http://schemas.openxmlformats.org/officeDocument/2006/relationships/hyperlink" Target="mailto:j.stefels@rug.nl"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jan.rydt@northumbria.ac.uk" TargetMode="External"/><Relationship Id="rId20" Type="http://schemas.openxmlformats.org/officeDocument/2006/relationships/hyperlink" Target="http://www.ige-grenoble.fr/-gerhard-krinner-" TargetMode="External"/><Relationship Id="rId29" Type="http://schemas.openxmlformats.org/officeDocument/2006/relationships/hyperlink" Target="mailto:petra.heil@utas.edu.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imate-cryosphere.org/wp-content/uploads/2022/01/CliC_StrategicPlan_2022-2031.pdf" TargetMode="External"/><Relationship Id="rId24" Type="http://schemas.openxmlformats.org/officeDocument/2006/relationships/hyperlink" Target="mailto:dirk.notz@mpimet.mpg.de" TargetMode="External"/><Relationship Id="rId32" Type="http://schemas.openxmlformats.org/officeDocument/2006/relationships/hyperlink" Target="mailto:anmcr@bas.ac.uk"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ophien@buffalo.edu" TargetMode="External"/><Relationship Id="rId23" Type="http://schemas.openxmlformats.org/officeDocument/2006/relationships/hyperlink" Target="mailto:Alexandra.Jahn@Colorado.edu" TargetMode="External"/><Relationship Id="rId28" Type="http://schemas.openxmlformats.org/officeDocument/2006/relationships/hyperlink" Target="mailto:Raphael@geog.ucla.edu" TargetMode="External"/><Relationship Id="rId36" Type="http://schemas.openxmlformats.org/officeDocument/2006/relationships/hyperlink" Target="http://www.climate-cryosphere.org" TargetMode="External"/><Relationship Id="rId10" Type="http://schemas.openxmlformats.org/officeDocument/2006/relationships/footer" Target="footer2.xml"/><Relationship Id="rId19" Type="http://schemas.openxmlformats.org/officeDocument/2006/relationships/hyperlink" Target="http://www.ige-grenoble.fr/-gerhard-krinner-" TargetMode="External"/><Relationship Id="rId31" Type="http://schemas.openxmlformats.org/officeDocument/2006/relationships/hyperlink" Target="mailto:ariaan.purich@monash.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crp-climate.org/wcrp-sp" TargetMode="External"/><Relationship Id="rId22" Type="http://schemas.openxmlformats.org/officeDocument/2006/relationships/hyperlink" Target="mailto:ben.marzeion@uni-bremen.de" TargetMode="External"/><Relationship Id="rId27" Type="http://schemas.openxmlformats.org/officeDocument/2006/relationships/hyperlink" Target="mailto:julie.jones@sheffield.ac.uk" TargetMode="External"/><Relationship Id="rId30" Type="http://schemas.openxmlformats.org/officeDocument/2006/relationships/hyperlink" Target="mailto:tomartin@geomar.de" TargetMode="External"/><Relationship Id="rId35" Type="http://schemas.openxmlformats.org/officeDocument/2006/relationships/hyperlink" Target="mailto:info@climate-cryosphere.org"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1898</Words>
  <Characters>12894</Characters>
  <Application>Microsoft Office Word</Application>
  <DocSecurity>0</DocSecurity>
  <Lines>107</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2023-05-02T11:40:00Z</dcterms:modified>
</cp:coreProperties>
</file>