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A023" w14:textId="77777777" w:rsidR="00C26F2D" w:rsidRPr="00BF077B" w:rsidRDefault="004A35A6" w:rsidP="00BF077B">
      <w:pPr>
        <w:pStyle w:val="ATSNormal"/>
        <w:rPr>
          <w:rStyle w:val="Ttulodellibro"/>
        </w:rPr>
      </w:pPr>
    </w:p>
    <w:p w14:paraId="70E509DF" w14:textId="77777777" w:rsidR="002F0A13" w:rsidRDefault="004A35A6" w:rsidP="004B4A60">
      <w:pPr>
        <w:rPr>
          <w:b/>
          <w:u w:val="single"/>
          <w:lang w:val="es-ES_tradnl"/>
        </w:rPr>
      </w:pPr>
    </w:p>
    <w:p w14:paraId="1DB8A1D5" w14:textId="77777777" w:rsidR="002F0A13" w:rsidRDefault="004A35A6" w:rsidP="004B4A60">
      <w:pPr>
        <w:rPr>
          <w:b/>
          <w:u w:val="single"/>
          <w:lang w:val="es-ES_tradnl"/>
        </w:rPr>
      </w:pPr>
    </w:p>
    <w:p w14:paraId="4F25188F" w14:textId="77777777" w:rsidR="002F0A13" w:rsidRDefault="004A35A6" w:rsidP="004B4A60">
      <w:pPr>
        <w:rPr>
          <w:b/>
          <w:u w:val="single"/>
          <w:lang w:val="es-ES_tradnl"/>
        </w:rPr>
      </w:pPr>
    </w:p>
    <w:p w14:paraId="5D2BF7EB" w14:textId="77777777" w:rsidR="002F0A13" w:rsidRDefault="004A35A6" w:rsidP="004B4A60">
      <w:pPr>
        <w:rPr>
          <w:b/>
          <w:u w:val="single"/>
          <w:lang w:val="es-ES_tradnl"/>
        </w:rPr>
      </w:pPr>
    </w:p>
    <w:p w14:paraId="7AD2E7A1" w14:textId="77777777" w:rsidR="00C26F2D" w:rsidRDefault="004A35A6" w:rsidP="004B4A60">
      <w:pPr>
        <w:rPr>
          <w:b/>
          <w:u w:val="single"/>
          <w:lang w:val="es-ES_tradnl"/>
        </w:rPr>
      </w:pPr>
    </w:p>
    <w:p w14:paraId="080D15F6" w14:textId="77777777" w:rsidR="004B4A60" w:rsidRPr="0057246E" w:rsidRDefault="004A35A6" w:rsidP="001B789F">
      <w:pPr>
        <w:pStyle w:val="ATSTitle"/>
      </w:pPr>
      <w:bookmarkStart w:id="0" w:name="name"/>
      <w:r>
        <w:t>Feedback on the monitoring on board tourist vessels conducted during the 2022 / 2023 season</w:t>
      </w:r>
      <w:bookmarkEnd w:id="0"/>
    </w:p>
    <w:p w14:paraId="79102540" w14:textId="77777777" w:rsidR="004B4A60" w:rsidRPr="0057246E" w:rsidRDefault="004A35A6" w:rsidP="00F75424">
      <w:pPr>
        <w:jc w:val="center"/>
      </w:pPr>
    </w:p>
    <w:p w14:paraId="7B7212DD" w14:textId="77777777" w:rsidR="004B4A60" w:rsidRPr="002F0A13" w:rsidRDefault="004A35A6" w:rsidP="002F0A13"/>
    <w:p w14:paraId="624AA9FC" w14:textId="77777777" w:rsidR="004B4A60" w:rsidRDefault="004A35A6" w:rsidP="00F75424">
      <w:pPr>
        <w:jc w:val="center"/>
      </w:pPr>
      <w:bookmarkStart w:id="1" w:name="memo"/>
      <w:bookmarkEnd w:id="1"/>
    </w:p>
    <w:p w14:paraId="65681292" w14:textId="77777777" w:rsidR="0097629D" w:rsidRDefault="004A35A6" w:rsidP="00F75424">
      <w:pPr>
        <w:jc w:val="center"/>
      </w:pPr>
    </w:p>
    <w:p w14:paraId="649D45B3" w14:textId="77777777" w:rsidR="0097629D" w:rsidRDefault="004A35A6" w:rsidP="00F75424">
      <w:pPr>
        <w:jc w:val="center"/>
      </w:pPr>
    </w:p>
    <w:p w14:paraId="0087DBFE" w14:textId="77777777" w:rsidR="0097629D" w:rsidRDefault="004A35A6" w:rsidP="00F75424">
      <w:pPr>
        <w:jc w:val="center"/>
      </w:pPr>
    </w:p>
    <w:p w14:paraId="770F4B54" w14:textId="77777777" w:rsidR="0097629D" w:rsidRPr="00C26F2D" w:rsidRDefault="004A35A6" w:rsidP="00F75424">
      <w:pPr>
        <w:jc w:val="center"/>
      </w:pPr>
    </w:p>
    <w:p w14:paraId="20C9CE3A" w14:textId="77777777" w:rsidR="004B4A60" w:rsidRPr="0057246E" w:rsidRDefault="004A35A6" w:rsidP="004B4A60"/>
    <w:p w14:paraId="78F95E0F" w14:textId="77777777" w:rsidR="00C26F2D" w:rsidRDefault="004A35A6"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5A5CA334" w14:textId="77777777" w:rsidR="004A35A6" w:rsidRDefault="004A35A6" w:rsidP="004A35A6">
      <w:pPr>
        <w:pStyle w:val="ATSHeading1"/>
      </w:pPr>
      <w:r w:rsidRPr="0043768D">
        <w:lastRenderedPageBreak/>
        <w:t>Feedback on the monitoring on board tourist vessels conducted during the 2022 / 2023 season</w:t>
      </w:r>
    </w:p>
    <w:p w14:paraId="2EEDE47F" w14:textId="77777777" w:rsidR="004A35A6" w:rsidRPr="00DE77E5" w:rsidRDefault="004A35A6" w:rsidP="004A35A6">
      <w:pPr>
        <w:pStyle w:val="ATSHeading2"/>
      </w:pPr>
      <w:r w:rsidRPr="00DE77E5">
        <w:t>Sum</w:t>
      </w:r>
      <w:r>
        <w:t>mary</w:t>
      </w:r>
    </w:p>
    <w:p w14:paraId="7763B779" w14:textId="77777777" w:rsidR="004A35A6" w:rsidRDefault="004A35A6" w:rsidP="004A35A6">
      <w:pPr>
        <w:pStyle w:val="ASNormal"/>
        <w:rPr>
          <w:b/>
          <w:bCs/>
        </w:rPr>
      </w:pPr>
      <w:r w:rsidRPr="005B735A">
        <w:rPr>
          <w:lang w:val="en-US"/>
        </w:rPr>
        <w:t xml:space="preserve">This </w:t>
      </w:r>
      <w:r>
        <w:rPr>
          <w:lang w:val="en-US"/>
        </w:rPr>
        <w:t>Information Paper</w:t>
      </w:r>
      <w:r w:rsidRPr="005B735A">
        <w:rPr>
          <w:lang w:val="en-US"/>
        </w:rPr>
        <w:t xml:space="preserve"> reports on the monitoring carried out under R</w:t>
      </w:r>
      <w:r>
        <w:rPr>
          <w:lang w:val="en-US"/>
        </w:rPr>
        <w:t xml:space="preserve">esolution </w:t>
      </w:r>
      <w:r w:rsidRPr="005B735A">
        <w:rPr>
          <w:lang w:val="en-US"/>
        </w:rPr>
        <w:t xml:space="preserve">9 (2021) </w:t>
      </w:r>
      <w:r w:rsidRPr="003F0430">
        <w:rPr>
          <w:i/>
          <w:iCs/>
          <w:lang w:val="en-US"/>
        </w:rPr>
        <w:t>Voluntary on-board observer operational framework for vessel-based tourism in the Antarctic Treaty Area</w:t>
      </w:r>
      <w:r>
        <w:rPr>
          <w:i/>
          <w:iCs/>
          <w:lang w:val="en-US"/>
        </w:rPr>
        <w:t xml:space="preserve"> </w:t>
      </w:r>
      <w:r w:rsidRPr="005B735A">
        <w:rPr>
          <w:lang w:val="en-US"/>
        </w:rPr>
        <w:t>during the 2022 / 2023 Antarctic season, in partnership between France and New Zealand and France and IAATO. It highlights the benefits and challenges of implementing R9 (2021) at the international level</w:t>
      </w:r>
      <w:r>
        <w:rPr>
          <w:lang w:val="en-US"/>
        </w:rPr>
        <w:t>. It</w:t>
      </w:r>
      <w:r w:rsidRPr="005B735A">
        <w:rPr>
          <w:lang w:val="en-US"/>
        </w:rPr>
        <w:t xml:space="preserve"> calls on Parties authorizing tourism activities to consider joining this international effort to better monitor tourism activities</w:t>
      </w:r>
      <w:r>
        <w:rPr>
          <w:lang w:val="en-US"/>
        </w:rPr>
        <w:t xml:space="preserve"> in Antarctica. </w:t>
      </w:r>
    </w:p>
    <w:p w14:paraId="478286E8" w14:textId="77777777" w:rsidR="004A35A6" w:rsidRDefault="004A35A6" w:rsidP="004A35A6">
      <w:pPr>
        <w:pStyle w:val="ATSHeading2"/>
      </w:pPr>
      <w:r>
        <w:t>Background</w:t>
      </w:r>
    </w:p>
    <w:p w14:paraId="757E4620" w14:textId="77777777" w:rsidR="004A35A6" w:rsidRDefault="004A35A6" w:rsidP="004A35A6">
      <w:pPr>
        <w:pStyle w:val="ATSNormal"/>
        <w:rPr>
          <w:lang w:val="en-US"/>
        </w:rPr>
      </w:pPr>
      <w:r>
        <w:rPr>
          <w:lang w:val="en-US"/>
        </w:rPr>
        <w:t xml:space="preserve">Resolution 9 (2021) recommend that Parties monitor, on a voluntary basis, vessel-based tourism under their jurisdiction in the Antarctic Treaty area, based on the framework proposed by the Resolution. The Resolution further calls on Parties to cooperate in this context. In parallel, New Zealand has had an on-board observer scheme for New Zealand-approved Antarctic tour vessels since 1996, following the entry into force of the Environmental Protocol to the Antarctic Treaty. IAATO as well, has a Mandatory observer scheme on-board its Operator’s vessel. </w:t>
      </w:r>
    </w:p>
    <w:p w14:paraId="08551D49" w14:textId="77777777" w:rsidR="004A35A6" w:rsidRDefault="004A35A6" w:rsidP="004A35A6">
      <w:pPr>
        <w:pStyle w:val="ATSHeading3"/>
        <w:rPr>
          <w:rStyle w:val="q4iawc"/>
          <w:lang w:val="en"/>
        </w:rPr>
      </w:pPr>
      <w:r>
        <w:rPr>
          <w:rStyle w:val="q4iawc"/>
          <w:lang w:val="en"/>
        </w:rPr>
        <w:t>France and IAATO joint monitoring</w:t>
      </w:r>
    </w:p>
    <w:p w14:paraId="44511D1C" w14:textId="77777777" w:rsidR="004A35A6" w:rsidRDefault="004A35A6" w:rsidP="004A35A6">
      <w:pPr>
        <w:pStyle w:val="ATSNormal"/>
        <w:rPr>
          <w:rStyle w:val="q4iawc"/>
          <w:lang w:val="en"/>
        </w:rPr>
      </w:pPr>
      <w:r>
        <w:rPr>
          <w:rStyle w:val="q4iawc"/>
          <w:lang w:val="en"/>
        </w:rPr>
        <w:t>Between November 27 and December 8, 2022</w:t>
      </w:r>
      <w:r>
        <w:rPr>
          <w:lang w:val="en-US"/>
        </w:rPr>
        <w:t xml:space="preserve">, </w:t>
      </w:r>
      <w:r w:rsidRPr="005B735A">
        <w:rPr>
          <w:lang w:val="en-US"/>
        </w:rPr>
        <w:t xml:space="preserve">France, through its National Competent Authority (NCA), the </w:t>
      </w:r>
      <w:r>
        <w:rPr>
          <w:lang w:val="en-US"/>
        </w:rPr>
        <w:t>“</w:t>
      </w:r>
      <w:r w:rsidRPr="005B735A">
        <w:rPr>
          <w:lang w:val="en-US"/>
        </w:rPr>
        <w:t>Prefet</w:t>
      </w:r>
      <w:r>
        <w:rPr>
          <w:lang w:val="en-US"/>
        </w:rPr>
        <w:t>, administrateur supérieur des</w:t>
      </w:r>
      <w:r w:rsidRPr="005B735A">
        <w:rPr>
          <w:lang w:val="en-US"/>
        </w:rPr>
        <w:t xml:space="preserve"> Terres australes et antarctiques françaises</w:t>
      </w:r>
      <w:r>
        <w:rPr>
          <w:lang w:val="en-US"/>
        </w:rPr>
        <w:t>”</w:t>
      </w:r>
      <w:r w:rsidRPr="005B735A">
        <w:rPr>
          <w:lang w:val="en-US"/>
        </w:rPr>
        <w:t xml:space="preserve"> (TAAF)</w:t>
      </w:r>
      <w:r>
        <w:rPr>
          <w:lang w:val="en-US"/>
        </w:rPr>
        <w:t xml:space="preserve"> and IAATO conducted a joint monitoring on board </w:t>
      </w:r>
      <w:r w:rsidRPr="003F0430">
        <w:rPr>
          <w:rStyle w:val="q4iawc"/>
          <w:i/>
          <w:lang w:val="en"/>
        </w:rPr>
        <w:t>Le</w:t>
      </w:r>
      <w:r>
        <w:rPr>
          <w:rStyle w:val="q4iawc"/>
          <w:lang w:val="en"/>
        </w:rPr>
        <w:t xml:space="preserve"> </w:t>
      </w:r>
      <w:r>
        <w:rPr>
          <w:rStyle w:val="q4iawc"/>
          <w:i/>
          <w:iCs/>
          <w:lang w:val="en"/>
        </w:rPr>
        <w:t>Commandant Charcot</w:t>
      </w:r>
      <w:r>
        <w:rPr>
          <w:rStyle w:val="q4iawc"/>
          <w:lang w:val="en"/>
        </w:rPr>
        <w:t xml:space="preserve">, from the company Ponant. </w:t>
      </w:r>
      <w:r w:rsidRPr="00C44E03">
        <w:rPr>
          <w:rStyle w:val="q4iawc"/>
          <w:lang w:val="en"/>
        </w:rPr>
        <w:t xml:space="preserve">The vessel was to be observed in accordance with the IAATO </w:t>
      </w:r>
      <w:r>
        <w:rPr>
          <w:rStyle w:val="q4iawc"/>
          <w:lang w:val="en"/>
        </w:rPr>
        <w:t>scheme schedule</w:t>
      </w:r>
      <w:r w:rsidRPr="00C44E03">
        <w:rPr>
          <w:rStyle w:val="q4iawc"/>
          <w:lang w:val="en"/>
        </w:rPr>
        <w:t xml:space="preserve">. </w:t>
      </w:r>
      <w:r>
        <w:rPr>
          <w:rStyle w:val="q4iawc"/>
          <w:lang w:val="en"/>
        </w:rPr>
        <w:t xml:space="preserve">It visited the north-east peninsula (Weddell Sea). </w:t>
      </w:r>
    </w:p>
    <w:p w14:paraId="76D69FB9" w14:textId="77777777" w:rsidR="004A35A6" w:rsidRDefault="004A35A6" w:rsidP="004A35A6">
      <w:pPr>
        <w:pStyle w:val="ATSNormal"/>
        <w:rPr>
          <w:rStyle w:val="q4iawc"/>
          <w:lang w:val="en"/>
        </w:rPr>
      </w:pPr>
      <w:r w:rsidRPr="00C44E03">
        <w:rPr>
          <w:rStyle w:val="q4iawc"/>
          <w:lang w:val="en"/>
        </w:rPr>
        <w:t>The observer</w:t>
      </w:r>
      <w:r>
        <w:rPr>
          <w:rStyle w:val="q4iawc"/>
          <w:lang w:val="en"/>
        </w:rPr>
        <w:t xml:space="preserve"> was </w:t>
      </w:r>
      <w:r w:rsidRPr="005971BF">
        <w:rPr>
          <w:rStyle w:val="q4iawc"/>
          <w:lang w:val="en"/>
        </w:rPr>
        <w:t>a public offic</w:t>
      </w:r>
      <w:r>
        <w:rPr>
          <w:rStyle w:val="q4iawc"/>
          <w:lang w:val="en"/>
        </w:rPr>
        <w:t>er</w:t>
      </w:r>
      <w:r w:rsidRPr="005971BF">
        <w:rPr>
          <w:rStyle w:val="q4iawc"/>
          <w:lang w:val="en"/>
        </w:rPr>
        <w:t xml:space="preserve"> specialized in maritime affairs issues, including the monitoring and control of activities at sea</w:t>
      </w:r>
      <w:r>
        <w:rPr>
          <w:rStyle w:val="q4iawc"/>
          <w:lang w:val="en"/>
        </w:rPr>
        <w:t xml:space="preserve">. He was </w:t>
      </w:r>
      <w:r w:rsidRPr="00C44E03">
        <w:rPr>
          <w:rStyle w:val="q4iawc"/>
          <w:lang w:val="en"/>
        </w:rPr>
        <w:t xml:space="preserve">proposed by France, </w:t>
      </w:r>
      <w:r>
        <w:rPr>
          <w:rStyle w:val="q4iawc"/>
          <w:lang w:val="en"/>
        </w:rPr>
        <w:t xml:space="preserve">and </w:t>
      </w:r>
      <w:r w:rsidRPr="00C44E03">
        <w:rPr>
          <w:rStyle w:val="q4iawc"/>
          <w:lang w:val="en"/>
        </w:rPr>
        <w:t>had to pass the IAATO online assessment, guaranteeing his good knowledge of the Antarctic and of the regulations and directives in force. He carr</w:t>
      </w:r>
      <w:r>
        <w:rPr>
          <w:rStyle w:val="q4iawc"/>
          <w:lang w:val="en"/>
        </w:rPr>
        <w:t>ied</w:t>
      </w:r>
      <w:r w:rsidRPr="00C44E03">
        <w:rPr>
          <w:rStyle w:val="q4iawc"/>
          <w:lang w:val="en"/>
        </w:rPr>
        <w:t xml:space="preserve"> out a monitoring </w:t>
      </w:r>
      <w:r>
        <w:rPr>
          <w:rStyle w:val="q4iawc"/>
          <w:lang w:val="en"/>
        </w:rPr>
        <w:t>under</w:t>
      </w:r>
      <w:r w:rsidRPr="00C44E03">
        <w:rPr>
          <w:rStyle w:val="q4iawc"/>
          <w:lang w:val="en"/>
        </w:rPr>
        <w:t xml:space="preserve"> R9 (2021), according to the "monitoring checklist" provided by the </w:t>
      </w:r>
      <w:r>
        <w:rPr>
          <w:rStyle w:val="q4iawc"/>
          <w:lang w:val="en"/>
        </w:rPr>
        <w:t>R</w:t>
      </w:r>
      <w:r w:rsidRPr="00C44E03">
        <w:rPr>
          <w:rStyle w:val="q4iawc"/>
          <w:lang w:val="en"/>
        </w:rPr>
        <w:t>esolution</w:t>
      </w:r>
      <w:r>
        <w:rPr>
          <w:rStyle w:val="q4iawc"/>
          <w:lang w:val="en"/>
        </w:rPr>
        <w:t xml:space="preserve">, </w:t>
      </w:r>
      <w:r w:rsidRPr="00345922">
        <w:rPr>
          <w:rStyle w:val="q4iawc"/>
          <w:lang w:val="en"/>
        </w:rPr>
        <w:t>and reported to the French ANC in accordance with this framework</w:t>
      </w:r>
      <w:r w:rsidRPr="00C44E03">
        <w:rPr>
          <w:rStyle w:val="q4iawc"/>
          <w:lang w:val="en"/>
        </w:rPr>
        <w:t xml:space="preserve">. At the same time, </w:t>
      </w:r>
      <w:r>
        <w:rPr>
          <w:rStyle w:val="q4iawc"/>
          <w:lang w:val="en"/>
        </w:rPr>
        <w:t>he</w:t>
      </w:r>
      <w:r w:rsidRPr="00C44E03">
        <w:rPr>
          <w:rStyle w:val="q4iawc"/>
          <w:lang w:val="en"/>
        </w:rPr>
        <w:t xml:space="preserve"> carried out an IAATO observation </w:t>
      </w:r>
      <w:r>
        <w:rPr>
          <w:rStyle w:val="q4iawc"/>
          <w:lang w:val="en"/>
        </w:rPr>
        <w:t>under</w:t>
      </w:r>
      <w:r w:rsidRPr="00C44E03">
        <w:rPr>
          <w:rStyle w:val="q4iawc"/>
          <w:lang w:val="en"/>
        </w:rPr>
        <w:t xml:space="preserve"> the </w:t>
      </w:r>
      <w:r>
        <w:rPr>
          <w:rStyle w:val="q4iawc"/>
          <w:lang w:val="en"/>
        </w:rPr>
        <w:t>“</w:t>
      </w:r>
      <w:r w:rsidRPr="00C44E03">
        <w:rPr>
          <w:rStyle w:val="q4iawc"/>
          <w:lang w:val="en"/>
        </w:rPr>
        <w:t xml:space="preserve">IAATO </w:t>
      </w:r>
      <w:r>
        <w:rPr>
          <w:rStyle w:val="q4iawc"/>
          <w:lang w:val="en"/>
        </w:rPr>
        <w:t>M</w:t>
      </w:r>
      <w:r w:rsidRPr="00C44E03">
        <w:rPr>
          <w:rStyle w:val="q4iawc"/>
          <w:lang w:val="en"/>
        </w:rPr>
        <w:t xml:space="preserve">andatory </w:t>
      </w:r>
      <w:r>
        <w:rPr>
          <w:rStyle w:val="q4iawc"/>
          <w:lang w:val="en"/>
        </w:rPr>
        <w:t>O</w:t>
      </w:r>
      <w:r w:rsidRPr="00C44E03">
        <w:rPr>
          <w:rStyle w:val="q4iawc"/>
          <w:lang w:val="en"/>
        </w:rPr>
        <w:t xml:space="preserve">bservation </w:t>
      </w:r>
      <w:r>
        <w:rPr>
          <w:rStyle w:val="q4iawc"/>
          <w:lang w:val="en"/>
        </w:rPr>
        <w:t>Scheme”</w:t>
      </w:r>
      <w:r w:rsidRPr="00C44E03">
        <w:rPr>
          <w:rStyle w:val="q4iawc"/>
          <w:lang w:val="en"/>
        </w:rPr>
        <w:t xml:space="preserve"> and provided a report to IAATO on this basis. </w:t>
      </w:r>
      <w:r>
        <w:rPr>
          <w:rStyle w:val="q4iawc"/>
          <w:lang w:val="en"/>
        </w:rPr>
        <w:t>T</w:t>
      </w:r>
      <w:r w:rsidRPr="00C44E03">
        <w:rPr>
          <w:rStyle w:val="q4iawc"/>
          <w:lang w:val="en"/>
        </w:rPr>
        <w:t>he observer reported no difficulties in completing both</w:t>
      </w:r>
      <w:r>
        <w:rPr>
          <w:rStyle w:val="q4iawc"/>
          <w:lang w:val="en"/>
        </w:rPr>
        <w:t xml:space="preserve"> reports, </w:t>
      </w:r>
      <w:r w:rsidRPr="00825049">
        <w:rPr>
          <w:rStyle w:val="q4iawc"/>
          <w:lang w:val="en"/>
        </w:rPr>
        <w:t>which were found to be similar</w:t>
      </w:r>
      <w:r w:rsidRPr="00C44E03">
        <w:rPr>
          <w:rStyle w:val="q4iawc"/>
          <w:lang w:val="en"/>
        </w:rPr>
        <w:t>.</w:t>
      </w:r>
    </w:p>
    <w:p w14:paraId="22BA7345" w14:textId="77777777" w:rsidR="004A35A6" w:rsidRDefault="004A35A6" w:rsidP="004A35A6">
      <w:pPr>
        <w:pStyle w:val="ATSNormal"/>
        <w:rPr>
          <w:rStyle w:val="q4iawc"/>
          <w:lang w:val="en"/>
        </w:rPr>
      </w:pPr>
      <w:r>
        <w:rPr>
          <w:rStyle w:val="q4iawc"/>
          <w:lang w:val="en"/>
        </w:rPr>
        <w:t>Regarding financial aspects, the operator, Ponant, provided free boarding. France covered the observer’s salary, IAATO took care of transit costs to and from the ship.</w:t>
      </w:r>
    </w:p>
    <w:p w14:paraId="65E4E9AB" w14:textId="77777777" w:rsidR="004A35A6" w:rsidRDefault="004A35A6" w:rsidP="004A35A6">
      <w:pPr>
        <w:pStyle w:val="ATSHeading3"/>
        <w:rPr>
          <w:rStyle w:val="q4iawc"/>
          <w:lang w:val="en"/>
        </w:rPr>
      </w:pPr>
      <w:r>
        <w:rPr>
          <w:rStyle w:val="q4iawc"/>
          <w:lang w:val="en"/>
        </w:rPr>
        <w:t>New Zealand and France joint monitoring</w:t>
      </w:r>
    </w:p>
    <w:p w14:paraId="19E52987" w14:textId="77777777" w:rsidR="004A35A6" w:rsidRDefault="004A35A6" w:rsidP="004A35A6">
      <w:pPr>
        <w:pStyle w:val="ATSNormal"/>
        <w:rPr>
          <w:rStyle w:val="q4iawc"/>
          <w:lang w:val="en"/>
        </w:rPr>
      </w:pPr>
      <w:r w:rsidRPr="00F86D2E">
        <w:rPr>
          <w:rStyle w:val="q4iawc"/>
          <w:lang w:val="en"/>
        </w:rPr>
        <w:t xml:space="preserve">Between February 14 and March 12, 2023, New Zealand and France, through their respective </w:t>
      </w:r>
      <w:r>
        <w:rPr>
          <w:rStyle w:val="q4iawc"/>
          <w:lang w:val="en"/>
        </w:rPr>
        <w:t>N</w:t>
      </w:r>
      <w:r w:rsidRPr="00F86D2E">
        <w:rPr>
          <w:rStyle w:val="q4iawc"/>
          <w:lang w:val="en"/>
        </w:rPr>
        <w:t xml:space="preserve">ational </w:t>
      </w:r>
      <w:r>
        <w:rPr>
          <w:rStyle w:val="q4iawc"/>
          <w:lang w:val="en"/>
        </w:rPr>
        <w:t>C</w:t>
      </w:r>
      <w:r w:rsidRPr="00F86D2E">
        <w:rPr>
          <w:rStyle w:val="q4iawc"/>
          <w:lang w:val="en"/>
        </w:rPr>
        <w:t>ompet</w:t>
      </w:r>
      <w:r>
        <w:rPr>
          <w:rStyle w:val="q4iawc"/>
          <w:lang w:val="en"/>
        </w:rPr>
        <w:t>ent</w:t>
      </w:r>
      <w:r w:rsidRPr="00F86D2E">
        <w:rPr>
          <w:rStyle w:val="q4iawc"/>
          <w:lang w:val="en"/>
        </w:rPr>
        <w:t xml:space="preserve"> </w:t>
      </w:r>
      <w:r>
        <w:rPr>
          <w:rStyle w:val="q4iawc"/>
          <w:lang w:val="en"/>
        </w:rPr>
        <w:t>A</w:t>
      </w:r>
      <w:r w:rsidRPr="00F86D2E">
        <w:rPr>
          <w:rStyle w:val="q4iawc"/>
          <w:lang w:val="en"/>
        </w:rPr>
        <w:t xml:space="preserve">uthorities, conducted joint monitoring on board the same vessel, </w:t>
      </w:r>
      <w:r w:rsidRPr="005971BF">
        <w:rPr>
          <w:rStyle w:val="q4iawc"/>
          <w:i/>
          <w:lang w:val="en"/>
        </w:rPr>
        <w:t>Le</w:t>
      </w:r>
      <w:r w:rsidRPr="00F86D2E">
        <w:rPr>
          <w:rStyle w:val="q4iawc"/>
          <w:lang w:val="en"/>
        </w:rPr>
        <w:t xml:space="preserve"> </w:t>
      </w:r>
      <w:r w:rsidRPr="005971BF">
        <w:rPr>
          <w:rStyle w:val="q4iawc"/>
          <w:i/>
          <w:lang w:val="en"/>
        </w:rPr>
        <w:t>Commandant Charcot</w:t>
      </w:r>
      <w:r w:rsidRPr="00F86D2E">
        <w:rPr>
          <w:rStyle w:val="q4iawc"/>
          <w:lang w:val="en"/>
        </w:rPr>
        <w:t xml:space="preserve">, which departed from New Zealand (Dunedin) to Argentina (Ushuaia). </w:t>
      </w:r>
    </w:p>
    <w:p w14:paraId="0776E2CF" w14:textId="77777777" w:rsidR="004A35A6" w:rsidRDefault="004A35A6" w:rsidP="004A35A6">
      <w:pPr>
        <w:pStyle w:val="ATSNormal"/>
      </w:pPr>
      <w:r>
        <w:rPr>
          <w:rStyle w:val="q4iawc"/>
          <w:lang w:val="en"/>
        </w:rPr>
        <w:t>The observer was selected and appointed by New Zealand. She was trained</w:t>
      </w:r>
      <w:r>
        <w:t xml:space="preserve"> by New Zealand’s Ministry of Foreign Affairs and Trade, Department of Conservation, and Antarctica New Zealand, and met every expectation listed by R9 (2021).</w:t>
      </w:r>
    </w:p>
    <w:p w14:paraId="76E7CC9A" w14:textId="77777777" w:rsidR="004A35A6" w:rsidRDefault="004A35A6" w:rsidP="004A35A6">
      <w:pPr>
        <w:pStyle w:val="ATSNormal"/>
      </w:pPr>
      <w:r>
        <w:t xml:space="preserve">New Zealand provided the observer with all relevant and required information and documentation, such as relevant management plans; relevant site-specific guidelines; health &amp; safety guidance; etc. Specific equipment including a satellite phone, and appropriate clothing and gear were also provided by New Zealand. </w:t>
      </w:r>
    </w:p>
    <w:p w14:paraId="35A132FF" w14:textId="77777777" w:rsidR="004A35A6" w:rsidRDefault="004A35A6" w:rsidP="004A35A6">
      <w:pPr>
        <w:pStyle w:val="ATSNormal"/>
      </w:pPr>
      <w:r>
        <w:lastRenderedPageBreak/>
        <w:t>The observer reported to New Zealand and France on the operator’s compliance with the national authorisations that reflected the requirements of the Antarctic Treaty, its Environmental Protocol and relevant Antarctic Treaty Consultative Meeting instruments. The observer considered issues set out in the compliance section of the voluntary on-board observer framework, particularly the operator’s impact on the Antarctic environment and dependant and associated ecosystems.</w:t>
      </w:r>
    </w:p>
    <w:p w14:paraId="042E2EA4" w14:textId="77777777" w:rsidR="004A35A6" w:rsidRPr="00C55496" w:rsidRDefault="004A35A6" w:rsidP="004A35A6">
      <w:pPr>
        <w:pStyle w:val="ATSNormal"/>
        <w:rPr>
          <w:rStyle w:val="q4iawc"/>
        </w:rPr>
      </w:pPr>
      <w:r>
        <w:rPr>
          <w:rStyle w:val="q4iawc"/>
        </w:rPr>
        <w:t xml:space="preserve">The observer’s overall assessment was that the expedition’s staff were well experienced and trained in the requirements of the Antarctic Treaty System, and the operator’s activities were implemented with due care and respect to the Antarctic Environment. Ponant’s </w:t>
      </w:r>
      <w:r>
        <w:rPr>
          <w:rStyle w:val="q4iawc"/>
          <w:i/>
        </w:rPr>
        <w:t xml:space="preserve">Le Commandant Charcot </w:t>
      </w:r>
      <w:r>
        <w:rPr>
          <w:rStyle w:val="q4iawc"/>
        </w:rPr>
        <w:t>operated with minimal environmental impact, having been designed with high environmental specifications that were evident to be successful throughout the voyage. Compulsory briefings were provided to all passengers on specific activities, and site visits were conducted with site-specific guidelines.</w:t>
      </w:r>
    </w:p>
    <w:p w14:paraId="7AC0006C" w14:textId="77777777" w:rsidR="004A35A6" w:rsidRDefault="004A35A6" w:rsidP="004A35A6">
      <w:pPr>
        <w:pStyle w:val="ATSHeading2"/>
      </w:pPr>
      <w:r>
        <w:t xml:space="preserve">International benefits of on-board monitoring </w:t>
      </w:r>
    </w:p>
    <w:p w14:paraId="32DD2DF0" w14:textId="77777777" w:rsidR="004A35A6" w:rsidRDefault="004A35A6" w:rsidP="004A35A6">
      <w:pPr>
        <w:pStyle w:val="ATSHeading3"/>
      </w:pPr>
      <w:r>
        <w:t>Overall benefits of the implementation of on-board monitoring</w:t>
      </w:r>
    </w:p>
    <w:p w14:paraId="6A383005" w14:textId="77777777" w:rsidR="004A35A6" w:rsidRDefault="004A35A6" w:rsidP="004A35A6">
      <w:pPr>
        <w:pStyle w:val="ASNormal"/>
      </w:pPr>
      <w:r w:rsidRPr="00B7749B">
        <w:t>The</w:t>
      </w:r>
      <w:r>
        <w:t xml:space="preserve"> above-described monitoring has met objectives set by R9 (2021), as well as the </w:t>
      </w:r>
      <w:r w:rsidRPr="003F1B4B">
        <w:t>ATCM Multi-Year Strategic Work Plan</w:t>
      </w:r>
      <w:r>
        <w:t xml:space="preserve">, particularly Priorities 11 and 12 by: </w:t>
      </w:r>
    </w:p>
    <w:p w14:paraId="089715DF" w14:textId="77777777" w:rsidR="004A35A6" w:rsidRDefault="004A35A6" w:rsidP="004A35A6">
      <w:pPr>
        <w:pStyle w:val="ATSBullet1"/>
        <w:numPr>
          <w:ilvl w:val="0"/>
          <w:numId w:val="11"/>
        </w:numPr>
      </w:pPr>
      <w:r>
        <w:t xml:space="preserve">Allowing NCAs to </w:t>
      </w:r>
      <w:r w:rsidRPr="00B7749B">
        <w:t xml:space="preserve">monitor </w:t>
      </w:r>
      <w:r>
        <w:t>the</w:t>
      </w:r>
      <w:r w:rsidRPr="00B7749B">
        <w:t xml:space="preserve"> consistency with domestic and international </w:t>
      </w:r>
      <w:r>
        <w:t>regulations</w:t>
      </w:r>
      <w:r w:rsidRPr="00B7749B">
        <w:t xml:space="preserve"> </w:t>
      </w:r>
      <w:r>
        <w:t xml:space="preserve">and standards </w:t>
      </w:r>
      <w:r w:rsidRPr="00B7749B">
        <w:t xml:space="preserve">adopted within the Antarctic Treaty System framework (regulations from </w:t>
      </w:r>
      <w:r>
        <w:t xml:space="preserve">the Antarctic Treaty; </w:t>
      </w:r>
      <w:r w:rsidRPr="00B7749B">
        <w:t xml:space="preserve">the </w:t>
      </w:r>
      <w:r>
        <w:t xml:space="preserve">Environment Protocol </w:t>
      </w:r>
      <w:r w:rsidRPr="00B7749B">
        <w:t xml:space="preserve">and its </w:t>
      </w:r>
      <w:r>
        <w:t>a</w:t>
      </w:r>
      <w:r w:rsidRPr="00B7749B">
        <w:t>nnexes; Measures, Resolutions and Recommendations set out by the ATCM; information provided for the application; and domestic authorisations</w:t>
      </w:r>
      <w:r>
        <w:t xml:space="preserve"> mechanisms</w:t>
      </w:r>
      <w:r w:rsidRPr="00B7749B">
        <w:t>)</w:t>
      </w:r>
      <w:r>
        <w:t>.</w:t>
      </w:r>
    </w:p>
    <w:p w14:paraId="272ECEA0" w14:textId="77777777" w:rsidR="004A35A6" w:rsidRDefault="004A35A6" w:rsidP="004A35A6">
      <w:pPr>
        <w:pStyle w:val="ATSBullet1"/>
        <w:numPr>
          <w:ilvl w:val="0"/>
          <w:numId w:val="11"/>
        </w:numPr>
      </w:pPr>
      <w:r>
        <w:t>E</w:t>
      </w:r>
      <w:r w:rsidRPr="00B7749B">
        <w:t>nhanc</w:t>
      </w:r>
      <w:r>
        <w:t>ing</w:t>
      </w:r>
      <w:r w:rsidRPr="00B7749B">
        <w:t xml:space="preserve"> </w:t>
      </w:r>
      <w:r>
        <w:t xml:space="preserve">New Zealand and France NCAs’ </w:t>
      </w:r>
      <w:r w:rsidRPr="00B7749B">
        <w:t xml:space="preserve">understanding of activities </w:t>
      </w:r>
      <w:r>
        <w:t xml:space="preserve">they authorise </w:t>
      </w:r>
      <w:r w:rsidRPr="00B7749B">
        <w:t>in the Antarctic Treaty area, and knowledge of visited sites and operator practices</w:t>
      </w:r>
      <w:r>
        <w:t xml:space="preserve">. </w:t>
      </w:r>
      <w:r w:rsidRPr="007B0737">
        <w:t>A better understanding of field activities allow</w:t>
      </w:r>
      <w:r>
        <w:t>ing</w:t>
      </w:r>
      <w:r w:rsidRPr="007B0737">
        <w:t xml:space="preserve"> NCAs to carry out their </w:t>
      </w:r>
      <w:r>
        <w:t>duties</w:t>
      </w:r>
      <w:r w:rsidRPr="007B0737">
        <w:t xml:space="preserve"> more effectively, in line with the actual operations.</w:t>
      </w:r>
    </w:p>
    <w:p w14:paraId="49B995F5" w14:textId="77777777" w:rsidR="004A35A6" w:rsidRPr="003F1B4B" w:rsidRDefault="004A35A6" w:rsidP="004A35A6">
      <w:pPr>
        <w:pStyle w:val="ATSBullet1"/>
        <w:numPr>
          <w:ilvl w:val="0"/>
          <w:numId w:val="11"/>
        </w:numPr>
      </w:pPr>
      <w:r>
        <w:t>Contributing to s</w:t>
      </w:r>
      <w:r w:rsidRPr="003F1B4B">
        <w:t xml:space="preserve">trengthen </w:t>
      </w:r>
      <w:r>
        <w:t>the</w:t>
      </w:r>
      <w:r w:rsidRPr="003F1B4B">
        <w:t xml:space="preserve"> dialogue between Parties</w:t>
      </w:r>
      <w:r>
        <w:t>, IAATO</w:t>
      </w:r>
      <w:r w:rsidRPr="003F1B4B">
        <w:t xml:space="preserve"> and </w:t>
      </w:r>
      <w:r>
        <w:t xml:space="preserve">tourist </w:t>
      </w:r>
      <w:r w:rsidRPr="003F1B4B">
        <w:t xml:space="preserve">operators </w:t>
      </w:r>
      <w:r>
        <w:t>(</w:t>
      </w:r>
      <w:r w:rsidRPr="00345922">
        <w:rPr>
          <w:i/>
          <w:iCs/>
        </w:rPr>
        <w:t>i.e.</w:t>
      </w:r>
      <w:r>
        <w:rPr>
          <w:i/>
          <w:iCs/>
        </w:rPr>
        <w:t>,</w:t>
      </w:r>
      <w:r>
        <w:t xml:space="preserve"> Ponant) </w:t>
      </w:r>
      <w:r w:rsidRPr="003F1B4B">
        <w:t>in Antarctica</w:t>
      </w:r>
      <w:r>
        <w:t>.</w:t>
      </w:r>
    </w:p>
    <w:p w14:paraId="6FBABCEE" w14:textId="77777777" w:rsidR="004A35A6" w:rsidRPr="003F1B4B" w:rsidRDefault="004A35A6" w:rsidP="004A35A6">
      <w:pPr>
        <w:pStyle w:val="ATSBullet1"/>
        <w:numPr>
          <w:ilvl w:val="0"/>
          <w:numId w:val="11"/>
        </w:numPr>
      </w:pPr>
      <w:r>
        <w:t>P</w:t>
      </w:r>
      <w:r w:rsidRPr="003F1B4B">
        <w:t>romot</w:t>
      </w:r>
      <w:r>
        <w:t>ing</w:t>
      </w:r>
      <w:r w:rsidRPr="003F1B4B">
        <w:t xml:space="preserve"> and support</w:t>
      </w:r>
      <w:r>
        <w:t xml:space="preserve">ing </w:t>
      </w:r>
      <w:r w:rsidRPr="003F1B4B">
        <w:t>responsible and supervised tourism practices in Antarctica</w:t>
      </w:r>
      <w:r>
        <w:t>.</w:t>
      </w:r>
    </w:p>
    <w:p w14:paraId="69EEEA00" w14:textId="77777777" w:rsidR="004A35A6" w:rsidRPr="003F1B4B" w:rsidRDefault="004A35A6" w:rsidP="004A35A6">
      <w:pPr>
        <w:pStyle w:val="ATSBullet1"/>
        <w:numPr>
          <w:ilvl w:val="0"/>
          <w:numId w:val="11"/>
        </w:numPr>
      </w:pPr>
      <w:r>
        <w:t>M</w:t>
      </w:r>
      <w:r w:rsidRPr="003F1B4B">
        <w:t>onitor</w:t>
      </w:r>
      <w:r>
        <w:t>ing</w:t>
      </w:r>
      <w:r w:rsidRPr="003F1B4B">
        <w:t xml:space="preserve"> the effectiveness of guidelines (</w:t>
      </w:r>
      <w:r w:rsidRPr="00345922">
        <w:rPr>
          <w:i/>
          <w:iCs/>
        </w:rPr>
        <w:t>e.g.</w:t>
      </w:r>
      <w:r>
        <w:rPr>
          <w:i/>
          <w:iCs/>
        </w:rPr>
        <w:t>,</w:t>
      </w:r>
      <w:r>
        <w:t xml:space="preserve"> </w:t>
      </w:r>
      <w:r w:rsidRPr="003F1B4B">
        <w:t xml:space="preserve">Visitor Site Guidelines). </w:t>
      </w:r>
    </w:p>
    <w:p w14:paraId="0D93DF70" w14:textId="77777777" w:rsidR="004A35A6" w:rsidRDefault="004A35A6" w:rsidP="004A35A6">
      <w:pPr>
        <w:pStyle w:val="ATSBullet1"/>
        <w:numPr>
          <w:ilvl w:val="0"/>
          <w:numId w:val="11"/>
        </w:numPr>
      </w:pPr>
      <w:r>
        <w:t>Providing the opportunity for the observer to carry out basic landing site monitoring.</w:t>
      </w:r>
    </w:p>
    <w:p w14:paraId="7CEF9291" w14:textId="77777777" w:rsidR="004A35A6" w:rsidRDefault="004A35A6" w:rsidP="004A35A6">
      <w:pPr>
        <w:pStyle w:val="ATSHeading3"/>
      </w:pPr>
      <w:r>
        <w:t>Operational and financial benefits of the implementation of on-board monitoring</w:t>
      </w:r>
    </w:p>
    <w:p w14:paraId="0DD6BE70" w14:textId="77777777" w:rsidR="004A35A6" w:rsidRDefault="004A35A6" w:rsidP="004A35A6">
      <w:pPr>
        <w:pStyle w:val="ASNormal"/>
      </w:pPr>
      <w:r>
        <w:t>Beyond these general interests, such partnership allows for logistical, operational and financial benefits.</w:t>
      </w:r>
    </w:p>
    <w:p w14:paraId="0254889C" w14:textId="77777777" w:rsidR="004A35A6" w:rsidRDefault="004A35A6" w:rsidP="004A35A6">
      <w:pPr>
        <w:pStyle w:val="ATSHeading4"/>
        <w:spacing w:before="0"/>
      </w:pPr>
    </w:p>
    <w:p w14:paraId="00098BD0" w14:textId="77777777" w:rsidR="004A35A6" w:rsidRDefault="004A35A6" w:rsidP="004A35A6">
      <w:pPr>
        <w:pStyle w:val="ATSHeading4"/>
        <w:spacing w:before="0"/>
      </w:pPr>
      <w:r>
        <w:t>Financial aspects</w:t>
      </w:r>
    </w:p>
    <w:p w14:paraId="09455474" w14:textId="77777777" w:rsidR="004A35A6" w:rsidRDefault="004A35A6" w:rsidP="004A35A6">
      <w:pPr>
        <w:pStyle w:val="ATSHeading4"/>
        <w:rPr>
          <w:i w:val="0"/>
        </w:rPr>
      </w:pPr>
      <w:r w:rsidRPr="00E81FEF">
        <w:rPr>
          <w:i w:val="0"/>
        </w:rPr>
        <w:t xml:space="preserve">It allows for a more cost-effective approach for </w:t>
      </w:r>
      <w:r>
        <w:rPr>
          <w:i w:val="0"/>
        </w:rPr>
        <w:t>NCAs</w:t>
      </w:r>
      <w:r w:rsidRPr="00E81FEF">
        <w:rPr>
          <w:i w:val="0"/>
        </w:rPr>
        <w:t xml:space="preserve">, within the framework of </w:t>
      </w:r>
      <w:r>
        <w:rPr>
          <w:i w:val="0"/>
        </w:rPr>
        <w:t>a NCA</w:t>
      </w:r>
      <w:r w:rsidRPr="00E81FEF">
        <w:rPr>
          <w:i w:val="0"/>
        </w:rPr>
        <w:t xml:space="preserve"> / IAATO cooperation, thanks to the payment of transportation costs by IAATO. </w:t>
      </w:r>
      <w:r w:rsidRPr="00F86D2E">
        <w:rPr>
          <w:i w:val="0"/>
        </w:rPr>
        <w:t xml:space="preserve">These costs represent a significant part of the total budget of the operation. </w:t>
      </w:r>
    </w:p>
    <w:p w14:paraId="43C59EDB" w14:textId="77777777" w:rsidR="004A35A6" w:rsidRDefault="004A35A6" w:rsidP="004A35A6">
      <w:pPr>
        <w:pStyle w:val="ATSHeading4"/>
        <w:rPr>
          <w:i w:val="0"/>
        </w:rPr>
      </w:pPr>
      <w:r w:rsidRPr="00F86D2E">
        <w:rPr>
          <w:i w:val="0"/>
        </w:rPr>
        <w:t xml:space="preserve">A </w:t>
      </w:r>
      <w:r>
        <w:rPr>
          <w:i w:val="0"/>
        </w:rPr>
        <w:t>cooperation</w:t>
      </w:r>
      <w:r w:rsidRPr="00F86D2E">
        <w:rPr>
          <w:i w:val="0"/>
        </w:rPr>
        <w:t xml:space="preserve"> between two NCAs also offers great opportunities for cost sharing and pooling. For example, the pooling of an observer moving from one NCA vessel to another from the same port of departure and arrival </w:t>
      </w:r>
      <w:r>
        <w:rPr>
          <w:i w:val="0"/>
        </w:rPr>
        <w:t>would</w:t>
      </w:r>
      <w:r w:rsidRPr="00F86D2E">
        <w:rPr>
          <w:i w:val="0"/>
        </w:rPr>
        <w:t xml:space="preserve"> significantly reduce transportation costs.</w:t>
      </w:r>
      <w:r>
        <w:rPr>
          <w:i w:val="0"/>
        </w:rPr>
        <w:t xml:space="preserve"> T</w:t>
      </w:r>
      <w:r w:rsidRPr="00F86D2E">
        <w:rPr>
          <w:i w:val="0"/>
        </w:rPr>
        <w:t xml:space="preserve">his deserves </w:t>
      </w:r>
      <w:r>
        <w:rPr>
          <w:i w:val="0"/>
        </w:rPr>
        <w:t>further</w:t>
      </w:r>
      <w:r w:rsidRPr="00F86D2E">
        <w:rPr>
          <w:i w:val="0"/>
        </w:rPr>
        <w:t xml:space="preserve"> attention.</w:t>
      </w:r>
    </w:p>
    <w:p w14:paraId="0F6C13B0" w14:textId="77777777" w:rsidR="004A35A6" w:rsidRDefault="004A35A6" w:rsidP="004A35A6">
      <w:pPr>
        <w:pStyle w:val="ATSHeading4"/>
      </w:pPr>
      <w:r>
        <w:t>Operational aspects</w:t>
      </w:r>
    </w:p>
    <w:p w14:paraId="403BF3BF" w14:textId="77777777" w:rsidR="004A35A6" w:rsidRDefault="004A35A6" w:rsidP="004A35A6">
      <w:pPr>
        <w:pStyle w:val="ASNormal"/>
      </w:pPr>
      <w:r w:rsidRPr="00F86D2E">
        <w:lastRenderedPageBreak/>
        <w:t xml:space="preserve">From an operational perspective, a </w:t>
      </w:r>
      <w:r>
        <w:t>cooperation</w:t>
      </w:r>
      <w:r w:rsidRPr="00F86D2E">
        <w:t xml:space="preserve"> between a</w:t>
      </w:r>
      <w:r>
        <w:t>n</w:t>
      </w:r>
      <w:r w:rsidRPr="00F86D2E">
        <w:t xml:space="preserve"> NCA and IAATO, such as the one described above, streamlines </w:t>
      </w:r>
      <w:r>
        <w:t xml:space="preserve">and facilitates </w:t>
      </w:r>
      <w:r w:rsidRPr="00F86D2E">
        <w:t>the observation process</w:t>
      </w:r>
      <w:r>
        <w:t>. I</w:t>
      </w:r>
      <w:r w:rsidRPr="00F86D2E">
        <w:t xml:space="preserve">t allows simultaneous observations in accordance with R9 (2021) and the IAATO </w:t>
      </w:r>
      <w:r>
        <w:t>M</w:t>
      </w:r>
      <w:r w:rsidRPr="00F86D2E">
        <w:t xml:space="preserve">andatory </w:t>
      </w:r>
      <w:r>
        <w:t>Scheme</w:t>
      </w:r>
      <w:r w:rsidRPr="00F86D2E">
        <w:t xml:space="preserve">, limiting the burden </w:t>
      </w:r>
      <w:r>
        <w:t>for</w:t>
      </w:r>
      <w:r w:rsidRPr="00F86D2E">
        <w:t xml:space="preserve"> the operator</w:t>
      </w:r>
      <w:r>
        <w:t xml:space="preserve"> </w:t>
      </w:r>
      <w:r w:rsidRPr="00215C29">
        <w:t>in terms of additional passengers to be accommodated on board</w:t>
      </w:r>
      <w:r w:rsidRPr="00F86D2E">
        <w:t xml:space="preserve">. </w:t>
      </w:r>
    </w:p>
    <w:p w14:paraId="5702B1B0" w14:textId="77777777" w:rsidR="004A35A6" w:rsidRDefault="004A35A6" w:rsidP="004A35A6">
      <w:pPr>
        <w:pStyle w:val="ATSHeading4"/>
        <w:rPr>
          <w:i w:val="0"/>
        </w:rPr>
      </w:pPr>
      <w:r>
        <w:rPr>
          <w:i w:val="0"/>
        </w:rPr>
        <w:t>Cooperation</w:t>
      </w:r>
      <w:r w:rsidRPr="004208AD">
        <w:rPr>
          <w:i w:val="0"/>
        </w:rPr>
        <w:t xml:space="preserve"> between </w:t>
      </w:r>
      <w:r>
        <w:rPr>
          <w:i w:val="0"/>
        </w:rPr>
        <w:t>NCAs</w:t>
      </w:r>
      <w:r w:rsidRPr="004208AD">
        <w:rPr>
          <w:i w:val="0"/>
        </w:rPr>
        <w:t xml:space="preserve"> also facilitates operational aspects. </w:t>
      </w:r>
      <w:r>
        <w:rPr>
          <w:i w:val="0"/>
        </w:rPr>
        <w:t xml:space="preserve">France was therefore able </w:t>
      </w:r>
      <w:r w:rsidRPr="004208AD">
        <w:rPr>
          <w:i w:val="0"/>
        </w:rPr>
        <w:t>to monitor th</w:t>
      </w:r>
      <w:r>
        <w:rPr>
          <w:i w:val="0"/>
        </w:rPr>
        <w:t>e</w:t>
      </w:r>
      <w:r w:rsidRPr="004208AD">
        <w:rPr>
          <w:i w:val="0"/>
        </w:rPr>
        <w:t xml:space="preserve"> cruise from New Zealand to Argentina</w:t>
      </w:r>
      <w:r>
        <w:rPr>
          <w:i w:val="0"/>
        </w:rPr>
        <w:t>, thanks to New Zealand</w:t>
      </w:r>
      <w:r w:rsidRPr="004208AD">
        <w:rPr>
          <w:i w:val="0"/>
        </w:rPr>
        <w:t>. In general, international collaboration opens up new possibilities by overcoming certain logistical challenges.</w:t>
      </w:r>
    </w:p>
    <w:p w14:paraId="1D679BD5" w14:textId="77777777" w:rsidR="004A35A6" w:rsidRDefault="004A35A6" w:rsidP="004A35A6">
      <w:pPr>
        <w:pStyle w:val="ATSHeading4"/>
      </w:pPr>
      <w:r>
        <w:t>International and “inter-actors” cooperation</w:t>
      </w:r>
    </w:p>
    <w:p w14:paraId="2AD20DA0" w14:textId="77777777" w:rsidR="004A35A6" w:rsidRDefault="004A35A6" w:rsidP="004A35A6">
      <w:pPr>
        <w:pStyle w:val="ASNormal"/>
      </w:pPr>
      <w:r>
        <w:t xml:space="preserve">Beyond financial and operational aspects, international cooperation strengthens the relationships between NCAs, and between NCAs and IAATO, in line with the spirit of the Antarctic Treaty System. </w:t>
      </w:r>
    </w:p>
    <w:p w14:paraId="57618565" w14:textId="77777777" w:rsidR="004A35A6" w:rsidRPr="006D1C1C" w:rsidRDefault="004A35A6" w:rsidP="004A35A6">
      <w:pPr>
        <w:pStyle w:val="ATSHeading2"/>
      </w:pPr>
      <w:r w:rsidRPr="006D1C1C">
        <w:t>Challenges </w:t>
      </w:r>
    </w:p>
    <w:p w14:paraId="53475E77" w14:textId="77777777" w:rsidR="004A35A6" w:rsidRDefault="004A35A6" w:rsidP="004A35A6">
      <w:pPr>
        <w:pStyle w:val="ATSCompact"/>
      </w:pPr>
      <w:r>
        <w:t>Generally speaking, ATCPs wishing to engage in such process may face two main challenges:</w:t>
      </w:r>
    </w:p>
    <w:p w14:paraId="73FFCED9" w14:textId="77777777" w:rsidR="004A35A6" w:rsidRDefault="004A35A6" w:rsidP="004A35A6">
      <w:pPr>
        <w:pStyle w:val="ATSCompact"/>
      </w:pPr>
    </w:p>
    <w:p w14:paraId="37AF4FF2" w14:textId="77777777" w:rsidR="004A35A6" w:rsidRDefault="004A35A6" w:rsidP="004A35A6">
      <w:pPr>
        <w:pStyle w:val="ATSNumber2"/>
      </w:pPr>
      <w:r>
        <w:t>The willingness of</w:t>
      </w:r>
      <w:r w:rsidRPr="003F0F6D">
        <w:t xml:space="preserve"> operators to collaborate</w:t>
      </w:r>
      <w:r>
        <w:t xml:space="preserve"> and</w:t>
      </w:r>
      <w:r w:rsidRPr="003F0F6D">
        <w:t xml:space="preserve"> </w:t>
      </w:r>
      <w:r>
        <w:t>accommodate</w:t>
      </w:r>
      <w:r w:rsidRPr="003F0F6D">
        <w:t xml:space="preserve"> an additional passenger on board</w:t>
      </w:r>
      <w:r>
        <w:t>.</w:t>
      </w:r>
      <w:r w:rsidRPr="003F0F6D">
        <w:t xml:space="preserve"> </w:t>
      </w:r>
      <w:r w:rsidRPr="00BF6837">
        <w:t xml:space="preserve">The experiences reported </w:t>
      </w:r>
      <w:r>
        <w:t>in this IP</w:t>
      </w:r>
      <w:r w:rsidRPr="00BF6837">
        <w:t xml:space="preserve"> provide a good example of effective collaboration</w:t>
      </w:r>
      <w:r>
        <w:t>.</w:t>
      </w:r>
    </w:p>
    <w:p w14:paraId="5B9ACD28" w14:textId="77777777" w:rsidR="004A35A6" w:rsidRDefault="004A35A6" w:rsidP="004A35A6">
      <w:pPr>
        <w:pStyle w:val="ATSNumber2"/>
        <w:numPr>
          <w:ilvl w:val="0"/>
          <w:numId w:val="0"/>
        </w:numPr>
        <w:ind w:left="720"/>
      </w:pPr>
    </w:p>
    <w:p w14:paraId="5CBD53FE" w14:textId="77777777" w:rsidR="004A35A6" w:rsidRPr="006D1C1C" w:rsidRDefault="004A35A6" w:rsidP="004A35A6">
      <w:pPr>
        <w:pStyle w:val="ATSNumber2"/>
      </w:pPr>
      <w:r>
        <w:t xml:space="preserve">The logistical arrangements, responsibilities and financial modalities must be discussed well ahead of the cruise. </w:t>
      </w:r>
      <w:r w:rsidRPr="004208AD">
        <w:t xml:space="preserve">Work is needed to design robust, long-term solutions in order to </w:t>
      </w:r>
      <w:r>
        <w:t>achieve a sustainable cooperation</w:t>
      </w:r>
      <w:r w:rsidRPr="004208AD">
        <w:t xml:space="preserve"> for broader implementation of these</w:t>
      </w:r>
      <w:r>
        <w:t xml:space="preserve"> </w:t>
      </w:r>
      <w:r w:rsidRPr="003F0F6D">
        <w:t>schemes</w:t>
      </w:r>
      <w:r>
        <w:t>.</w:t>
      </w:r>
    </w:p>
    <w:p w14:paraId="664C16A8" w14:textId="77777777" w:rsidR="004A35A6" w:rsidRPr="003F0F6D" w:rsidRDefault="004A35A6" w:rsidP="004A35A6">
      <w:pPr>
        <w:pStyle w:val="ATSHeading2"/>
      </w:pPr>
      <w:r w:rsidRPr="003F0F6D">
        <w:t xml:space="preserve">Recommendations </w:t>
      </w:r>
    </w:p>
    <w:p w14:paraId="100E0DA4" w14:textId="77777777" w:rsidR="004A35A6" w:rsidRPr="00333C1E" w:rsidRDefault="004A35A6" w:rsidP="004A35A6">
      <w:pPr>
        <w:pStyle w:val="ASNormal"/>
      </w:pPr>
      <w:r w:rsidRPr="00532E94">
        <w:t xml:space="preserve">Large-scale implementation of on-board monitoring at the international level will increase the above benefits, pooling possibilities, cost sharing opportunities, etc. </w:t>
      </w:r>
      <w:r w:rsidRPr="00C933FA">
        <w:t>France and New Zealand</w:t>
      </w:r>
      <w:r w:rsidRPr="00532E94">
        <w:t xml:space="preserve"> encourage interested Parties to consider the implementation of R9 (2021). They remain fully available to discuss this issue.</w:t>
      </w:r>
    </w:p>
    <w:p w14:paraId="062E018E" w14:textId="77777777" w:rsidR="004A35A6" w:rsidRPr="004208AD" w:rsidRDefault="004A35A6" w:rsidP="004A35A6">
      <w:pPr>
        <w:pStyle w:val="ASNormal"/>
      </w:pPr>
      <w:r>
        <w:t xml:space="preserve">Logistical and financial arrangements for the </w:t>
      </w:r>
      <w:r w:rsidRPr="000E2B3F">
        <w:t xml:space="preserve">observations </w:t>
      </w:r>
      <w:r>
        <w:t>are</w:t>
      </w:r>
      <w:r w:rsidRPr="000E2B3F">
        <w:t xml:space="preserve"> key issue</w:t>
      </w:r>
      <w:r>
        <w:t>s</w:t>
      </w:r>
      <w:r w:rsidRPr="000E2B3F">
        <w:t xml:space="preserve"> for a broader implementation of R9 (2021). </w:t>
      </w:r>
      <w:r w:rsidRPr="00C933FA">
        <w:t>France and New Zealand</w:t>
      </w:r>
      <w:r w:rsidRPr="00532E94">
        <w:t xml:space="preserve"> encourage Parties to include this issue in a broader discussion on tourism or environmental mon</w:t>
      </w:r>
      <w:r w:rsidRPr="000E2B3F">
        <w:t>itoring.</w:t>
      </w:r>
    </w:p>
    <w:p w14:paraId="24F4B1FB" w14:textId="77777777" w:rsidR="004A35A6" w:rsidRDefault="004A35A6" w:rsidP="00952E9F"/>
    <w:sectPr w:rsidR="004A35A6"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34921" w14:textId="77777777" w:rsidR="00000000" w:rsidRDefault="004A35A6">
      <w:r>
        <w:separator/>
      </w:r>
    </w:p>
  </w:endnote>
  <w:endnote w:type="continuationSeparator" w:id="0">
    <w:p w14:paraId="36DC32A5" w14:textId="77777777" w:rsidR="00000000" w:rsidRDefault="004A3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374B" w14:textId="77777777" w:rsidR="00FA0B9F" w:rsidRDefault="004A35A6" w:rsidP="00CF5C82">
    <w:pPr>
      <w:framePr w:wrap="around" w:vAnchor="text" w:hAnchor="margin" w:xAlign="right" w:y="1"/>
    </w:pPr>
    <w:r>
      <w:fldChar w:fldCharType="begin"/>
    </w:r>
    <w:r>
      <w:instrText xml:space="preserve">PAGE  </w:instrText>
    </w:r>
    <w:r>
      <w:fldChar w:fldCharType="separate"/>
    </w:r>
    <w:r>
      <w:fldChar w:fldCharType="end"/>
    </w:r>
  </w:p>
  <w:p w14:paraId="1B063B99" w14:textId="77777777" w:rsidR="00FA0B9F" w:rsidRDefault="004A35A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10573" w14:textId="77777777" w:rsidR="00FA0B9F" w:rsidRDefault="004A35A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CFAC041" w14:textId="1F2B8537" w:rsidR="00FA0B9F" w:rsidRDefault="004A35A6" w:rsidP="004A35A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7E58F" w14:textId="77777777" w:rsidR="00E311C9" w:rsidRDefault="004A35A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82E73FF" w14:textId="77777777" w:rsidR="00E311C9" w:rsidRDefault="004A35A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0F0F8" w14:textId="77777777" w:rsidR="00000000" w:rsidRDefault="004A35A6">
      <w:r>
        <w:separator/>
      </w:r>
    </w:p>
  </w:footnote>
  <w:footnote w:type="continuationSeparator" w:id="0">
    <w:p w14:paraId="27AA33E7" w14:textId="77777777" w:rsidR="00000000" w:rsidRDefault="004A3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303E28" w14:paraId="7F153CD1" w14:textId="77777777" w:rsidTr="002E12EC">
      <w:trPr>
        <w:trHeight w:val="344"/>
        <w:jc w:val="center"/>
      </w:trPr>
      <w:tc>
        <w:tcPr>
          <w:tcW w:w="5495" w:type="dxa"/>
        </w:tcPr>
        <w:p w14:paraId="2B09FBEC" w14:textId="77777777" w:rsidR="00DB7C09" w:rsidRDefault="004A35A6" w:rsidP="00F968D4"/>
      </w:tc>
      <w:tc>
        <w:tcPr>
          <w:tcW w:w="4253" w:type="dxa"/>
          <w:gridSpan w:val="2"/>
        </w:tcPr>
        <w:p w14:paraId="391244A2" w14:textId="77777777" w:rsidR="00DB7C09" w:rsidRPr="00BD47E4" w:rsidRDefault="004A35A6" w:rsidP="002A07BC">
          <w:pPr>
            <w:jc w:val="right"/>
            <w:rPr>
              <w:b/>
              <w:sz w:val="32"/>
              <w:szCs w:val="32"/>
            </w:rPr>
          </w:pPr>
          <w:bookmarkStart w:id="2" w:name="type"/>
          <w:r w:rsidRPr="00BD47E4">
            <w:rPr>
              <w:b/>
              <w:sz w:val="32"/>
              <w:szCs w:val="32"/>
            </w:rPr>
            <w:t>IP</w:t>
          </w:r>
          <w:bookmarkEnd w:id="2"/>
        </w:p>
      </w:tc>
      <w:tc>
        <w:tcPr>
          <w:tcW w:w="1524" w:type="dxa"/>
          <w:gridSpan w:val="2"/>
        </w:tcPr>
        <w:p w14:paraId="0CDFC1AA" w14:textId="77777777" w:rsidR="00DB7C09" w:rsidRPr="00BD47E4" w:rsidRDefault="004A35A6" w:rsidP="00DB7C09">
          <w:pPr>
            <w:rPr>
              <w:b/>
              <w:sz w:val="32"/>
              <w:szCs w:val="32"/>
            </w:rPr>
          </w:pPr>
          <w:bookmarkStart w:id="3" w:name="number"/>
          <w:r w:rsidRPr="00BD47E4">
            <w:rPr>
              <w:b/>
              <w:sz w:val="32"/>
              <w:szCs w:val="32"/>
            </w:rPr>
            <w:t>105</w:t>
          </w:r>
          <w:bookmarkEnd w:id="3"/>
        </w:p>
      </w:tc>
    </w:tr>
    <w:tr w:rsidR="00303E28" w14:paraId="24B15A6D" w14:textId="77777777" w:rsidTr="002E12EC">
      <w:trPr>
        <w:trHeight w:val="2165"/>
        <w:jc w:val="center"/>
      </w:trPr>
      <w:tc>
        <w:tcPr>
          <w:tcW w:w="5495" w:type="dxa"/>
        </w:tcPr>
        <w:p w14:paraId="6CCB289E" w14:textId="77777777" w:rsidR="00490760" w:rsidRPr="00EE4D48" w:rsidRDefault="004A35A6" w:rsidP="002A07BC">
          <w:pPr>
            <w:rPr>
              <w:b/>
              <w:sz w:val="28"/>
              <w:szCs w:val="28"/>
            </w:rPr>
          </w:pPr>
          <w:r>
            <w:rPr>
              <w:noProof/>
            </w:rPr>
            <w:drawing>
              <wp:inline distT="0" distB="0" distL="0" distR="0" wp14:anchorId="50DD5A91" wp14:editId="56E859FF">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22576"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48E217A1" w14:textId="77777777" w:rsidR="00490760" w:rsidRPr="00FE5146" w:rsidRDefault="004A35A6" w:rsidP="00490760">
          <w:pPr>
            <w:jc w:val="right"/>
            <w:rPr>
              <w:sz w:val="144"/>
              <w:szCs w:val="144"/>
            </w:rPr>
          </w:pPr>
          <w:r w:rsidRPr="00FE5146">
            <w:rPr>
              <w:sz w:val="144"/>
              <w:szCs w:val="144"/>
            </w:rPr>
            <w:t>ENG</w:t>
          </w:r>
        </w:p>
      </w:tc>
    </w:tr>
    <w:tr w:rsidR="00303E28" w14:paraId="65A8F95E" w14:textId="77777777" w:rsidTr="002E12EC">
      <w:trPr>
        <w:trHeight w:val="409"/>
        <w:jc w:val="center"/>
      </w:trPr>
      <w:tc>
        <w:tcPr>
          <w:tcW w:w="8500" w:type="dxa"/>
          <w:gridSpan w:val="2"/>
        </w:tcPr>
        <w:p w14:paraId="42E6C065" w14:textId="77777777" w:rsidR="00BD47E4" w:rsidRDefault="004A35A6" w:rsidP="002C30DA">
          <w:pPr>
            <w:jc w:val="right"/>
          </w:pPr>
          <w:r>
            <w:t>Agenda Item:</w:t>
          </w:r>
        </w:p>
      </w:tc>
      <w:tc>
        <w:tcPr>
          <w:tcW w:w="2382" w:type="dxa"/>
          <w:gridSpan w:val="2"/>
        </w:tcPr>
        <w:p w14:paraId="296FB065" w14:textId="77777777" w:rsidR="00BD47E4" w:rsidRDefault="004A35A6" w:rsidP="002C30DA">
          <w:pPr>
            <w:jc w:val="right"/>
          </w:pPr>
          <w:bookmarkStart w:id="4" w:name="agenda"/>
          <w:r>
            <w:t>ATCM 17</w:t>
          </w:r>
          <w:bookmarkEnd w:id="4"/>
        </w:p>
      </w:tc>
      <w:tc>
        <w:tcPr>
          <w:tcW w:w="390" w:type="dxa"/>
        </w:tcPr>
        <w:p w14:paraId="3CCED408" w14:textId="77777777" w:rsidR="00BD47E4" w:rsidRDefault="004A35A6" w:rsidP="00387A65">
          <w:pPr>
            <w:jc w:val="right"/>
          </w:pPr>
        </w:p>
      </w:tc>
    </w:tr>
    <w:tr w:rsidR="00303E28" w14:paraId="70715881" w14:textId="77777777" w:rsidTr="002E12EC">
      <w:trPr>
        <w:trHeight w:val="397"/>
        <w:jc w:val="center"/>
      </w:trPr>
      <w:tc>
        <w:tcPr>
          <w:tcW w:w="8500" w:type="dxa"/>
          <w:gridSpan w:val="2"/>
        </w:tcPr>
        <w:p w14:paraId="1E736969" w14:textId="77777777" w:rsidR="00BD47E4" w:rsidRDefault="004A35A6" w:rsidP="002C30DA">
          <w:pPr>
            <w:jc w:val="right"/>
          </w:pPr>
          <w:r>
            <w:t>Presented by:</w:t>
          </w:r>
        </w:p>
      </w:tc>
      <w:tc>
        <w:tcPr>
          <w:tcW w:w="2382" w:type="dxa"/>
          <w:gridSpan w:val="2"/>
        </w:tcPr>
        <w:p w14:paraId="4C9FA7F4" w14:textId="1CEF30B0" w:rsidR="00BD47E4" w:rsidRDefault="004A35A6" w:rsidP="002C30DA">
          <w:pPr>
            <w:jc w:val="right"/>
          </w:pPr>
          <w:bookmarkStart w:id="5" w:name="party"/>
          <w:r>
            <w:t xml:space="preserve">France, </w:t>
          </w:r>
          <w:r>
            <w:t>New Zealand</w:t>
          </w:r>
          <w:bookmarkEnd w:id="5"/>
          <w:r>
            <w:t>, IAATO</w:t>
          </w:r>
        </w:p>
      </w:tc>
      <w:tc>
        <w:tcPr>
          <w:tcW w:w="390" w:type="dxa"/>
        </w:tcPr>
        <w:p w14:paraId="23FB0812" w14:textId="77777777" w:rsidR="00BD47E4" w:rsidRDefault="004A35A6" w:rsidP="00387A65">
          <w:pPr>
            <w:jc w:val="right"/>
          </w:pPr>
        </w:p>
      </w:tc>
    </w:tr>
    <w:tr w:rsidR="00303E28" w14:paraId="223B3768" w14:textId="77777777" w:rsidTr="002E12EC">
      <w:trPr>
        <w:trHeight w:val="409"/>
        <w:jc w:val="center"/>
      </w:trPr>
      <w:tc>
        <w:tcPr>
          <w:tcW w:w="8500" w:type="dxa"/>
          <w:gridSpan w:val="2"/>
        </w:tcPr>
        <w:p w14:paraId="475D2F05" w14:textId="77777777" w:rsidR="00BD47E4" w:rsidRDefault="004A35A6" w:rsidP="002C30DA">
          <w:pPr>
            <w:jc w:val="right"/>
          </w:pPr>
          <w:r>
            <w:t>Original:</w:t>
          </w:r>
        </w:p>
      </w:tc>
      <w:tc>
        <w:tcPr>
          <w:tcW w:w="2382" w:type="dxa"/>
          <w:gridSpan w:val="2"/>
        </w:tcPr>
        <w:p w14:paraId="5CE1AADB" w14:textId="77777777" w:rsidR="00BD47E4" w:rsidRDefault="004A35A6" w:rsidP="002C30DA">
          <w:pPr>
            <w:jc w:val="right"/>
          </w:pPr>
          <w:bookmarkStart w:id="6" w:name="language"/>
          <w:r>
            <w:t>English</w:t>
          </w:r>
          <w:bookmarkEnd w:id="6"/>
        </w:p>
      </w:tc>
      <w:tc>
        <w:tcPr>
          <w:tcW w:w="390" w:type="dxa"/>
        </w:tcPr>
        <w:p w14:paraId="58647DCE" w14:textId="77777777" w:rsidR="00BD47E4" w:rsidRDefault="004A35A6" w:rsidP="00387A65">
          <w:pPr>
            <w:jc w:val="right"/>
          </w:pPr>
        </w:p>
      </w:tc>
    </w:tr>
    <w:tr w:rsidR="00303E28" w14:paraId="237B60F2" w14:textId="77777777" w:rsidTr="002E12EC">
      <w:trPr>
        <w:trHeight w:val="409"/>
        <w:jc w:val="center"/>
      </w:trPr>
      <w:tc>
        <w:tcPr>
          <w:tcW w:w="8500" w:type="dxa"/>
          <w:gridSpan w:val="2"/>
        </w:tcPr>
        <w:p w14:paraId="54C95604" w14:textId="77777777" w:rsidR="0097629D" w:rsidRDefault="004A35A6" w:rsidP="002C30DA">
          <w:pPr>
            <w:jc w:val="right"/>
          </w:pPr>
          <w:r>
            <w:t>Submitted:</w:t>
          </w:r>
        </w:p>
      </w:tc>
      <w:tc>
        <w:tcPr>
          <w:tcW w:w="2382" w:type="dxa"/>
          <w:gridSpan w:val="2"/>
        </w:tcPr>
        <w:p w14:paraId="4AF5AAFF" w14:textId="77777777" w:rsidR="0097629D" w:rsidRDefault="004A35A6" w:rsidP="0097629D">
          <w:pPr>
            <w:jc w:val="right"/>
          </w:pPr>
          <w:bookmarkStart w:id="7" w:name="date_submission"/>
          <w:r>
            <w:t>28 Apr 2023</w:t>
          </w:r>
          <w:bookmarkEnd w:id="7"/>
        </w:p>
      </w:tc>
      <w:tc>
        <w:tcPr>
          <w:tcW w:w="390" w:type="dxa"/>
        </w:tcPr>
        <w:p w14:paraId="4DADE6C8" w14:textId="77777777" w:rsidR="0097629D" w:rsidRDefault="004A35A6" w:rsidP="00387A65">
          <w:pPr>
            <w:jc w:val="right"/>
          </w:pPr>
        </w:p>
      </w:tc>
    </w:tr>
  </w:tbl>
  <w:p w14:paraId="4F42F908" w14:textId="77777777" w:rsidR="00AE5DD0" w:rsidRDefault="004A35A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303E28" w14:paraId="4C1A5916" w14:textId="77777777">
      <w:trPr>
        <w:trHeight w:val="354"/>
        <w:jc w:val="center"/>
      </w:trPr>
      <w:tc>
        <w:tcPr>
          <w:tcW w:w="9694" w:type="dxa"/>
        </w:tcPr>
        <w:p w14:paraId="6A499EBE" w14:textId="0837218A" w:rsidR="00AE5DD0" w:rsidRPr="00BD47E4" w:rsidRDefault="004A35A6" w:rsidP="00C26F2D">
          <w:pPr>
            <w:jc w:val="right"/>
            <w:rPr>
              <w:b/>
              <w:sz w:val="32"/>
              <w:szCs w:val="32"/>
            </w:rPr>
          </w:pPr>
          <w:r>
            <w:rPr>
              <w:b/>
              <w:sz w:val="32"/>
              <w:szCs w:val="32"/>
            </w:rPr>
            <w:t>IP</w:t>
          </w:r>
        </w:p>
      </w:tc>
      <w:tc>
        <w:tcPr>
          <w:tcW w:w="1332" w:type="dxa"/>
        </w:tcPr>
        <w:p w14:paraId="255BC17B" w14:textId="680D9AD7" w:rsidR="00AE5DD0" w:rsidRPr="00BD47E4" w:rsidRDefault="004A35A6" w:rsidP="00080F4C">
          <w:pPr>
            <w:rPr>
              <w:b/>
              <w:sz w:val="32"/>
              <w:szCs w:val="32"/>
            </w:rPr>
          </w:pPr>
          <w:r>
            <w:rPr>
              <w:b/>
              <w:sz w:val="32"/>
              <w:szCs w:val="32"/>
            </w:rPr>
            <w:t>105</w:t>
          </w:r>
        </w:p>
      </w:tc>
    </w:tr>
  </w:tbl>
  <w:p w14:paraId="29D86CD2" w14:textId="77777777" w:rsidR="00AE5DD0" w:rsidRDefault="004A35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6D40C8A8">
      <w:start w:val="1"/>
      <w:numFmt w:val="bullet"/>
      <w:pStyle w:val="ATSBullet1"/>
      <w:lvlText w:val=""/>
      <w:lvlJc w:val="left"/>
      <w:pPr>
        <w:tabs>
          <w:tab w:val="num" w:pos="360"/>
        </w:tabs>
        <w:ind w:left="360" w:hanging="360"/>
      </w:pPr>
      <w:rPr>
        <w:rFonts w:ascii="Symbol" w:hAnsi="Symbol" w:hint="default"/>
        <w:color w:val="auto"/>
      </w:rPr>
    </w:lvl>
    <w:lvl w:ilvl="1" w:tplc="62E68FB8" w:tentative="1">
      <w:start w:val="1"/>
      <w:numFmt w:val="bullet"/>
      <w:lvlText w:val="o"/>
      <w:lvlJc w:val="left"/>
      <w:pPr>
        <w:tabs>
          <w:tab w:val="num" w:pos="1440"/>
        </w:tabs>
        <w:ind w:left="1440" w:hanging="360"/>
      </w:pPr>
      <w:rPr>
        <w:rFonts w:ascii="Courier New" w:hAnsi="Courier New" w:cs="Courier New" w:hint="default"/>
      </w:rPr>
    </w:lvl>
    <w:lvl w:ilvl="2" w:tplc="1E8C6894" w:tentative="1">
      <w:start w:val="1"/>
      <w:numFmt w:val="bullet"/>
      <w:lvlText w:val=""/>
      <w:lvlJc w:val="left"/>
      <w:pPr>
        <w:tabs>
          <w:tab w:val="num" w:pos="2160"/>
        </w:tabs>
        <w:ind w:left="2160" w:hanging="360"/>
      </w:pPr>
      <w:rPr>
        <w:rFonts w:ascii="Wingdings" w:hAnsi="Wingdings" w:hint="default"/>
      </w:rPr>
    </w:lvl>
    <w:lvl w:ilvl="3" w:tplc="6E38C216" w:tentative="1">
      <w:start w:val="1"/>
      <w:numFmt w:val="bullet"/>
      <w:lvlText w:val=""/>
      <w:lvlJc w:val="left"/>
      <w:pPr>
        <w:tabs>
          <w:tab w:val="num" w:pos="2880"/>
        </w:tabs>
        <w:ind w:left="2880" w:hanging="360"/>
      </w:pPr>
      <w:rPr>
        <w:rFonts w:ascii="Symbol" w:hAnsi="Symbol" w:hint="default"/>
      </w:rPr>
    </w:lvl>
    <w:lvl w:ilvl="4" w:tplc="5B706D34" w:tentative="1">
      <w:start w:val="1"/>
      <w:numFmt w:val="bullet"/>
      <w:lvlText w:val="o"/>
      <w:lvlJc w:val="left"/>
      <w:pPr>
        <w:tabs>
          <w:tab w:val="num" w:pos="3600"/>
        </w:tabs>
        <w:ind w:left="3600" w:hanging="360"/>
      </w:pPr>
      <w:rPr>
        <w:rFonts w:ascii="Courier New" w:hAnsi="Courier New" w:cs="Courier New" w:hint="default"/>
      </w:rPr>
    </w:lvl>
    <w:lvl w:ilvl="5" w:tplc="D6F29110" w:tentative="1">
      <w:start w:val="1"/>
      <w:numFmt w:val="bullet"/>
      <w:lvlText w:val=""/>
      <w:lvlJc w:val="left"/>
      <w:pPr>
        <w:tabs>
          <w:tab w:val="num" w:pos="4320"/>
        </w:tabs>
        <w:ind w:left="4320" w:hanging="360"/>
      </w:pPr>
      <w:rPr>
        <w:rFonts w:ascii="Wingdings" w:hAnsi="Wingdings" w:hint="default"/>
      </w:rPr>
    </w:lvl>
    <w:lvl w:ilvl="6" w:tplc="BD74A890" w:tentative="1">
      <w:start w:val="1"/>
      <w:numFmt w:val="bullet"/>
      <w:lvlText w:val=""/>
      <w:lvlJc w:val="left"/>
      <w:pPr>
        <w:tabs>
          <w:tab w:val="num" w:pos="5040"/>
        </w:tabs>
        <w:ind w:left="5040" w:hanging="360"/>
      </w:pPr>
      <w:rPr>
        <w:rFonts w:ascii="Symbol" w:hAnsi="Symbol" w:hint="default"/>
      </w:rPr>
    </w:lvl>
    <w:lvl w:ilvl="7" w:tplc="3B3E09D6" w:tentative="1">
      <w:start w:val="1"/>
      <w:numFmt w:val="bullet"/>
      <w:lvlText w:val="o"/>
      <w:lvlJc w:val="left"/>
      <w:pPr>
        <w:tabs>
          <w:tab w:val="num" w:pos="5760"/>
        </w:tabs>
        <w:ind w:left="5760" w:hanging="360"/>
      </w:pPr>
      <w:rPr>
        <w:rFonts w:ascii="Courier New" w:hAnsi="Courier New" w:cs="Courier New" w:hint="default"/>
      </w:rPr>
    </w:lvl>
    <w:lvl w:ilvl="8" w:tplc="95E60D8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828C9CF6">
      <w:start w:val="1"/>
      <w:numFmt w:val="decimal"/>
      <w:lvlText w:val="%1)"/>
      <w:lvlJc w:val="left"/>
      <w:pPr>
        <w:tabs>
          <w:tab w:val="num" w:pos="340"/>
        </w:tabs>
        <w:ind w:left="340" w:hanging="340"/>
      </w:pPr>
      <w:rPr>
        <w:rFonts w:hint="default"/>
      </w:rPr>
    </w:lvl>
    <w:lvl w:ilvl="1" w:tplc="2BF6F998" w:tentative="1">
      <w:start w:val="1"/>
      <w:numFmt w:val="lowerLetter"/>
      <w:lvlText w:val="%2."/>
      <w:lvlJc w:val="left"/>
      <w:pPr>
        <w:tabs>
          <w:tab w:val="num" w:pos="1440"/>
        </w:tabs>
        <w:ind w:left="1440" w:hanging="360"/>
      </w:pPr>
    </w:lvl>
    <w:lvl w:ilvl="2" w:tplc="DB18DDE4" w:tentative="1">
      <w:start w:val="1"/>
      <w:numFmt w:val="lowerRoman"/>
      <w:lvlText w:val="%3."/>
      <w:lvlJc w:val="right"/>
      <w:pPr>
        <w:tabs>
          <w:tab w:val="num" w:pos="2160"/>
        </w:tabs>
        <w:ind w:left="2160" w:hanging="180"/>
      </w:pPr>
    </w:lvl>
    <w:lvl w:ilvl="3" w:tplc="1604EF56" w:tentative="1">
      <w:start w:val="1"/>
      <w:numFmt w:val="decimal"/>
      <w:lvlText w:val="%4."/>
      <w:lvlJc w:val="left"/>
      <w:pPr>
        <w:tabs>
          <w:tab w:val="num" w:pos="2880"/>
        </w:tabs>
        <w:ind w:left="2880" w:hanging="360"/>
      </w:pPr>
    </w:lvl>
    <w:lvl w:ilvl="4" w:tplc="6F5EE904" w:tentative="1">
      <w:start w:val="1"/>
      <w:numFmt w:val="lowerLetter"/>
      <w:lvlText w:val="%5."/>
      <w:lvlJc w:val="left"/>
      <w:pPr>
        <w:tabs>
          <w:tab w:val="num" w:pos="3600"/>
        </w:tabs>
        <w:ind w:left="3600" w:hanging="360"/>
      </w:pPr>
    </w:lvl>
    <w:lvl w:ilvl="5" w:tplc="E0D60DD0" w:tentative="1">
      <w:start w:val="1"/>
      <w:numFmt w:val="lowerRoman"/>
      <w:lvlText w:val="%6."/>
      <w:lvlJc w:val="right"/>
      <w:pPr>
        <w:tabs>
          <w:tab w:val="num" w:pos="4320"/>
        </w:tabs>
        <w:ind w:left="4320" w:hanging="180"/>
      </w:pPr>
    </w:lvl>
    <w:lvl w:ilvl="6" w:tplc="4C7ECAFC" w:tentative="1">
      <w:start w:val="1"/>
      <w:numFmt w:val="decimal"/>
      <w:lvlText w:val="%7."/>
      <w:lvlJc w:val="left"/>
      <w:pPr>
        <w:tabs>
          <w:tab w:val="num" w:pos="5040"/>
        </w:tabs>
        <w:ind w:left="5040" w:hanging="360"/>
      </w:pPr>
    </w:lvl>
    <w:lvl w:ilvl="7" w:tplc="DDA837AE" w:tentative="1">
      <w:start w:val="1"/>
      <w:numFmt w:val="lowerLetter"/>
      <w:lvlText w:val="%8."/>
      <w:lvlJc w:val="left"/>
      <w:pPr>
        <w:tabs>
          <w:tab w:val="num" w:pos="5760"/>
        </w:tabs>
        <w:ind w:left="5760" w:hanging="360"/>
      </w:pPr>
    </w:lvl>
    <w:lvl w:ilvl="8" w:tplc="8C168F9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AD6A2AFA">
      <w:start w:val="1"/>
      <w:numFmt w:val="decimal"/>
      <w:lvlText w:val="%1."/>
      <w:lvlJc w:val="left"/>
      <w:pPr>
        <w:tabs>
          <w:tab w:val="num" w:pos="1057"/>
        </w:tabs>
        <w:ind w:left="1057" w:hanging="360"/>
      </w:pPr>
      <w:rPr>
        <w:rFonts w:hint="default"/>
      </w:rPr>
    </w:lvl>
    <w:lvl w:ilvl="1" w:tplc="FE9E81CE" w:tentative="1">
      <w:start w:val="1"/>
      <w:numFmt w:val="lowerLetter"/>
      <w:lvlText w:val="%2."/>
      <w:lvlJc w:val="left"/>
      <w:pPr>
        <w:tabs>
          <w:tab w:val="num" w:pos="2137"/>
        </w:tabs>
        <w:ind w:left="2137" w:hanging="360"/>
      </w:pPr>
    </w:lvl>
    <w:lvl w:ilvl="2" w:tplc="46767292" w:tentative="1">
      <w:start w:val="1"/>
      <w:numFmt w:val="lowerRoman"/>
      <w:lvlText w:val="%3."/>
      <w:lvlJc w:val="right"/>
      <w:pPr>
        <w:tabs>
          <w:tab w:val="num" w:pos="2857"/>
        </w:tabs>
        <w:ind w:left="2857" w:hanging="180"/>
      </w:pPr>
    </w:lvl>
    <w:lvl w:ilvl="3" w:tplc="C300883E" w:tentative="1">
      <w:start w:val="1"/>
      <w:numFmt w:val="decimal"/>
      <w:lvlText w:val="%4."/>
      <w:lvlJc w:val="left"/>
      <w:pPr>
        <w:tabs>
          <w:tab w:val="num" w:pos="3577"/>
        </w:tabs>
        <w:ind w:left="3577" w:hanging="360"/>
      </w:pPr>
    </w:lvl>
    <w:lvl w:ilvl="4" w:tplc="31ACFFC6" w:tentative="1">
      <w:start w:val="1"/>
      <w:numFmt w:val="lowerLetter"/>
      <w:lvlText w:val="%5."/>
      <w:lvlJc w:val="left"/>
      <w:pPr>
        <w:tabs>
          <w:tab w:val="num" w:pos="4297"/>
        </w:tabs>
        <w:ind w:left="4297" w:hanging="360"/>
      </w:pPr>
    </w:lvl>
    <w:lvl w:ilvl="5" w:tplc="EBA49614" w:tentative="1">
      <w:start w:val="1"/>
      <w:numFmt w:val="lowerRoman"/>
      <w:lvlText w:val="%6."/>
      <w:lvlJc w:val="right"/>
      <w:pPr>
        <w:tabs>
          <w:tab w:val="num" w:pos="5017"/>
        </w:tabs>
        <w:ind w:left="5017" w:hanging="180"/>
      </w:pPr>
    </w:lvl>
    <w:lvl w:ilvl="6" w:tplc="E780C8A6" w:tentative="1">
      <w:start w:val="1"/>
      <w:numFmt w:val="decimal"/>
      <w:lvlText w:val="%7."/>
      <w:lvlJc w:val="left"/>
      <w:pPr>
        <w:tabs>
          <w:tab w:val="num" w:pos="5737"/>
        </w:tabs>
        <w:ind w:left="5737" w:hanging="360"/>
      </w:pPr>
    </w:lvl>
    <w:lvl w:ilvl="7" w:tplc="10BA10FC" w:tentative="1">
      <w:start w:val="1"/>
      <w:numFmt w:val="lowerLetter"/>
      <w:lvlText w:val="%8."/>
      <w:lvlJc w:val="left"/>
      <w:pPr>
        <w:tabs>
          <w:tab w:val="num" w:pos="6457"/>
        </w:tabs>
        <w:ind w:left="6457" w:hanging="360"/>
      </w:pPr>
    </w:lvl>
    <w:lvl w:ilvl="8" w:tplc="E2A4442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77706A86">
      <w:start w:val="1"/>
      <w:numFmt w:val="decimal"/>
      <w:pStyle w:val="ATSNumber1"/>
      <w:lvlText w:val="%1)"/>
      <w:lvlJc w:val="left"/>
      <w:pPr>
        <w:tabs>
          <w:tab w:val="num" w:pos="720"/>
        </w:tabs>
        <w:ind w:left="720" w:hanging="360"/>
      </w:pPr>
    </w:lvl>
    <w:lvl w:ilvl="1" w:tplc="364C52FA" w:tentative="1">
      <w:start w:val="1"/>
      <w:numFmt w:val="lowerLetter"/>
      <w:lvlText w:val="%2."/>
      <w:lvlJc w:val="left"/>
      <w:pPr>
        <w:tabs>
          <w:tab w:val="num" w:pos="1440"/>
        </w:tabs>
        <w:ind w:left="1440" w:hanging="360"/>
      </w:pPr>
    </w:lvl>
    <w:lvl w:ilvl="2" w:tplc="AD228AC4" w:tentative="1">
      <w:start w:val="1"/>
      <w:numFmt w:val="lowerRoman"/>
      <w:lvlText w:val="%3."/>
      <w:lvlJc w:val="right"/>
      <w:pPr>
        <w:tabs>
          <w:tab w:val="num" w:pos="2160"/>
        </w:tabs>
        <w:ind w:left="2160" w:hanging="180"/>
      </w:pPr>
    </w:lvl>
    <w:lvl w:ilvl="3" w:tplc="2654CB8C" w:tentative="1">
      <w:start w:val="1"/>
      <w:numFmt w:val="decimal"/>
      <w:lvlText w:val="%4."/>
      <w:lvlJc w:val="left"/>
      <w:pPr>
        <w:tabs>
          <w:tab w:val="num" w:pos="2880"/>
        </w:tabs>
        <w:ind w:left="2880" w:hanging="360"/>
      </w:pPr>
    </w:lvl>
    <w:lvl w:ilvl="4" w:tplc="347245A8" w:tentative="1">
      <w:start w:val="1"/>
      <w:numFmt w:val="lowerLetter"/>
      <w:lvlText w:val="%5."/>
      <w:lvlJc w:val="left"/>
      <w:pPr>
        <w:tabs>
          <w:tab w:val="num" w:pos="3600"/>
        </w:tabs>
        <w:ind w:left="3600" w:hanging="360"/>
      </w:pPr>
    </w:lvl>
    <w:lvl w:ilvl="5" w:tplc="8A5C95E6" w:tentative="1">
      <w:start w:val="1"/>
      <w:numFmt w:val="lowerRoman"/>
      <w:lvlText w:val="%6."/>
      <w:lvlJc w:val="right"/>
      <w:pPr>
        <w:tabs>
          <w:tab w:val="num" w:pos="4320"/>
        </w:tabs>
        <w:ind w:left="4320" w:hanging="180"/>
      </w:pPr>
    </w:lvl>
    <w:lvl w:ilvl="6" w:tplc="44A86FE6" w:tentative="1">
      <w:start w:val="1"/>
      <w:numFmt w:val="decimal"/>
      <w:lvlText w:val="%7."/>
      <w:lvlJc w:val="left"/>
      <w:pPr>
        <w:tabs>
          <w:tab w:val="num" w:pos="5040"/>
        </w:tabs>
        <w:ind w:left="5040" w:hanging="360"/>
      </w:pPr>
    </w:lvl>
    <w:lvl w:ilvl="7" w:tplc="4836A53C" w:tentative="1">
      <w:start w:val="1"/>
      <w:numFmt w:val="lowerLetter"/>
      <w:lvlText w:val="%8."/>
      <w:lvlJc w:val="left"/>
      <w:pPr>
        <w:tabs>
          <w:tab w:val="num" w:pos="5760"/>
        </w:tabs>
        <w:ind w:left="5760" w:hanging="360"/>
      </w:pPr>
    </w:lvl>
    <w:lvl w:ilvl="8" w:tplc="56FA3FE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375E6BF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79CC922" w:tentative="1">
      <w:start w:val="1"/>
      <w:numFmt w:val="bullet"/>
      <w:lvlText w:val="o"/>
      <w:lvlJc w:val="left"/>
      <w:pPr>
        <w:tabs>
          <w:tab w:val="num" w:pos="2517"/>
        </w:tabs>
        <w:ind w:left="2517" w:hanging="360"/>
      </w:pPr>
      <w:rPr>
        <w:rFonts w:ascii="Courier New" w:hAnsi="Courier New" w:cs="Courier New" w:hint="default"/>
      </w:rPr>
    </w:lvl>
    <w:lvl w:ilvl="2" w:tplc="98103700" w:tentative="1">
      <w:start w:val="1"/>
      <w:numFmt w:val="bullet"/>
      <w:lvlText w:val=""/>
      <w:lvlJc w:val="left"/>
      <w:pPr>
        <w:tabs>
          <w:tab w:val="num" w:pos="3237"/>
        </w:tabs>
        <w:ind w:left="3237" w:hanging="360"/>
      </w:pPr>
      <w:rPr>
        <w:rFonts w:ascii="Wingdings" w:hAnsi="Wingdings" w:hint="default"/>
      </w:rPr>
    </w:lvl>
    <w:lvl w:ilvl="3" w:tplc="5316C9AC" w:tentative="1">
      <w:start w:val="1"/>
      <w:numFmt w:val="bullet"/>
      <w:lvlText w:val=""/>
      <w:lvlJc w:val="left"/>
      <w:pPr>
        <w:tabs>
          <w:tab w:val="num" w:pos="3957"/>
        </w:tabs>
        <w:ind w:left="3957" w:hanging="360"/>
      </w:pPr>
      <w:rPr>
        <w:rFonts w:ascii="Symbol" w:hAnsi="Symbol" w:hint="default"/>
      </w:rPr>
    </w:lvl>
    <w:lvl w:ilvl="4" w:tplc="65561E3A" w:tentative="1">
      <w:start w:val="1"/>
      <w:numFmt w:val="bullet"/>
      <w:lvlText w:val="o"/>
      <w:lvlJc w:val="left"/>
      <w:pPr>
        <w:tabs>
          <w:tab w:val="num" w:pos="4677"/>
        </w:tabs>
        <w:ind w:left="4677" w:hanging="360"/>
      </w:pPr>
      <w:rPr>
        <w:rFonts w:ascii="Courier New" w:hAnsi="Courier New" w:cs="Courier New" w:hint="default"/>
      </w:rPr>
    </w:lvl>
    <w:lvl w:ilvl="5" w:tplc="F10AC2C8" w:tentative="1">
      <w:start w:val="1"/>
      <w:numFmt w:val="bullet"/>
      <w:lvlText w:val=""/>
      <w:lvlJc w:val="left"/>
      <w:pPr>
        <w:tabs>
          <w:tab w:val="num" w:pos="5397"/>
        </w:tabs>
        <w:ind w:left="5397" w:hanging="360"/>
      </w:pPr>
      <w:rPr>
        <w:rFonts w:ascii="Wingdings" w:hAnsi="Wingdings" w:hint="default"/>
      </w:rPr>
    </w:lvl>
    <w:lvl w:ilvl="6" w:tplc="2A3ED6C0" w:tentative="1">
      <w:start w:val="1"/>
      <w:numFmt w:val="bullet"/>
      <w:lvlText w:val=""/>
      <w:lvlJc w:val="left"/>
      <w:pPr>
        <w:tabs>
          <w:tab w:val="num" w:pos="6117"/>
        </w:tabs>
        <w:ind w:left="6117" w:hanging="360"/>
      </w:pPr>
      <w:rPr>
        <w:rFonts w:ascii="Symbol" w:hAnsi="Symbol" w:hint="default"/>
      </w:rPr>
    </w:lvl>
    <w:lvl w:ilvl="7" w:tplc="079EADC0" w:tentative="1">
      <w:start w:val="1"/>
      <w:numFmt w:val="bullet"/>
      <w:lvlText w:val="o"/>
      <w:lvlJc w:val="left"/>
      <w:pPr>
        <w:tabs>
          <w:tab w:val="num" w:pos="6837"/>
        </w:tabs>
        <w:ind w:left="6837" w:hanging="360"/>
      </w:pPr>
      <w:rPr>
        <w:rFonts w:ascii="Courier New" w:hAnsi="Courier New" w:cs="Courier New" w:hint="default"/>
      </w:rPr>
    </w:lvl>
    <w:lvl w:ilvl="8" w:tplc="1896767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8C88AD4E">
      <w:start w:val="1"/>
      <w:numFmt w:val="decimal"/>
      <w:pStyle w:val="ATSNumber2"/>
      <w:lvlText w:val="%1."/>
      <w:lvlJc w:val="left"/>
      <w:pPr>
        <w:tabs>
          <w:tab w:val="num" w:pos="720"/>
        </w:tabs>
        <w:ind w:left="720" w:hanging="360"/>
      </w:pPr>
      <w:rPr>
        <w:rFonts w:hint="default"/>
      </w:rPr>
    </w:lvl>
    <w:lvl w:ilvl="1" w:tplc="1232582E" w:tentative="1">
      <w:start w:val="1"/>
      <w:numFmt w:val="lowerLetter"/>
      <w:lvlText w:val="%2."/>
      <w:lvlJc w:val="left"/>
      <w:pPr>
        <w:tabs>
          <w:tab w:val="num" w:pos="1440"/>
        </w:tabs>
        <w:ind w:left="1440" w:hanging="360"/>
      </w:pPr>
    </w:lvl>
    <w:lvl w:ilvl="2" w:tplc="477A73BE" w:tentative="1">
      <w:start w:val="1"/>
      <w:numFmt w:val="lowerRoman"/>
      <w:lvlText w:val="%3."/>
      <w:lvlJc w:val="right"/>
      <w:pPr>
        <w:tabs>
          <w:tab w:val="num" w:pos="2160"/>
        </w:tabs>
        <w:ind w:left="2160" w:hanging="180"/>
      </w:pPr>
    </w:lvl>
    <w:lvl w:ilvl="3" w:tplc="A442EFEC" w:tentative="1">
      <w:start w:val="1"/>
      <w:numFmt w:val="decimal"/>
      <w:lvlText w:val="%4."/>
      <w:lvlJc w:val="left"/>
      <w:pPr>
        <w:tabs>
          <w:tab w:val="num" w:pos="2880"/>
        </w:tabs>
        <w:ind w:left="2880" w:hanging="360"/>
      </w:pPr>
    </w:lvl>
    <w:lvl w:ilvl="4" w:tplc="ED68633C" w:tentative="1">
      <w:start w:val="1"/>
      <w:numFmt w:val="lowerLetter"/>
      <w:lvlText w:val="%5."/>
      <w:lvlJc w:val="left"/>
      <w:pPr>
        <w:tabs>
          <w:tab w:val="num" w:pos="3600"/>
        </w:tabs>
        <w:ind w:left="3600" w:hanging="360"/>
      </w:pPr>
    </w:lvl>
    <w:lvl w:ilvl="5" w:tplc="6E1CB10A" w:tentative="1">
      <w:start w:val="1"/>
      <w:numFmt w:val="lowerRoman"/>
      <w:lvlText w:val="%6."/>
      <w:lvlJc w:val="right"/>
      <w:pPr>
        <w:tabs>
          <w:tab w:val="num" w:pos="4320"/>
        </w:tabs>
        <w:ind w:left="4320" w:hanging="180"/>
      </w:pPr>
    </w:lvl>
    <w:lvl w:ilvl="6" w:tplc="5076584E" w:tentative="1">
      <w:start w:val="1"/>
      <w:numFmt w:val="decimal"/>
      <w:lvlText w:val="%7."/>
      <w:lvlJc w:val="left"/>
      <w:pPr>
        <w:tabs>
          <w:tab w:val="num" w:pos="5040"/>
        </w:tabs>
        <w:ind w:left="5040" w:hanging="360"/>
      </w:pPr>
    </w:lvl>
    <w:lvl w:ilvl="7" w:tplc="3A8ED396" w:tentative="1">
      <w:start w:val="1"/>
      <w:numFmt w:val="lowerLetter"/>
      <w:lvlText w:val="%8."/>
      <w:lvlJc w:val="left"/>
      <w:pPr>
        <w:tabs>
          <w:tab w:val="num" w:pos="5760"/>
        </w:tabs>
        <w:ind w:left="5760" w:hanging="360"/>
      </w:pPr>
    </w:lvl>
    <w:lvl w:ilvl="8" w:tplc="C10A5840" w:tentative="1">
      <w:start w:val="1"/>
      <w:numFmt w:val="lowerRoman"/>
      <w:lvlText w:val="%9."/>
      <w:lvlJc w:val="right"/>
      <w:pPr>
        <w:tabs>
          <w:tab w:val="num" w:pos="6480"/>
        </w:tabs>
        <w:ind w:left="6480" w:hanging="180"/>
      </w:pPr>
    </w:lvl>
  </w:abstractNum>
  <w:num w:numId="1" w16cid:durableId="1850826226">
    <w:abstractNumId w:val="9"/>
  </w:num>
  <w:num w:numId="2" w16cid:durableId="438568441">
    <w:abstractNumId w:val="7"/>
  </w:num>
  <w:num w:numId="3" w16cid:durableId="208298362">
    <w:abstractNumId w:val="6"/>
  </w:num>
  <w:num w:numId="4" w16cid:durableId="1911230825">
    <w:abstractNumId w:val="5"/>
  </w:num>
  <w:num w:numId="5" w16cid:durableId="1711608806">
    <w:abstractNumId w:val="4"/>
  </w:num>
  <w:num w:numId="6" w16cid:durableId="1329476857">
    <w:abstractNumId w:val="8"/>
  </w:num>
  <w:num w:numId="7" w16cid:durableId="1522090157">
    <w:abstractNumId w:val="3"/>
  </w:num>
  <w:num w:numId="8" w16cid:durableId="483399747">
    <w:abstractNumId w:val="2"/>
  </w:num>
  <w:num w:numId="9" w16cid:durableId="200677419">
    <w:abstractNumId w:val="1"/>
  </w:num>
  <w:num w:numId="10" w16cid:durableId="144245237">
    <w:abstractNumId w:val="0"/>
  </w:num>
  <w:num w:numId="11" w16cid:durableId="2065594244">
    <w:abstractNumId w:val="11"/>
  </w:num>
  <w:num w:numId="12" w16cid:durableId="710541851">
    <w:abstractNumId w:val="15"/>
  </w:num>
  <w:num w:numId="13" w16cid:durableId="97219982">
    <w:abstractNumId w:val="14"/>
  </w:num>
  <w:num w:numId="14" w16cid:durableId="687221538">
    <w:abstractNumId w:val="12"/>
  </w:num>
  <w:num w:numId="15" w16cid:durableId="355617955">
    <w:abstractNumId w:val="13"/>
  </w:num>
  <w:num w:numId="16" w16cid:durableId="560098149">
    <w:abstractNumId w:val="10"/>
  </w:num>
  <w:num w:numId="17" w16cid:durableId="1965845892">
    <w:abstractNumId w:val="11"/>
  </w:num>
  <w:num w:numId="18" w16cid:durableId="1081567224">
    <w:abstractNumId w:val="15"/>
  </w:num>
  <w:num w:numId="19" w16cid:durableId="534276747">
    <w:abstractNumId w:val="14"/>
  </w:num>
  <w:num w:numId="20" w16cid:durableId="13471010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28"/>
    <w:rsid w:val="00303E28"/>
    <w:rsid w:val="004A35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2EA16"/>
  <w15:chartTrackingRefBased/>
  <w15:docId w15:val="{1E777514-959D-49D5-B35E-7B3E78FC3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4A35A6"/>
    <w:pPr>
      <w:spacing w:before="120" w:after="120"/>
    </w:pPr>
    <w:rPr>
      <w:lang w:eastAsia="en-GB"/>
    </w:rPr>
  </w:style>
  <w:style w:type="character" w:customStyle="1" w:styleId="ASNormalChar">
    <w:name w:val="AS Normal Char"/>
    <w:link w:val="ASNormal"/>
    <w:locked/>
    <w:rsid w:val="004A35A6"/>
    <w:rPr>
      <w:sz w:val="22"/>
      <w:szCs w:val="24"/>
      <w:lang w:val="en-GB" w:eastAsia="en-GB"/>
    </w:rPr>
  </w:style>
  <w:style w:type="character" w:customStyle="1" w:styleId="ATSHeading2Char">
    <w:name w:val="ATS Heading 2 Char"/>
    <w:link w:val="ATSHeading2"/>
    <w:locked/>
    <w:rsid w:val="004A35A6"/>
    <w:rPr>
      <w:rFonts w:ascii="Arial" w:hAnsi="Arial"/>
      <w:b/>
      <w:i/>
      <w:sz w:val="24"/>
      <w:szCs w:val="22"/>
      <w:lang w:val="en-GB" w:eastAsia="en-GB"/>
    </w:rPr>
  </w:style>
  <w:style w:type="character" w:customStyle="1" w:styleId="q4iawc">
    <w:name w:val="q4iawc"/>
    <w:basedOn w:val="Fuentedeprrafopredeter"/>
    <w:rsid w:val="004A3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1234</Words>
  <Characters>7422</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2023-05-02T12:33:00Z</dcterms:modified>
</cp:coreProperties>
</file>