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6EC3" w14:textId="77777777" w:rsidR="00C26F2D" w:rsidRPr="00BF077B" w:rsidRDefault="005D1F81" w:rsidP="00BF077B">
      <w:pPr>
        <w:pStyle w:val="ATSNormal"/>
        <w:rPr>
          <w:rStyle w:val="Ttulodellibro"/>
        </w:rPr>
      </w:pPr>
    </w:p>
    <w:p w14:paraId="64F7F2A6" w14:textId="77777777" w:rsidR="002F0A13" w:rsidRDefault="005D1F81" w:rsidP="004B4A60">
      <w:pPr>
        <w:rPr>
          <w:b/>
          <w:u w:val="single"/>
          <w:lang w:val="es-ES_tradnl"/>
        </w:rPr>
      </w:pPr>
    </w:p>
    <w:p w14:paraId="1724B2E8" w14:textId="77777777" w:rsidR="002F0A13" w:rsidRDefault="005D1F81" w:rsidP="004B4A60">
      <w:pPr>
        <w:rPr>
          <w:b/>
          <w:u w:val="single"/>
          <w:lang w:val="es-ES_tradnl"/>
        </w:rPr>
      </w:pPr>
    </w:p>
    <w:p w14:paraId="75F037A2" w14:textId="77777777" w:rsidR="002F0A13" w:rsidRDefault="005D1F81" w:rsidP="004B4A60">
      <w:pPr>
        <w:rPr>
          <w:b/>
          <w:u w:val="single"/>
          <w:lang w:val="es-ES_tradnl"/>
        </w:rPr>
      </w:pPr>
    </w:p>
    <w:p w14:paraId="1B933B63" w14:textId="77777777" w:rsidR="002F0A13" w:rsidRDefault="005D1F81" w:rsidP="004B4A60">
      <w:pPr>
        <w:rPr>
          <w:b/>
          <w:u w:val="single"/>
          <w:lang w:val="es-ES_tradnl"/>
        </w:rPr>
      </w:pPr>
    </w:p>
    <w:p w14:paraId="7A5A106A" w14:textId="77777777" w:rsidR="00C26F2D" w:rsidRDefault="005D1F81" w:rsidP="004B4A60">
      <w:pPr>
        <w:rPr>
          <w:b/>
          <w:u w:val="single"/>
          <w:lang w:val="es-ES_tradnl"/>
        </w:rPr>
      </w:pPr>
    </w:p>
    <w:p w14:paraId="6C34AF56" w14:textId="77777777" w:rsidR="004B4A60" w:rsidRPr="0057246E" w:rsidRDefault="005D1F81" w:rsidP="001B789F">
      <w:pPr>
        <w:pStyle w:val="ATSTitle"/>
      </w:pPr>
      <w:bookmarkStart w:id="0" w:name="name"/>
      <w:r>
        <w:t>Irreversible near-term consequences of Southern Ocean acidification with current CO2 emissions pathways</w:t>
      </w:r>
      <w:bookmarkEnd w:id="0"/>
    </w:p>
    <w:p w14:paraId="3C3767C2" w14:textId="77777777" w:rsidR="004B4A60" w:rsidRPr="0057246E" w:rsidRDefault="005D1F81" w:rsidP="00F75424">
      <w:pPr>
        <w:jc w:val="center"/>
      </w:pPr>
    </w:p>
    <w:p w14:paraId="34945E82" w14:textId="77777777" w:rsidR="004B4A60" w:rsidRPr="002F0A13" w:rsidRDefault="005D1F81" w:rsidP="002F0A13"/>
    <w:p w14:paraId="3AFA83AF" w14:textId="77777777" w:rsidR="004B4A60" w:rsidRDefault="005D1F81" w:rsidP="00F75424">
      <w:pPr>
        <w:jc w:val="center"/>
      </w:pPr>
      <w:bookmarkStart w:id="1" w:name="memo"/>
      <w:bookmarkEnd w:id="1"/>
    </w:p>
    <w:p w14:paraId="379A9DFA" w14:textId="77777777" w:rsidR="0097629D" w:rsidRDefault="005D1F81" w:rsidP="00F75424">
      <w:pPr>
        <w:jc w:val="center"/>
      </w:pPr>
    </w:p>
    <w:p w14:paraId="41AB4BA6" w14:textId="77777777" w:rsidR="0097629D" w:rsidRDefault="005D1F81" w:rsidP="00F75424">
      <w:pPr>
        <w:jc w:val="center"/>
      </w:pPr>
    </w:p>
    <w:p w14:paraId="6381F240" w14:textId="77777777" w:rsidR="0097629D" w:rsidRDefault="005D1F81" w:rsidP="00F75424">
      <w:pPr>
        <w:jc w:val="center"/>
      </w:pPr>
    </w:p>
    <w:p w14:paraId="0B375E04" w14:textId="77777777" w:rsidR="0097629D" w:rsidRPr="00C26F2D" w:rsidRDefault="005D1F81" w:rsidP="00F75424">
      <w:pPr>
        <w:jc w:val="center"/>
      </w:pPr>
    </w:p>
    <w:p w14:paraId="661E6DFB" w14:textId="77777777" w:rsidR="004B4A60" w:rsidRPr="0057246E" w:rsidRDefault="005D1F81" w:rsidP="004B4A60"/>
    <w:p w14:paraId="386E2EAB" w14:textId="77777777" w:rsidR="00C26F2D" w:rsidRDefault="005D1F8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6C14622" w14:textId="77777777" w:rsidR="005D1F81" w:rsidRPr="00B80937" w:rsidRDefault="005D1F81" w:rsidP="005D1F81">
      <w:pPr>
        <w:pStyle w:val="ATSHeading1"/>
      </w:pPr>
      <w:r w:rsidRPr="00B80937">
        <w:lastRenderedPageBreak/>
        <w:t>Irreversible near-term consequences of Southern Ocean acidification with</w:t>
      </w:r>
      <w:r>
        <w:t xml:space="preserve"> </w:t>
      </w:r>
      <w:r w:rsidRPr="00B80937">
        <w:t>current CO</w:t>
      </w:r>
      <w:r w:rsidRPr="00B80937">
        <w:rPr>
          <w:vertAlign w:val="subscript"/>
        </w:rPr>
        <w:t>2</w:t>
      </w:r>
      <w:r w:rsidRPr="00B80937">
        <w:t xml:space="preserve"> emissions pathways</w:t>
      </w:r>
    </w:p>
    <w:p w14:paraId="2FAC5747" w14:textId="77777777" w:rsidR="005D1F81" w:rsidRPr="0029269C" w:rsidRDefault="005D1F81" w:rsidP="005D1F81">
      <w:pPr>
        <w:jc w:val="center"/>
        <w:outlineLvl w:val="0"/>
        <w:rPr>
          <w:b/>
        </w:rPr>
      </w:pPr>
      <w:r w:rsidRPr="0029269C">
        <w:rPr>
          <w:b/>
        </w:rPr>
        <w:t>Information Paper submitted by ASOC</w:t>
      </w:r>
    </w:p>
    <w:p w14:paraId="019CF8DE" w14:textId="77777777" w:rsidR="005D1F81" w:rsidRPr="00B80937" w:rsidRDefault="005D1F81" w:rsidP="005D1F81">
      <w:pPr>
        <w:pStyle w:val="ATSHeading2"/>
        <w:rPr>
          <w:szCs w:val="28"/>
        </w:rPr>
      </w:pPr>
      <w:r>
        <w:rPr>
          <w:szCs w:val="28"/>
        </w:rPr>
        <w:t>Summary</w:t>
      </w:r>
    </w:p>
    <w:p w14:paraId="7E04075B" w14:textId="77777777" w:rsidR="005D1F81" w:rsidRPr="0029269C" w:rsidRDefault="005D1F81" w:rsidP="005D1F81">
      <w:pPr>
        <w:pStyle w:val="ATSNormal"/>
        <w:spacing w:before="0" w:after="0"/>
        <w:rPr>
          <w:bCs/>
        </w:rPr>
      </w:pPr>
      <w:r w:rsidRPr="002E20E0">
        <w:rPr>
          <w:color w:val="000000" w:themeColor="text1"/>
        </w:rPr>
        <w:t>CO</w:t>
      </w:r>
      <w:r w:rsidRPr="002E20E0">
        <w:rPr>
          <w:color w:val="000000" w:themeColor="text1"/>
          <w:vertAlign w:val="subscript"/>
        </w:rPr>
        <w:t>2</w:t>
      </w:r>
      <w:r w:rsidRPr="0029269C">
        <w:rPr>
          <w:bCs/>
        </w:rPr>
        <w:t xml:space="preserve"> levels in the atmosphere have exceeded 423</w:t>
      </w:r>
      <w:r w:rsidRPr="00891E7A">
        <w:rPr>
          <w:bCs/>
        </w:rPr>
        <w:t xml:space="preserve"> ppm</w:t>
      </w:r>
      <w:r w:rsidRPr="0029269C">
        <w:rPr>
          <w:bCs/>
        </w:rPr>
        <w:t xml:space="preserve"> several times in 2023, exhibiting the same year-on-year increase of ≈2.5ppm that began in the early 2000s.  Should this current rate continue, atmospheric concentrations of </w:t>
      </w:r>
      <w:r w:rsidRPr="002E20E0">
        <w:rPr>
          <w:color w:val="000000" w:themeColor="text1"/>
        </w:rPr>
        <w:t>CO</w:t>
      </w:r>
      <w:r w:rsidRPr="002E20E0">
        <w:rPr>
          <w:color w:val="000000" w:themeColor="text1"/>
          <w:vertAlign w:val="subscript"/>
        </w:rPr>
        <w:t>2</w:t>
      </w:r>
      <w:r w:rsidRPr="0029269C">
        <w:rPr>
          <w:bCs/>
        </w:rPr>
        <w:t xml:space="preserve"> will reach the 450ppm critical level, established by the National Academies, in just eleven years. Shell damage due to acidification has already been observed in samples taken from the Ross Sea</w:t>
      </w:r>
      <w:r w:rsidRPr="0051050E">
        <w:rPr>
          <w:bCs/>
        </w:rPr>
        <w:t xml:space="preserve"> </w:t>
      </w:r>
      <w:r w:rsidRPr="0029269C">
        <w:rPr>
          <w:bCs/>
        </w:rPr>
        <w:t>in 2006. Only the lowest IPCC Sixth Assessment (AR6) emissions pathways, in which emissions decrease by 43% in the next eight years, will prevent widespread shell damage throughout the Southern Ocean, in long-tail ocean chemistry processes that will persist for 30-70,000 years.</w:t>
      </w:r>
    </w:p>
    <w:p w14:paraId="7B9B1C6D" w14:textId="77777777" w:rsidR="005D1F81" w:rsidRPr="00B80937" w:rsidRDefault="005D1F81" w:rsidP="005D1F81">
      <w:pPr>
        <w:pStyle w:val="ATSHeading2"/>
      </w:pPr>
      <w:r w:rsidRPr="00B80937">
        <w:t>Recent Research of Concern</w:t>
      </w:r>
    </w:p>
    <w:p w14:paraId="089E7C69" w14:textId="77777777" w:rsidR="005D1F81" w:rsidRPr="0029269C" w:rsidRDefault="005D1F81" w:rsidP="005D1F81"/>
    <w:p w14:paraId="43177088" w14:textId="77777777" w:rsidR="005D1F81" w:rsidRPr="0029269C" w:rsidRDefault="005D1F81" w:rsidP="005D1F81">
      <w:pPr>
        <w:pStyle w:val="Prrafodelista"/>
        <w:numPr>
          <w:ilvl w:val="0"/>
          <w:numId w:val="22"/>
        </w:numPr>
        <w:contextualSpacing/>
        <w:rPr>
          <w:color w:val="000000" w:themeColor="text1"/>
          <w:szCs w:val="22"/>
          <w:shd w:val="clear" w:color="auto" w:fill="FFFFFF"/>
        </w:rPr>
      </w:pPr>
      <w:r w:rsidRPr="0029269C">
        <w:rPr>
          <w:color w:val="000000" w:themeColor="text1"/>
          <w:szCs w:val="22"/>
        </w:rPr>
        <w:t xml:space="preserve">Mounting research indicates that that a </w:t>
      </w:r>
      <w:r w:rsidRPr="0029269C">
        <w:rPr>
          <w:color w:val="000000" w:themeColor="text1"/>
          <w:szCs w:val="22"/>
          <w:shd w:val="clear" w:color="auto" w:fill="FFFFFF"/>
        </w:rPr>
        <w:t>high emissions scenario would lead to catastrophic Southern Ocean marine species loss by 2100, at a scale on par with the five mass ocean extinction events in Earth’s past.</w:t>
      </w:r>
      <w:r w:rsidRPr="0029269C">
        <w:rPr>
          <w:color w:val="000000" w:themeColor="text1"/>
          <w:szCs w:val="22"/>
          <w:shd w:val="clear" w:color="auto" w:fill="FFFFFF"/>
          <w:vertAlign w:val="superscript"/>
        </w:rPr>
        <w:t>1, 2</w:t>
      </w:r>
      <w:r w:rsidRPr="0029269C">
        <w:rPr>
          <w:color w:val="000000" w:themeColor="text1"/>
          <w:szCs w:val="22"/>
          <w:shd w:val="clear" w:color="auto" w:fill="FFFFFF"/>
        </w:rPr>
        <w:t xml:space="preserve">  </w:t>
      </w:r>
    </w:p>
    <w:p w14:paraId="7544E792" w14:textId="77777777" w:rsidR="005D1F81" w:rsidRPr="0029269C" w:rsidRDefault="005D1F81" w:rsidP="005D1F81">
      <w:pPr>
        <w:pStyle w:val="Prrafodelista"/>
        <w:numPr>
          <w:ilvl w:val="0"/>
          <w:numId w:val="21"/>
        </w:numPr>
        <w:contextualSpacing/>
        <w:rPr>
          <w:color w:val="000000" w:themeColor="text1"/>
          <w:szCs w:val="22"/>
        </w:rPr>
      </w:pPr>
      <w:r w:rsidRPr="0029269C">
        <w:rPr>
          <w:color w:val="000000" w:themeColor="text1"/>
          <w:szCs w:val="22"/>
          <w:lang w:val="en-US"/>
        </w:rPr>
        <w:t xml:space="preserve">Exposure to new stressors such as nanoplastics </w:t>
      </w:r>
      <w:r w:rsidRPr="0029269C">
        <w:rPr>
          <w:color w:val="000000" w:themeColor="text1"/>
          <w:szCs w:val="22"/>
        </w:rPr>
        <w:t>could worsen the effects of acidification for Southern Ocean marine species.</w:t>
      </w:r>
      <w:r w:rsidRPr="0029269C">
        <w:rPr>
          <w:color w:val="000000" w:themeColor="text1"/>
          <w:szCs w:val="22"/>
          <w:vertAlign w:val="superscript"/>
        </w:rPr>
        <w:t>3</w:t>
      </w:r>
    </w:p>
    <w:p w14:paraId="6F74C7E5" w14:textId="77777777" w:rsidR="005D1F81" w:rsidRPr="0029269C" w:rsidRDefault="005D1F81" w:rsidP="005D1F81">
      <w:pPr>
        <w:pStyle w:val="Prrafodelista"/>
        <w:numPr>
          <w:ilvl w:val="0"/>
          <w:numId w:val="21"/>
        </w:numPr>
        <w:contextualSpacing/>
        <w:rPr>
          <w:color w:val="000000" w:themeColor="text1"/>
          <w:szCs w:val="22"/>
        </w:rPr>
      </w:pPr>
      <w:r w:rsidRPr="0029269C">
        <w:rPr>
          <w:color w:val="000000" w:themeColor="text1"/>
          <w:szCs w:val="22"/>
          <w:lang w:val="en-US"/>
        </w:rPr>
        <w:t>Westerly winds have shifted c</w:t>
      </w:r>
      <w:r w:rsidRPr="0029269C">
        <w:rPr>
          <w:color w:val="000000" w:themeColor="text1"/>
          <w:szCs w:val="22"/>
        </w:rPr>
        <w:t>loser to the Antarctic continent, causing water eddies to erode the base of ice sheets and increase meltwater</w:t>
      </w:r>
      <w:r>
        <w:rPr>
          <w:color w:val="000000" w:themeColor="text1"/>
          <w:szCs w:val="22"/>
        </w:rPr>
        <w:t xml:space="preserve"> input</w:t>
      </w:r>
      <w:r w:rsidRPr="0029269C">
        <w:rPr>
          <w:color w:val="000000" w:themeColor="text1"/>
          <w:szCs w:val="22"/>
        </w:rPr>
        <w:t xml:space="preserve"> into the ocean. This shift may have negative impacts on Southern Ocean ecosystems and species, and underscores the influence this ice sheet holds over local ecosystems, as well as the global climate system.</w:t>
      </w:r>
      <w:r w:rsidRPr="0029269C">
        <w:rPr>
          <w:color w:val="000000" w:themeColor="text1"/>
          <w:szCs w:val="22"/>
          <w:vertAlign w:val="superscript"/>
        </w:rPr>
        <w:t>4</w:t>
      </w:r>
    </w:p>
    <w:p w14:paraId="6E257FC5" w14:textId="77777777" w:rsidR="005D1F81" w:rsidRPr="004E28A4" w:rsidRDefault="005D1F81" w:rsidP="005D1F81">
      <w:pPr>
        <w:pStyle w:val="Prrafodelista"/>
        <w:numPr>
          <w:ilvl w:val="0"/>
          <w:numId w:val="21"/>
        </w:numPr>
        <w:contextualSpacing/>
        <w:rPr>
          <w:color w:val="000000" w:themeColor="text1"/>
          <w:szCs w:val="22"/>
        </w:rPr>
      </w:pPr>
      <w:r w:rsidRPr="0029269C">
        <w:rPr>
          <w:color w:val="000000" w:themeColor="text1"/>
          <w:szCs w:val="22"/>
        </w:rPr>
        <w:t>Sea ice loss is increasing the uptake of atmospheric carbon dioxide by surface water and driving rapid acidification of the western Arctic Ocean at a rate three to four times higher than that of the other ocean basins; as sea ice is lost around Antarctica, portions of the Southern Ocean may soon see similar dynamics.</w:t>
      </w:r>
      <w:r w:rsidRPr="0029269C">
        <w:rPr>
          <w:color w:val="000000" w:themeColor="text1"/>
          <w:szCs w:val="22"/>
          <w:vertAlign w:val="superscript"/>
        </w:rPr>
        <w:t>5</w:t>
      </w:r>
      <w:r w:rsidRPr="0029269C">
        <w:rPr>
          <w:color w:val="000000" w:themeColor="text1"/>
          <w:szCs w:val="22"/>
        </w:rPr>
        <w:t xml:space="preserve"> A decline in plankton diversity and carbon flux has already been observed in the waters off the West Antarctic </w:t>
      </w:r>
      <w:r>
        <w:rPr>
          <w:color w:val="000000" w:themeColor="text1"/>
          <w:szCs w:val="22"/>
        </w:rPr>
        <w:t>P</w:t>
      </w:r>
      <w:r w:rsidRPr="0029269C">
        <w:rPr>
          <w:color w:val="000000" w:themeColor="text1"/>
          <w:szCs w:val="22"/>
        </w:rPr>
        <w:t>eninsula, where ice-free conditions occurred during the past austral summer.</w:t>
      </w:r>
      <w:r w:rsidRPr="0029269C">
        <w:rPr>
          <w:color w:val="000000" w:themeColor="text1"/>
          <w:szCs w:val="22"/>
          <w:vertAlign w:val="superscript"/>
        </w:rPr>
        <w:t>6</w:t>
      </w:r>
    </w:p>
    <w:p w14:paraId="2FA391D8" w14:textId="77777777" w:rsidR="005D1F81" w:rsidRPr="00B80937" w:rsidRDefault="005D1F81" w:rsidP="005D1F81">
      <w:pPr>
        <w:pStyle w:val="ATSHeading2"/>
      </w:pPr>
      <w:r w:rsidRPr="00B80937">
        <w:t>Background</w:t>
      </w:r>
    </w:p>
    <w:p w14:paraId="311EC6E3" w14:textId="77777777" w:rsidR="005D1F81" w:rsidRPr="00B80937" w:rsidRDefault="005D1F81" w:rsidP="005D1F81">
      <w:pPr>
        <w:rPr>
          <w:color w:val="000000" w:themeColor="text1"/>
        </w:rPr>
      </w:pPr>
    </w:p>
    <w:p w14:paraId="04C0CDE2" w14:textId="77777777" w:rsidR="005D1F81" w:rsidRPr="004E28A4" w:rsidRDefault="005D1F81" w:rsidP="005D1F81">
      <w:pPr>
        <w:rPr>
          <w:color w:val="000000" w:themeColor="text1"/>
          <w:vertAlign w:val="superscript"/>
        </w:rPr>
      </w:pPr>
      <w:r w:rsidRPr="00B80937">
        <w:rPr>
          <w:color w:val="000000" w:themeColor="text1"/>
        </w:rPr>
        <w:t>Increasing CO</w:t>
      </w:r>
      <w:r w:rsidRPr="00B80937">
        <w:rPr>
          <w:color w:val="000000" w:themeColor="text1"/>
          <w:vertAlign w:val="subscript"/>
        </w:rPr>
        <w:t>2</w:t>
      </w:r>
      <w:r w:rsidRPr="00B80937">
        <w:rPr>
          <w:color w:val="000000" w:themeColor="text1"/>
        </w:rPr>
        <w:t xml:space="preserve"> concentration leads not only to climate change, but also to increasing rates of acidification of the world’s oceans.</w:t>
      </w:r>
      <w:r w:rsidRPr="00B80937">
        <w:rPr>
          <w:color w:val="000000" w:themeColor="text1"/>
          <w:vertAlign w:val="superscript"/>
        </w:rPr>
        <w:t>7</w:t>
      </w:r>
      <w:r w:rsidRPr="00B80937">
        <w:rPr>
          <w:color w:val="000000" w:themeColor="text1"/>
        </w:rPr>
        <w:t xml:space="preserve"> Oceans provide a vital service to the global climate system by absorbing CO</w:t>
      </w:r>
      <w:r w:rsidRPr="00B80937">
        <w:rPr>
          <w:color w:val="000000" w:themeColor="text1"/>
          <w:vertAlign w:val="subscript"/>
        </w:rPr>
        <w:t>2</w:t>
      </w:r>
      <w:r w:rsidRPr="00B80937">
        <w:rPr>
          <w:color w:val="000000" w:themeColor="text1"/>
        </w:rPr>
        <w:t>; limiting global warming, despite sharp increases in human carbon emissions. However, such ocean carbon absorption comes with a price: when dissolved into seawater, CO</w:t>
      </w:r>
      <w:r w:rsidRPr="00B80937">
        <w:rPr>
          <w:color w:val="000000" w:themeColor="text1"/>
          <w:szCs w:val="22"/>
          <w:vertAlign w:val="subscript"/>
        </w:rPr>
        <w:t>2</w:t>
      </w:r>
      <w:r w:rsidRPr="00B80937">
        <w:rPr>
          <w:color w:val="000000" w:themeColor="text1"/>
        </w:rPr>
        <w:t xml:space="preserve"> forms carbonic acid</w:t>
      </w:r>
      <w:r>
        <w:rPr>
          <w:color w:val="000000" w:themeColor="text1"/>
        </w:rPr>
        <w:t xml:space="preserve"> (</w:t>
      </w:r>
      <w:r w:rsidRPr="00B80937">
        <w:rPr>
          <w:color w:val="000000" w:themeColor="text1"/>
        </w:rPr>
        <w:t>H₂CO₃</w:t>
      </w:r>
      <w:r>
        <w:rPr>
          <w:color w:val="000000" w:themeColor="text1"/>
        </w:rPr>
        <w:t>)</w:t>
      </w:r>
      <w:r w:rsidRPr="00B80937">
        <w:rPr>
          <w:color w:val="000000" w:themeColor="text1"/>
        </w:rPr>
        <w:t>. This phenomenon is known as ocean acidification; and rates of acidification today are faster than at any point in the past 300 million years.</w:t>
      </w:r>
      <w:r w:rsidRPr="00B80937">
        <w:rPr>
          <w:color w:val="000000" w:themeColor="text1"/>
          <w:vertAlign w:val="superscript"/>
        </w:rPr>
        <w:t>8</w:t>
      </w:r>
    </w:p>
    <w:p w14:paraId="73A6FB4A" w14:textId="77777777" w:rsidR="005D1F81" w:rsidRPr="00B80937" w:rsidRDefault="005D1F81" w:rsidP="005D1F81">
      <w:r w:rsidRPr="00B80937">
        <w:t xml:space="preserve">The Southern and Arctic Oceans have absorbed the lion’s share of this dissolved </w:t>
      </w:r>
      <w:r w:rsidRPr="00B80937">
        <w:rPr>
          <w:color w:val="000000" w:themeColor="text1"/>
        </w:rPr>
        <w:t>CO</w:t>
      </w:r>
      <w:r w:rsidRPr="00B80937">
        <w:rPr>
          <w:color w:val="000000" w:themeColor="text1"/>
          <w:szCs w:val="22"/>
          <w:vertAlign w:val="subscript"/>
        </w:rPr>
        <w:t xml:space="preserve">2, </w:t>
      </w:r>
      <w:r w:rsidRPr="00B80937">
        <w:t>mostly because colder and fresher waters can hold more carbon, which gets transferred to deep waters allowing more CO</w:t>
      </w:r>
      <w:r w:rsidRPr="00B80937">
        <w:rPr>
          <w:vertAlign w:val="subscript"/>
        </w:rPr>
        <w:t>2</w:t>
      </w:r>
      <w:r w:rsidRPr="00B80937">
        <w:t xml:space="preserve"> to be taken up at the surface. By some estimates, Antarctic waters have absorbed up to 40% of the total carbon taken up by the world’s oceans thus far.</w:t>
      </w:r>
      <w:r w:rsidRPr="00B80937">
        <w:rPr>
          <w:vertAlign w:val="superscript"/>
        </w:rPr>
        <w:t>9</w:t>
      </w:r>
      <w:r w:rsidRPr="00B80937">
        <w:t xml:space="preserve"> This makes it an important carbon sink, helping to hold down global heating.  This “sink” harms polar marine </w:t>
      </w:r>
      <w:r w:rsidRPr="00B80937">
        <w:lastRenderedPageBreak/>
        <w:t xml:space="preserve">environments, however, because it also results in higher rates of acidification than anywhere else on Earth. </w:t>
      </w:r>
    </w:p>
    <w:p w14:paraId="68033BD1" w14:textId="77777777" w:rsidR="005D1F81" w:rsidRPr="00B80937" w:rsidRDefault="005D1F81" w:rsidP="005D1F81"/>
    <w:p w14:paraId="5F1ABD88" w14:textId="77777777" w:rsidR="005D1F81" w:rsidRPr="00B80937" w:rsidRDefault="005D1F81" w:rsidP="005D1F81">
      <w:r w:rsidRPr="00B80937">
        <w:rPr>
          <w:color w:val="000000" w:themeColor="text1"/>
        </w:rPr>
        <w:t xml:space="preserve">Acidification makes it more difficult for Southern Ocean shell-building animals to build and maintain their structures; while in all water-dwelling organisms, ocean acidification increases the energy costs to maintain pH in the cells and tissues. In this way, ocean acidification harms key </w:t>
      </w:r>
      <w:r w:rsidRPr="00B80937">
        <w:rPr>
          <w:szCs w:val="32"/>
        </w:rPr>
        <w:t>organisms such as marine gastropods and pteropods, sea urchins, clams, and crabs.</w:t>
      </w:r>
      <w:r w:rsidRPr="00B80937">
        <w:rPr>
          <w:szCs w:val="32"/>
          <w:vertAlign w:val="superscript"/>
        </w:rPr>
        <w:t>10</w:t>
      </w:r>
      <w:r w:rsidRPr="00B80937">
        <w:rPr>
          <w:szCs w:val="32"/>
        </w:rPr>
        <w:t xml:space="preserve"> Polar </w:t>
      </w:r>
      <w:r>
        <w:rPr>
          <w:szCs w:val="32"/>
        </w:rPr>
        <w:t>s</w:t>
      </w:r>
      <w:r w:rsidRPr="00B80937">
        <w:rPr>
          <w:szCs w:val="32"/>
        </w:rPr>
        <w:t>pecies of the Southern Ocean are adapted to</w:t>
      </w:r>
      <w:r>
        <w:rPr>
          <w:szCs w:val="32"/>
        </w:rPr>
        <w:t xml:space="preserve"> the</w:t>
      </w:r>
      <w:r w:rsidRPr="00B80937">
        <w:rPr>
          <w:szCs w:val="32"/>
        </w:rPr>
        <w:t xml:space="preserve"> stable pH, temperature and saltwater conditions that have existed for several million years. They are sensitive to even small changes in seawater chemistry. </w:t>
      </w:r>
      <w:r w:rsidRPr="00B80937">
        <w:rPr>
          <w:szCs w:val="32"/>
          <w:vertAlign w:val="superscript"/>
        </w:rPr>
        <w:t>11</w:t>
      </w:r>
    </w:p>
    <w:p w14:paraId="1FE5E6DF" w14:textId="77777777" w:rsidR="005D1F81" w:rsidRPr="00B80937" w:rsidRDefault="005D1F81" w:rsidP="005D1F81">
      <w:pPr>
        <w:rPr>
          <w:szCs w:val="32"/>
        </w:rPr>
      </w:pPr>
    </w:p>
    <w:p w14:paraId="51D6B208" w14:textId="77777777" w:rsidR="005D1F81" w:rsidRPr="00B80937" w:rsidRDefault="005D1F81" w:rsidP="005D1F81">
      <w:pPr>
        <w:rPr>
          <w:color w:val="000000" w:themeColor="text1"/>
        </w:rPr>
      </w:pPr>
      <w:r w:rsidRPr="00B80937">
        <w:rPr>
          <w:color w:val="000000" w:themeColor="text1"/>
        </w:rPr>
        <w:t>There is currently no practical way for humans to reverse ocean acidification. The only way to slow and eventually, halt the acidification process is through rapid CO</w:t>
      </w:r>
      <w:r w:rsidRPr="00B80937">
        <w:rPr>
          <w:color w:val="000000" w:themeColor="text1"/>
          <w:szCs w:val="22"/>
          <w:vertAlign w:val="subscript"/>
        </w:rPr>
        <w:t>2</w:t>
      </w:r>
      <w:r w:rsidRPr="00B80937">
        <w:rPr>
          <w:color w:val="000000" w:themeColor="text1"/>
        </w:rPr>
        <w:t xml:space="preserve"> emissions reductions and future carbon dioxide removal (CDR). If emissions continue to rise, these more acidic conditions will persist for tens of thousands of years. This is because processes that buffer the acidity from the ocean occur very slowly, over nearly geologic time scales.  Although CO</w:t>
      </w:r>
      <w:r w:rsidRPr="00B80937">
        <w:rPr>
          <w:color w:val="000000" w:themeColor="text1"/>
          <w:szCs w:val="22"/>
          <w:vertAlign w:val="subscript"/>
        </w:rPr>
        <w:t>2</w:t>
      </w:r>
      <w:r w:rsidRPr="00B80937">
        <w:rPr>
          <w:color w:val="000000" w:themeColor="text1"/>
        </w:rPr>
        <w:t xml:space="preserve"> “only” lasts for 800-1000 years in the atmosphere, ocean processes are much slower.  It will take some 50-70,000 years to bring acidification and its impacts back to pre-industrial levels, following the weathering of rocks on land into the ocean.</w:t>
      </w:r>
      <w:r w:rsidRPr="00B80937">
        <w:rPr>
          <w:color w:val="000000" w:themeColor="text1"/>
          <w:vertAlign w:val="superscript"/>
        </w:rPr>
        <w:t>12</w:t>
      </w:r>
      <w:r w:rsidRPr="00B80937">
        <w:rPr>
          <w:color w:val="000000" w:themeColor="text1"/>
        </w:rPr>
        <w:t xml:space="preserve"> This very long lifetime of acidification in the oceans is one reason why mitigation efforts focused on “solar-radiation management,” as opposed to decreasing atmospheric CO</w:t>
      </w:r>
      <w:r w:rsidRPr="00B80937">
        <w:rPr>
          <w:color w:val="000000" w:themeColor="text1"/>
          <w:szCs w:val="22"/>
          <w:vertAlign w:val="subscript"/>
        </w:rPr>
        <w:t>2</w:t>
      </w:r>
      <w:r w:rsidRPr="00B80937">
        <w:rPr>
          <w:color w:val="000000" w:themeColor="text1"/>
        </w:rPr>
        <w:t xml:space="preserve"> represent a special threat to the health of the Southern Ocean environment.</w:t>
      </w:r>
    </w:p>
    <w:p w14:paraId="3478BF83" w14:textId="77777777" w:rsidR="005D1F81" w:rsidRPr="00B80937" w:rsidRDefault="005D1F81" w:rsidP="005D1F81">
      <w:pPr>
        <w:rPr>
          <w:color w:val="000000" w:themeColor="text1"/>
        </w:rPr>
      </w:pPr>
    </w:p>
    <w:p w14:paraId="1757DFEE" w14:textId="77777777" w:rsidR="005D1F81" w:rsidRPr="00B80937" w:rsidRDefault="005D1F81" w:rsidP="005D1F81">
      <w:pPr>
        <w:rPr>
          <w:color w:val="000000" w:themeColor="text1"/>
        </w:rPr>
      </w:pPr>
      <w:r w:rsidRPr="00B80937">
        <w:rPr>
          <w:szCs w:val="26"/>
        </w:rPr>
        <w:t>In the Southern Ocean, the ability of some vulnerable organisms to build shells declined by</w:t>
      </w:r>
      <w:r w:rsidRPr="00B80937">
        <w:rPr>
          <w:color w:val="262626"/>
          <w:szCs w:val="26"/>
        </w:rPr>
        <w:t xml:space="preserve"> around 4% between 1998 and 2014. </w:t>
      </w:r>
      <w:r w:rsidRPr="00B80937">
        <w:rPr>
          <w:color w:val="000000" w:themeColor="text1"/>
        </w:rPr>
        <w:t>Pteropods – tiny marine snails known as “sea butterflies” – are particularly susceptible to these expanding corrosive waters, with shell damage documented in several Southern Ocean regions.</w:t>
      </w:r>
      <w:r w:rsidRPr="00B80937">
        <w:rPr>
          <w:color w:val="000000" w:themeColor="text1"/>
          <w:vertAlign w:val="superscript"/>
        </w:rPr>
        <w:t>13</w:t>
      </w:r>
      <w:r w:rsidRPr="00B80937">
        <w:rPr>
          <w:color w:val="000000" w:themeColor="text1"/>
        </w:rPr>
        <w:t xml:space="preserve"> Pteropods are important in the polar food web, serving as a key source of food for the young of many marine species. </w:t>
      </w:r>
    </w:p>
    <w:p w14:paraId="2136710C" w14:textId="77777777" w:rsidR="005D1F81" w:rsidRPr="00B80937" w:rsidRDefault="005D1F81" w:rsidP="005D1F81">
      <w:pPr>
        <w:rPr>
          <w:color w:val="000000" w:themeColor="text1"/>
        </w:rPr>
      </w:pPr>
    </w:p>
    <w:p w14:paraId="409BAD0E" w14:textId="77777777" w:rsidR="005D1F81" w:rsidRPr="00B80937" w:rsidRDefault="005D1F81" w:rsidP="005D1F81">
      <w:pPr>
        <w:rPr>
          <w:color w:val="000000" w:themeColor="text1"/>
        </w:rPr>
      </w:pPr>
      <w:r w:rsidRPr="00B80937">
        <w:rPr>
          <w:color w:val="000000" w:themeColor="text1"/>
        </w:rPr>
        <w:t>Global temperatures peaking at 1.5°C will occur at atmospheric CO</w:t>
      </w:r>
      <w:r w:rsidRPr="00B80937">
        <w:rPr>
          <w:color w:val="000000" w:themeColor="text1"/>
          <w:vertAlign w:val="subscript"/>
        </w:rPr>
        <w:t>2</w:t>
      </w:r>
      <w:r w:rsidRPr="00B80937">
        <w:rPr>
          <w:color w:val="000000" w:themeColor="text1"/>
        </w:rPr>
        <w:t xml:space="preserve"> levels of around 450 ppm, which scientists of the Inter-academy Panel (a consortium of national Academies of Sciences) identified in 2008 as an important threshold for serious global ocean acidification.</w:t>
      </w:r>
      <w:r w:rsidRPr="00B80937">
        <w:rPr>
          <w:color w:val="000000" w:themeColor="text1"/>
          <w:vertAlign w:val="superscript"/>
        </w:rPr>
        <w:t>14</w:t>
      </w:r>
      <w:r w:rsidRPr="00B80937">
        <w:rPr>
          <w:color w:val="000000" w:themeColor="text1"/>
        </w:rPr>
        <w:t xml:space="preserve">  However, current pledges (even if completely fulfilled) will result in CO</w:t>
      </w:r>
      <w:r w:rsidRPr="00B80937">
        <w:rPr>
          <w:color w:val="000000" w:themeColor="text1"/>
          <w:vertAlign w:val="subscript"/>
        </w:rPr>
        <w:t>2</w:t>
      </w:r>
      <w:r w:rsidRPr="00B80937">
        <w:rPr>
          <w:color w:val="000000" w:themeColor="text1"/>
        </w:rPr>
        <w:t xml:space="preserve"> levels above 500 ppm, and temperatures of around 2.1°C.</w:t>
      </w:r>
      <w:r w:rsidRPr="00B80937">
        <w:rPr>
          <w:color w:val="000000" w:themeColor="text1"/>
          <w:vertAlign w:val="superscript"/>
        </w:rPr>
        <w:t>15</w:t>
      </w:r>
      <w:r w:rsidRPr="00B80937">
        <w:rPr>
          <w:color w:val="000000" w:themeColor="text1"/>
        </w:rPr>
        <w:t xml:space="preserve">  At that point, acidity will have more than doubled in the Southern Ocean, projected to cause widespread areas of corrosive waters.</w:t>
      </w:r>
    </w:p>
    <w:p w14:paraId="2F4AC7CE" w14:textId="77777777" w:rsidR="005D1F81" w:rsidRPr="00B80937" w:rsidRDefault="005D1F81" w:rsidP="005D1F81">
      <w:pPr>
        <w:rPr>
          <w:color w:val="000000" w:themeColor="text1"/>
        </w:rPr>
      </w:pPr>
    </w:p>
    <w:p w14:paraId="62DFFBE1" w14:textId="77777777" w:rsidR="005D1F81" w:rsidRPr="00B80937" w:rsidRDefault="005D1F81" w:rsidP="005D1F81">
      <w:pPr>
        <w:rPr>
          <w:szCs w:val="32"/>
        </w:rPr>
      </w:pPr>
      <w:r w:rsidRPr="00B80937">
        <w:rPr>
          <w:szCs w:val="32"/>
        </w:rPr>
        <w:t>Global ocean acidity has been relatively stable over the past several million years. Today’s rate of change is unprecedented</w:t>
      </w:r>
      <w:r>
        <w:rPr>
          <w:szCs w:val="32"/>
        </w:rPr>
        <w:t>,</w:t>
      </w:r>
      <w:r w:rsidRPr="00B80937">
        <w:rPr>
          <w:szCs w:val="32"/>
        </w:rPr>
        <w:t xml:space="preserve"> however</w:t>
      </w:r>
      <w:r>
        <w:rPr>
          <w:szCs w:val="32"/>
        </w:rPr>
        <w:t>,</w:t>
      </w:r>
      <w:r w:rsidRPr="00B80937">
        <w:rPr>
          <w:szCs w:val="32"/>
        </w:rPr>
        <w:t xml:space="preserve"> in at least the past 300 million years, when severe changes in ocean conditions, including high rates of acidification resulted in the mass extinction of many organisms. The speed of today’s acidification is therefore a key part of its threat: it is occurring far too quickly to allow species of today to evolve and survive.</w:t>
      </w:r>
      <w:r w:rsidRPr="00B80937">
        <w:rPr>
          <w:szCs w:val="32"/>
          <w:vertAlign w:val="superscript"/>
        </w:rPr>
        <w:t>20</w:t>
      </w:r>
    </w:p>
    <w:p w14:paraId="45CEE2F8" w14:textId="77777777" w:rsidR="005D1F81" w:rsidRPr="00B80937" w:rsidRDefault="005D1F81" w:rsidP="005D1F81"/>
    <w:p w14:paraId="2CE62414" w14:textId="77777777" w:rsidR="005D1F81" w:rsidRPr="00B80937" w:rsidRDefault="005D1F81" w:rsidP="005D1F81">
      <w:pPr>
        <w:rPr>
          <w:color w:val="000000" w:themeColor="text1"/>
          <w:szCs w:val="32"/>
          <w:vertAlign w:val="superscript"/>
        </w:rPr>
      </w:pPr>
      <w:r w:rsidRPr="00B80937">
        <w:rPr>
          <w:color w:val="000000" w:themeColor="text1"/>
        </w:rPr>
        <w:t>The Southern Ocean around Antarctica also has warmed more than other ocean regions, in particular the western Antarctic Peninsula, placing additional stress on ecosystems and species.</w:t>
      </w:r>
      <w:r w:rsidRPr="00B80937">
        <w:rPr>
          <w:color w:val="000000" w:themeColor="text1"/>
          <w:vertAlign w:val="superscript"/>
        </w:rPr>
        <w:t xml:space="preserve">19 </w:t>
      </w:r>
      <w:r w:rsidRPr="00B80937">
        <w:rPr>
          <w:color w:val="000000" w:themeColor="text1"/>
        </w:rPr>
        <w:t xml:space="preserve"> The Bellingshausen Sea was completely ice-free in 2023, which will increase both acidification and warming in this region. Southern Ocean warming also seems increasingly important in overall global ocean heat increase. </w:t>
      </w:r>
      <w:r w:rsidRPr="00B80937">
        <w:rPr>
          <w:color w:val="000000" w:themeColor="text1"/>
          <w:szCs w:val="32"/>
        </w:rPr>
        <w:t>Ocean pollution, particularly that from plastics, add another layer of stress to Southern Ocean species.</w:t>
      </w:r>
      <w:r w:rsidRPr="00B80937">
        <w:rPr>
          <w:color w:val="000000" w:themeColor="text1"/>
          <w:szCs w:val="32"/>
          <w:vertAlign w:val="superscript"/>
        </w:rPr>
        <w:t>3</w:t>
      </w:r>
    </w:p>
    <w:p w14:paraId="1402E0E5" w14:textId="77777777" w:rsidR="005D1F81" w:rsidRPr="00B80937" w:rsidRDefault="005D1F81" w:rsidP="005D1F81">
      <w:pPr>
        <w:rPr>
          <w:color w:val="000000" w:themeColor="text1"/>
          <w:szCs w:val="32"/>
          <w:vertAlign w:val="superscript"/>
        </w:rPr>
      </w:pPr>
    </w:p>
    <w:p w14:paraId="4D7A6B8F" w14:textId="77777777" w:rsidR="005D1F81" w:rsidRPr="00B80937" w:rsidRDefault="005D1F81" w:rsidP="005D1F81">
      <w:r w:rsidRPr="00B80937">
        <w:t>Southern Ocean waters contain some of the world’s richest fisheries and most diverse marine ecosystems.</w:t>
      </w:r>
      <w:r w:rsidRPr="00B80937">
        <w:rPr>
          <w:color w:val="000000" w:themeColor="text1"/>
        </w:rPr>
        <w:t xml:space="preserve"> </w:t>
      </w:r>
      <w:r w:rsidRPr="00B80937">
        <w:t>At 2°C or higher, the combination of sea ice loss for several months of the year, ocean warming, freshening and acidification will alter this marine ecosystem beyond our recognition. A world kept close to 1.5°C or lower can limit these irreversible effects on Southern Ocean ecosystems and fisheries, though some losses unfortunately are now inevitable.</w:t>
      </w:r>
      <w:r w:rsidRPr="00B80937">
        <w:rPr>
          <w:vertAlign w:val="superscript"/>
        </w:rPr>
        <w:t>12</w:t>
      </w:r>
      <w:r w:rsidRPr="00B80937">
        <w:t xml:space="preserve"> T</w:t>
      </w:r>
      <w:r w:rsidRPr="00B80937">
        <w:rPr>
          <w:color w:val="000000" w:themeColor="text1"/>
        </w:rPr>
        <w:t>he projected effects of climate-induced stressors on this marine ecosystem will have negative implications for the global economy.</w:t>
      </w:r>
      <w:r w:rsidRPr="00B80937">
        <w:rPr>
          <w:color w:val="000000" w:themeColor="text1"/>
          <w:vertAlign w:val="superscript"/>
        </w:rPr>
        <w:t>3,12</w:t>
      </w:r>
    </w:p>
    <w:p w14:paraId="6C7D39E4" w14:textId="77777777" w:rsidR="005D1F81" w:rsidRPr="00B80937" w:rsidRDefault="005D1F81" w:rsidP="005D1F81">
      <w:pPr>
        <w:rPr>
          <w:color w:val="000000" w:themeColor="text1"/>
        </w:rPr>
      </w:pPr>
    </w:p>
    <w:p w14:paraId="1B22E414" w14:textId="77777777" w:rsidR="005D1F81" w:rsidRPr="00B80937" w:rsidRDefault="005D1F81" w:rsidP="005D1F81">
      <w:pPr>
        <w:rPr>
          <w:color w:val="000000" w:themeColor="text1"/>
        </w:rPr>
      </w:pPr>
      <w:r w:rsidRPr="00B80937">
        <w:rPr>
          <w:color w:val="000000" w:themeColor="text1"/>
        </w:rPr>
        <w:t>Increased run-off from glaciers and the Antarctic ice sheet is also freshening surface waters.  This colder, fresher water sits like a lid on top of the deeper, warmer and saltier levels below, preventing nutrients from reaching the surface where most species live.</w:t>
      </w:r>
      <w:r w:rsidRPr="00B80937">
        <w:rPr>
          <w:color w:val="000000" w:themeColor="text1"/>
          <w:vertAlign w:val="superscript"/>
        </w:rPr>
        <w:t>10,18</w:t>
      </w:r>
      <w:r w:rsidRPr="00B80937">
        <w:rPr>
          <w:color w:val="000000" w:themeColor="text1"/>
        </w:rPr>
        <w:t xml:space="preserve"> This phenomenon of a freshwater “lid” can also impact ocean currents, including the Global Meridional Ocean Circulation (GMOC). Freshwater incursion from the Antarctic ice sheet therefore has consequences for global circulation of important nutrients, gases and heat. </w:t>
      </w:r>
    </w:p>
    <w:p w14:paraId="24949DAC" w14:textId="77777777" w:rsidR="005D1F81" w:rsidRPr="00B80937" w:rsidRDefault="005D1F81" w:rsidP="005D1F81">
      <w:pPr>
        <w:rPr>
          <w:color w:val="000000" w:themeColor="text1"/>
        </w:rPr>
      </w:pPr>
    </w:p>
    <w:p w14:paraId="7471911E" w14:textId="77777777" w:rsidR="005D1F81" w:rsidRPr="00B80937" w:rsidRDefault="005D1F81" w:rsidP="005D1F81">
      <w:pPr>
        <w:rPr>
          <w:color w:val="000000" w:themeColor="text1"/>
        </w:rPr>
      </w:pPr>
      <w:r w:rsidRPr="00B80937">
        <w:rPr>
          <w:color w:val="000000" w:themeColor="text1"/>
        </w:rPr>
        <w:t>These impacts above 2°C are essentially irreversible, and will occur with all but the very lowest emissions pathways. These require a 50% reduction in CO</w:t>
      </w:r>
      <w:r w:rsidRPr="00B80937">
        <w:rPr>
          <w:color w:val="000000" w:themeColor="text1"/>
          <w:vertAlign w:val="subscript"/>
        </w:rPr>
        <w:t>2</w:t>
      </w:r>
      <w:r w:rsidRPr="00B80937">
        <w:rPr>
          <w:color w:val="000000" w:themeColor="text1"/>
        </w:rPr>
        <w:t xml:space="preserve"> emissions by 2030, motivated by high ambition and commitment toward global decarbonization; with essentially zero emissions by 2050, and negative emissions (removing carbon from the atmosphere) thereafter.</w:t>
      </w:r>
      <w:r w:rsidRPr="00B80937">
        <w:rPr>
          <w:color w:val="000000" w:themeColor="text1"/>
          <w:vertAlign w:val="superscript"/>
        </w:rPr>
        <w:t>15</w:t>
      </w:r>
      <w:r w:rsidRPr="00B80937">
        <w:rPr>
          <w:color w:val="000000" w:themeColor="text1"/>
        </w:rPr>
        <w:t xml:space="preserve"> Until, and unless, human-caused CO</w:t>
      </w:r>
      <w:r w:rsidRPr="00B80937">
        <w:rPr>
          <w:color w:val="000000" w:themeColor="text1"/>
          <w:szCs w:val="22"/>
          <w:vertAlign w:val="subscript"/>
        </w:rPr>
        <w:t>2</w:t>
      </w:r>
      <w:r w:rsidRPr="00B80937">
        <w:rPr>
          <w:color w:val="000000" w:themeColor="text1"/>
        </w:rPr>
        <w:t xml:space="preserve"> levels begin to fall sharply, t</w:t>
      </w:r>
      <w:r w:rsidRPr="00B80937">
        <w:rPr>
          <w:color w:val="262626"/>
          <w:szCs w:val="26"/>
        </w:rPr>
        <w:t xml:space="preserve">here is high likelihood that the damage to Southern Ocean species observed thus far are </w:t>
      </w:r>
      <w:r w:rsidRPr="00B80937">
        <w:rPr>
          <w:color w:val="000000" w:themeColor="text1"/>
        </w:rPr>
        <w:t>a harbinger of much worse to come.</w:t>
      </w:r>
    </w:p>
    <w:p w14:paraId="43D93099" w14:textId="77777777" w:rsidR="005D1F81" w:rsidRPr="00B80937" w:rsidRDefault="005D1F81" w:rsidP="005D1F81">
      <w:pPr>
        <w:pStyle w:val="ATSHeading2"/>
      </w:pPr>
      <w:r w:rsidRPr="00B80937">
        <w:t xml:space="preserve">Input from ATCM </w:t>
      </w:r>
    </w:p>
    <w:p w14:paraId="7E2A2B6E" w14:textId="77777777" w:rsidR="005D1F81" w:rsidRPr="00B80937" w:rsidRDefault="005D1F81" w:rsidP="005D1F81">
      <w:pPr>
        <w:rPr>
          <w:color w:val="000000" w:themeColor="text1"/>
        </w:rPr>
      </w:pPr>
    </w:p>
    <w:p w14:paraId="32D11099" w14:textId="77777777" w:rsidR="005D1F81" w:rsidRPr="004E28A4" w:rsidRDefault="005D1F81" w:rsidP="005D1F81">
      <w:pPr>
        <w:rPr>
          <w:color w:val="000000" w:themeColor="text1"/>
        </w:rPr>
      </w:pPr>
      <w:r w:rsidRPr="00B80937">
        <w:rPr>
          <w:color w:val="000000" w:themeColor="text1"/>
        </w:rPr>
        <w:t xml:space="preserve">While global oceans have received increasing attention through a variety of forums, including the annual UNFCCC Oceans and Climate Dialogues, the closeness of the Southern Ocean to serious and irreversible acidification thresholds remains virtually unaddressed in these forums. Parties and Stakeholders </w:t>
      </w:r>
      <w:r>
        <w:rPr>
          <w:color w:val="000000" w:themeColor="text1"/>
        </w:rPr>
        <w:t>should</w:t>
      </w:r>
      <w:r w:rsidRPr="00B80937">
        <w:rPr>
          <w:color w:val="000000" w:themeColor="text1"/>
        </w:rPr>
        <w:t xml:space="preserve"> consider ways to raise this serious threat to marine ecosystems and fisheries from CO2 levels that continue to rise toward the critical 450ppm threshold identified by the research community fifteen years ago.</w:t>
      </w:r>
    </w:p>
    <w:p w14:paraId="19769E51" w14:textId="77777777" w:rsidR="005D1F81" w:rsidRPr="00B80937" w:rsidRDefault="005D1F81" w:rsidP="005D1F81">
      <w:pPr>
        <w:pStyle w:val="ATSHeading2"/>
        <w:rPr>
          <w:szCs w:val="28"/>
        </w:rPr>
      </w:pPr>
      <w:r w:rsidRPr="00B80937">
        <w:rPr>
          <w:szCs w:val="28"/>
        </w:rPr>
        <w:t>References</w:t>
      </w:r>
    </w:p>
    <w:p w14:paraId="76A45001" w14:textId="77777777" w:rsidR="005D1F81" w:rsidRPr="00B80937" w:rsidRDefault="005D1F81" w:rsidP="005D1F81">
      <w:pPr>
        <w:outlineLvl w:val="0"/>
        <w:rPr>
          <w:b/>
          <w:i/>
          <w:szCs w:val="28"/>
        </w:rPr>
      </w:pPr>
    </w:p>
    <w:p w14:paraId="189E3A9D"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B80937">
        <w:rPr>
          <w:color w:val="000000" w:themeColor="text1"/>
          <w:sz w:val="20"/>
          <w:szCs w:val="20"/>
          <w:lang w:val="en-US"/>
        </w:rPr>
        <w:t xml:space="preserve">Penn, J. &amp; Deutsch, C. (2022). </w:t>
      </w:r>
      <w:r w:rsidRPr="0029269C">
        <w:rPr>
          <w:color w:val="000000" w:themeColor="text1"/>
          <w:sz w:val="20"/>
          <w:szCs w:val="20"/>
        </w:rPr>
        <w:t xml:space="preserve">Avoiding ocean mass extinction from climate warming. </w:t>
      </w:r>
      <w:r w:rsidRPr="0029269C">
        <w:rPr>
          <w:i/>
          <w:iCs/>
          <w:color w:val="000000" w:themeColor="text1"/>
          <w:sz w:val="20"/>
          <w:szCs w:val="20"/>
        </w:rPr>
        <w:t>Science</w:t>
      </w:r>
      <w:r w:rsidRPr="0029269C">
        <w:rPr>
          <w:color w:val="000000" w:themeColor="text1"/>
          <w:sz w:val="20"/>
          <w:szCs w:val="20"/>
        </w:rPr>
        <w:t xml:space="preserve">, 376, 6592, 524-526. </w:t>
      </w:r>
      <w:hyperlink r:id="rId11" w:history="1">
        <w:r w:rsidRPr="0029269C">
          <w:rPr>
            <w:rStyle w:val="Hipervnculo"/>
            <w:sz w:val="20"/>
            <w:szCs w:val="20"/>
          </w:rPr>
          <w:t>https://doi.org/10.1126/science.abe9039</w:t>
        </w:r>
      </w:hyperlink>
    </w:p>
    <w:p w14:paraId="093B6371" w14:textId="77777777" w:rsidR="005D1F81" w:rsidRPr="0029269C" w:rsidRDefault="005D1F81" w:rsidP="005D1F81">
      <w:pPr>
        <w:pStyle w:val="Prrafodelista"/>
        <w:widowControl w:val="0"/>
        <w:numPr>
          <w:ilvl w:val="0"/>
          <w:numId w:val="23"/>
        </w:numPr>
        <w:autoSpaceDE w:val="0"/>
        <w:autoSpaceDN w:val="0"/>
        <w:adjustRightInd w:val="0"/>
        <w:ind w:left="360"/>
        <w:contextualSpacing/>
        <w:rPr>
          <w:rFonts w:eastAsiaTheme="minorHAnsi"/>
          <w:color w:val="000000" w:themeColor="text1"/>
          <w:sz w:val="20"/>
          <w:szCs w:val="20"/>
          <w:lang w:val="en-US"/>
        </w:rPr>
      </w:pPr>
      <w:r w:rsidRPr="0029269C">
        <w:rPr>
          <w:rFonts w:eastAsiaTheme="minorHAnsi"/>
          <w:color w:val="000000" w:themeColor="text1"/>
          <w:sz w:val="20"/>
          <w:szCs w:val="20"/>
          <w:lang w:val="en-US"/>
        </w:rPr>
        <w:t xml:space="preserve">Cummings, V. et al. “Ocean Acidification at High Latitudes: Potential Effects on Functioning of the Antarctic Bivalve </w:t>
      </w:r>
      <w:r w:rsidRPr="0029269C">
        <w:rPr>
          <w:rFonts w:eastAsiaTheme="minorHAnsi"/>
          <w:i/>
          <w:color w:val="000000" w:themeColor="text1"/>
          <w:sz w:val="20"/>
          <w:szCs w:val="20"/>
          <w:lang w:val="en-US"/>
        </w:rPr>
        <w:t>Laternula Elliptica</w:t>
      </w:r>
      <w:r w:rsidRPr="0029269C">
        <w:rPr>
          <w:rFonts w:eastAsiaTheme="minorHAnsi"/>
          <w:color w:val="000000" w:themeColor="text1"/>
          <w:sz w:val="20"/>
          <w:szCs w:val="20"/>
          <w:lang w:val="en-US"/>
        </w:rPr>
        <w:t xml:space="preserve">.” Ed. Jack Anthony Gilbert. </w:t>
      </w:r>
      <w:r w:rsidRPr="0029269C">
        <w:rPr>
          <w:rFonts w:eastAsiaTheme="minorHAnsi"/>
          <w:i/>
          <w:color w:val="000000" w:themeColor="text1"/>
          <w:sz w:val="20"/>
          <w:szCs w:val="20"/>
          <w:lang w:val="en-US"/>
        </w:rPr>
        <w:t>PLoS ONE</w:t>
      </w:r>
      <w:r w:rsidRPr="0029269C">
        <w:rPr>
          <w:rFonts w:eastAsiaTheme="minorHAnsi"/>
          <w:color w:val="000000" w:themeColor="text1"/>
          <w:sz w:val="20"/>
          <w:szCs w:val="20"/>
          <w:lang w:val="en-US"/>
        </w:rPr>
        <w:t xml:space="preserve"> 6.1 (2011): e16069. </w:t>
      </w:r>
      <w:r w:rsidRPr="0029269C">
        <w:rPr>
          <w:rFonts w:eastAsiaTheme="minorHAnsi"/>
          <w:i/>
          <w:color w:val="000000" w:themeColor="text1"/>
          <w:sz w:val="20"/>
          <w:szCs w:val="20"/>
          <w:lang w:val="en-US"/>
        </w:rPr>
        <w:t>PMC</w:t>
      </w:r>
      <w:r w:rsidRPr="0029269C">
        <w:rPr>
          <w:rFonts w:eastAsiaTheme="minorHAnsi"/>
          <w:color w:val="000000" w:themeColor="text1"/>
          <w:sz w:val="20"/>
          <w:szCs w:val="20"/>
          <w:lang w:val="en-US"/>
        </w:rPr>
        <w:t>. Web. 22 Nov. 2015.</w:t>
      </w:r>
    </w:p>
    <w:p w14:paraId="4662A7B0" w14:textId="77777777" w:rsidR="005D1F81" w:rsidRPr="0029269C" w:rsidRDefault="005D1F81" w:rsidP="005D1F81">
      <w:pPr>
        <w:pStyle w:val="Default"/>
        <w:numPr>
          <w:ilvl w:val="0"/>
          <w:numId w:val="23"/>
        </w:numPr>
        <w:ind w:left="360"/>
        <w:rPr>
          <w:rFonts w:ascii="Times New Roman" w:hAnsi="Times New Roman" w:cs="Times New Roman"/>
          <w:color w:val="000000" w:themeColor="text1"/>
          <w:sz w:val="20"/>
          <w:szCs w:val="20"/>
        </w:rPr>
      </w:pPr>
      <w:r w:rsidRPr="00B80937">
        <w:rPr>
          <w:rFonts w:ascii="Times New Roman" w:hAnsi="Times New Roman" w:cs="Times New Roman"/>
          <w:color w:val="000000" w:themeColor="text1"/>
          <w:sz w:val="20"/>
          <w:szCs w:val="20"/>
          <w:lang w:val="it-IT"/>
        </w:rPr>
        <w:t xml:space="preserve">Manno, C., Peck, V.L., Corsi, I., &amp; Bergami, E. (2022). </w:t>
      </w:r>
      <w:r w:rsidRPr="0029269C">
        <w:rPr>
          <w:rFonts w:ascii="Times New Roman" w:hAnsi="Times New Roman" w:cs="Times New Roman"/>
          <w:color w:val="000000" w:themeColor="text1"/>
          <w:sz w:val="20"/>
          <w:szCs w:val="20"/>
        </w:rPr>
        <w:t>Under pressure: Nanoplastics as a further stressor for sub-Antarctic pteropods already tackling ocean acidification. Marine Pollution Bulletin, 174. https://doi.org/10.1016/j.marpolbul.2021.113176</w:t>
      </w:r>
    </w:p>
    <w:p w14:paraId="51C7E945" w14:textId="77777777" w:rsidR="005D1F81" w:rsidRPr="0029269C" w:rsidRDefault="005D1F81" w:rsidP="005D1F81">
      <w:pPr>
        <w:pStyle w:val="Prrafodelista"/>
        <w:numPr>
          <w:ilvl w:val="0"/>
          <w:numId w:val="23"/>
        </w:numPr>
        <w:ind w:left="360"/>
        <w:contextualSpacing/>
        <w:rPr>
          <w:rStyle w:val="Hipervnculo"/>
          <w:sz w:val="20"/>
        </w:rPr>
      </w:pPr>
      <w:r w:rsidRPr="0029269C">
        <w:rPr>
          <w:color w:val="000000" w:themeColor="text1"/>
          <w:sz w:val="20"/>
          <w:szCs w:val="20"/>
          <w:shd w:val="clear" w:color="auto" w:fill="FFFFFF"/>
        </w:rPr>
        <w:t>Pan, X.L., Li, B.F. &amp; Watanabe, Y.W. (2022). Intense ocean freshening from melting glacier around the Antarctica during early twenty-first century.</w:t>
      </w:r>
      <w:r w:rsidRPr="0029269C">
        <w:rPr>
          <w:rStyle w:val="apple-converted-space"/>
          <w:color w:val="000000" w:themeColor="text1"/>
          <w:sz w:val="20"/>
          <w:szCs w:val="20"/>
          <w:shd w:val="clear" w:color="auto" w:fill="FFFFFF"/>
        </w:rPr>
        <w:t> </w:t>
      </w:r>
      <w:r w:rsidRPr="0029269C">
        <w:rPr>
          <w:i/>
          <w:iCs/>
          <w:color w:val="000000" w:themeColor="text1"/>
          <w:sz w:val="20"/>
          <w:szCs w:val="20"/>
        </w:rPr>
        <w:t>Sci Rep</w:t>
      </w:r>
      <w:r w:rsidRPr="0029269C">
        <w:rPr>
          <w:rStyle w:val="apple-converted-space"/>
          <w:color w:val="000000" w:themeColor="text1"/>
          <w:sz w:val="20"/>
          <w:szCs w:val="20"/>
          <w:shd w:val="clear" w:color="auto" w:fill="FFFFFF"/>
        </w:rPr>
        <w:t> </w:t>
      </w:r>
      <w:r w:rsidRPr="0029269C">
        <w:rPr>
          <w:bCs/>
          <w:color w:val="000000" w:themeColor="text1"/>
          <w:sz w:val="20"/>
          <w:szCs w:val="20"/>
        </w:rPr>
        <w:t>12,</w:t>
      </w:r>
      <w:r w:rsidRPr="0029269C">
        <w:rPr>
          <w:rStyle w:val="apple-converted-space"/>
          <w:bCs/>
          <w:color w:val="000000" w:themeColor="text1"/>
          <w:sz w:val="20"/>
          <w:szCs w:val="20"/>
        </w:rPr>
        <w:t> </w:t>
      </w:r>
      <w:r w:rsidRPr="0029269C">
        <w:rPr>
          <w:color w:val="000000" w:themeColor="text1"/>
          <w:sz w:val="20"/>
          <w:szCs w:val="20"/>
          <w:shd w:val="clear" w:color="auto" w:fill="FFFFFF"/>
        </w:rPr>
        <w:t xml:space="preserve">383. </w:t>
      </w:r>
      <w:hyperlink r:id="rId12" w:history="1">
        <w:r w:rsidRPr="0029269C">
          <w:rPr>
            <w:rStyle w:val="Hipervnculo"/>
            <w:color w:val="000000" w:themeColor="text1"/>
            <w:sz w:val="20"/>
            <w:szCs w:val="20"/>
            <w:shd w:val="clear" w:color="auto" w:fill="FFFFFF"/>
          </w:rPr>
          <w:t>https://doi.org/10.1038/s41598-021-04231-6</w:t>
        </w:r>
      </w:hyperlink>
    </w:p>
    <w:p w14:paraId="7D4CF034" w14:textId="77777777" w:rsidR="005D1F81" w:rsidRPr="0029269C" w:rsidRDefault="005D1F81" w:rsidP="005D1F81">
      <w:pPr>
        <w:pStyle w:val="Prrafodelista"/>
        <w:widowControl w:val="0"/>
        <w:numPr>
          <w:ilvl w:val="0"/>
          <w:numId w:val="23"/>
        </w:numPr>
        <w:autoSpaceDE w:val="0"/>
        <w:autoSpaceDN w:val="0"/>
        <w:adjustRightInd w:val="0"/>
        <w:ind w:left="360"/>
        <w:contextualSpacing/>
        <w:rPr>
          <w:color w:val="000000" w:themeColor="text1"/>
          <w:sz w:val="20"/>
          <w:szCs w:val="20"/>
        </w:rPr>
      </w:pPr>
      <w:r w:rsidRPr="0029269C">
        <w:rPr>
          <w:color w:val="000000" w:themeColor="text1"/>
          <w:sz w:val="20"/>
          <w:szCs w:val="20"/>
        </w:rPr>
        <w:t xml:space="preserve">Bednaršek, N., Kerry-Ann, N., Feely, R., Claudine, H., Katsunori, K., Albert, H., . . .  &amp; Darren, P. (2021). Integrated Assessment of Ocean Acidification Risks to Pteropods in the Northern High Latitudes: Regional Comparison of Exposure, Sensitivity and Adaptive Capacity. Frontiers in Marine Science. https://doi.org/10.3389/fmars.2021.671497         </w:t>
      </w:r>
    </w:p>
    <w:p w14:paraId="0BA7E990" w14:textId="77777777" w:rsidR="005D1F81" w:rsidRPr="00B80937" w:rsidRDefault="005D1F81" w:rsidP="005D1F81">
      <w:pPr>
        <w:pStyle w:val="Default"/>
        <w:numPr>
          <w:ilvl w:val="0"/>
          <w:numId w:val="23"/>
        </w:numPr>
        <w:ind w:left="360"/>
        <w:rPr>
          <w:rStyle w:val="Hipervnculo"/>
          <w:rFonts w:ascii="Times New Roman" w:hAnsi="Times New Roman" w:cs="Times New Roman"/>
          <w:sz w:val="20"/>
          <w:lang w:eastAsia="en-GB"/>
        </w:rPr>
      </w:pPr>
      <w:r w:rsidRPr="00B80937">
        <w:rPr>
          <w:rStyle w:val="Hipervnculo"/>
          <w:rFonts w:ascii="Times New Roman" w:hAnsi="Times New Roman" w:cs="Times New Roman"/>
          <w:color w:val="000000" w:themeColor="text1"/>
          <w:sz w:val="20"/>
          <w:szCs w:val="20"/>
          <w:lang w:val="en-US"/>
        </w:rPr>
        <w:t xml:space="preserve">Lin, Y., Moreno, C., Marchetti, A. Ducklow, H., Schofield, O., Delage, E., . . . &amp; Cassa, N. (2021). </w:t>
      </w:r>
      <w:r w:rsidRPr="00B80937">
        <w:rPr>
          <w:rStyle w:val="Hipervnculo"/>
          <w:rFonts w:ascii="Times New Roman" w:hAnsi="Times New Roman" w:cs="Times New Roman"/>
          <w:color w:val="000000" w:themeColor="text1"/>
          <w:sz w:val="20"/>
          <w:szCs w:val="20"/>
        </w:rPr>
        <w:t xml:space="preserve">Decline in plankton diversity and carbon flux with reduced sea ice extent along the Western Antarctic Peninsula. Nat Commun 12, 4948. </w:t>
      </w:r>
      <w:hyperlink r:id="rId13" w:history="1">
        <w:r w:rsidRPr="00B80937">
          <w:rPr>
            <w:rStyle w:val="Hipervnculo"/>
            <w:rFonts w:ascii="Times New Roman" w:hAnsi="Times New Roman" w:cs="Times New Roman"/>
            <w:color w:val="000000" w:themeColor="text1"/>
            <w:sz w:val="20"/>
            <w:szCs w:val="20"/>
          </w:rPr>
          <w:t>https://doi.org/10.1038/s41467-021-25235-w</w:t>
        </w:r>
      </w:hyperlink>
    </w:p>
    <w:p w14:paraId="43B7F7BA" w14:textId="77777777" w:rsidR="005D1F81" w:rsidRPr="0029269C" w:rsidRDefault="005D1F81" w:rsidP="005D1F81">
      <w:pPr>
        <w:pStyle w:val="Ttulo3"/>
        <w:keepLines/>
        <w:numPr>
          <w:ilvl w:val="0"/>
          <w:numId w:val="23"/>
        </w:numPr>
        <w:tabs>
          <w:tab w:val="num" w:pos="360"/>
        </w:tabs>
        <w:spacing w:before="0" w:after="0"/>
        <w:ind w:left="360" w:firstLine="0"/>
        <w:rPr>
          <w:b w:val="0"/>
          <w:color w:val="000000" w:themeColor="text1"/>
          <w:sz w:val="20"/>
        </w:rPr>
      </w:pPr>
      <w:r w:rsidRPr="0029269C">
        <w:rPr>
          <w:b w:val="0"/>
          <w:color w:val="000000" w:themeColor="text1"/>
          <w:sz w:val="20"/>
        </w:rPr>
        <w:t xml:space="preserve">Dupont, S. &amp; Pörtner, H. (2013). Get ready for ocean acidification, </w:t>
      </w:r>
      <w:r w:rsidRPr="0029269C">
        <w:rPr>
          <w:b w:val="0"/>
          <w:i/>
          <w:color w:val="000000" w:themeColor="text1"/>
          <w:sz w:val="20"/>
        </w:rPr>
        <w:t>Nature,</w:t>
      </w:r>
      <w:r w:rsidRPr="0029269C">
        <w:rPr>
          <w:b w:val="0"/>
          <w:color w:val="000000" w:themeColor="text1"/>
          <w:sz w:val="20"/>
        </w:rPr>
        <w:t xml:space="preserve"> 498, 429. </w:t>
      </w:r>
      <w:hyperlink r:id="rId14" w:history="1">
        <w:r w:rsidRPr="0029269C">
          <w:rPr>
            <w:rStyle w:val="Hipervnculo"/>
            <w:b w:val="0"/>
            <w:sz w:val="20"/>
          </w:rPr>
          <w:t>https://doi.org/10.1038/498429a</w:t>
        </w:r>
      </w:hyperlink>
      <w:r w:rsidRPr="0029269C">
        <w:rPr>
          <w:b w:val="0"/>
          <w:color w:val="000000" w:themeColor="text1"/>
          <w:sz w:val="20"/>
        </w:rPr>
        <w:t xml:space="preserve"> </w:t>
      </w:r>
    </w:p>
    <w:p w14:paraId="03A7802D" w14:textId="77777777" w:rsidR="005D1F81" w:rsidRPr="0029269C" w:rsidRDefault="005D1F81" w:rsidP="005D1F81">
      <w:pPr>
        <w:pStyle w:val="NormalWeb"/>
        <w:numPr>
          <w:ilvl w:val="0"/>
          <w:numId w:val="23"/>
        </w:numPr>
        <w:spacing w:beforeLines="1" w:before="2" w:beforeAutospacing="0" w:afterLines="1" w:after="2" w:afterAutospacing="0"/>
        <w:ind w:left="360"/>
        <w:jc w:val="left"/>
        <w:rPr>
          <w:color w:val="000000" w:themeColor="text1"/>
          <w:sz w:val="20"/>
          <w:szCs w:val="20"/>
          <w:lang w:val="en-GB"/>
        </w:rPr>
      </w:pPr>
      <w:r w:rsidRPr="00B80937">
        <w:rPr>
          <w:color w:val="000000" w:themeColor="text1"/>
          <w:sz w:val="20"/>
          <w:szCs w:val="20"/>
          <w:lang w:val="de-DE"/>
        </w:rPr>
        <w:t xml:space="preserve">Hönisch, B., Ridgwell, A., Schmidt, D., Thomas, E., Gibbs, S., Sluijs, A., . . . </w:t>
      </w:r>
      <w:r w:rsidRPr="0029269C">
        <w:rPr>
          <w:color w:val="000000" w:themeColor="text1"/>
          <w:sz w:val="20"/>
          <w:szCs w:val="20"/>
          <w:lang w:val="en-GB"/>
        </w:rPr>
        <w:t xml:space="preserve">&amp; Williams, B. (2012). The Geological Record of Ocean Acidification, Science 335, 1058. </w:t>
      </w:r>
      <w:hyperlink r:id="rId15" w:history="1">
        <w:r w:rsidRPr="0029269C">
          <w:rPr>
            <w:rStyle w:val="Hipervnculo"/>
            <w:sz w:val="20"/>
            <w:szCs w:val="20"/>
          </w:rPr>
          <w:t>https://doi.org/10.1126/science.1208277</w:t>
        </w:r>
      </w:hyperlink>
    </w:p>
    <w:p w14:paraId="4BECFD83" w14:textId="77777777" w:rsidR="005D1F81" w:rsidRPr="0029269C" w:rsidRDefault="005D1F81" w:rsidP="005D1F81">
      <w:pPr>
        <w:pStyle w:val="Prrafodelista"/>
        <w:numPr>
          <w:ilvl w:val="0"/>
          <w:numId w:val="23"/>
        </w:numPr>
        <w:autoSpaceDE w:val="0"/>
        <w:autoSpaceDN w:val="0"/>
        <w:adjustRightInd w:val="0"/>
        <w:ind w:left="360"/>
        <w:contextualSpacing/>
        <w:rPr>
          <w:rFonts w:eastAsiaTheme="minorHAnsi"/>
          <w:color w:val="000000" w:themeColor="text1"/>
          <w:sz w:val="20"/>
          <w:szCs w:val="20"/>
          <w:lang w:val="en-US"/>
        </w:rPr>
      </w:pPr>
      <w:r w:rsidRPr="0029269C">
        <w:rPr>
          <w:rFonts w:eastAsiaTheme="minorHAnsi"/>
          <w:color w:val="000000" w:themeColor="text1"/>
          <w:sz w:val="20"/>
          <w:szCs w:val="20"/>
          <w:lang w:val="en-US"/>
        </w:rPr>
        <w:t xml:space="preserve">Frölicher, T. L., Sarmiento, J.L., Paynter, D.J., Dunne, J.P., Krasting, J.P., &amp; Winton, M. (2015). Dominance of the Southern Ocean in anthropogenic carbon and heat uptake in CMIP5 models. </w:t>
      </w:r>
      <w:r w:rsidRPr="0029269C">
        <w:rPr>
          <w:i/>
          <w:color w:val="000000" w:themeColor="text1"/>
          <w:sz w:val="20"/>
          <w:szCs w:val="20"/>
          <w:lang w:val="en-US"/>
        </w:rPr>
        <w:t>J. Climate</w:t>
      </w:r>
      <w:r w:rsidRPr="0029269C">
        <w:rPr>
          <w:color w:val="000000" w:themeColor="text1"/>
          <w:sz w:val="20"/>
          <w:szCs w:val="20"/>
          <w:lang w:val="en-US"/>
        </w:rPr>
        <w:t>. 28, 862–886, https://doi.org/10.1175/</w:t>
      </w:r>
      <w:r w:rsidRPr="0029269C">
        <w:rPr>
          <w:rFonts w:eastAsiaTheme="minorHAnsi"/>
          <w:color w:val="000000" w:themeColor="text1"/>
          <w:sz w:val="20"/>
          <w:szCs w:val="20"/>
          <w:lang w:val="es-CL"/>
        </w:rPr>
        <w:t>JCLI-D-14-00117.1</w:t>
      </w:r>
      <w:r w:rsidRPr="0029269C">
        <w:rPr>
          <w:color w:val="000000" w:themeColor="text1"/>
          <w:sz w:val="20"/>
          <w:szCs w:val="20"/>
        </w:rPr>
        <w:t xml:space="preserve"> </w:t>
      </w:r>
    </w:p>
    <w:p w14:paraId="5DC66926" w14:textId="77777777" w:rsidR="005D1F81" w:rsidRPr="0029269C" w:rsidDel="00816958" w:rsidRDefault="005D1F81" w:rsidP="005D1F81">
      <w:pPr>
        <w:pStyle w:val="NormalWeb"/>
        <w:numPr>
          <w:ilvl w:val="0"/>
          <w:numId w:val="23"/>
        </w:numPr>
        <w:shd w:val="clear" w:color="auto" w:fill="FFFFFF"/>
        <w:spacing w:before="0" w:beforeAutospacing="0" w:after="0" w:afterAutospacing="0"/>
        <w:ind w:left="360"/>
        <w:jc w:val="left"/>
        <w:rPr>
          <w:color w:val="000000" w:themeColor="text1"/>
          <w:sz w:val="20"/>
          <w:szCs w:val="20"/>
        </w:rPr>
      </w:pPr>
      <w:r w:rsidRPr="0029269C">
        <w:rPr>
          <w:color w:val="000000" w:themeColor="text1"/>
          <w:sz w:val="20"/>
          <w:szCs w:val="20"/>
        </w:rPr>
        <w:t xml:space="preserve">Dupont, S., Havenhand, J., Thorndyke, W., Peck, L., &amp; Thorndyke, M. (2008).  Near-future level of CO2-driven acidification radically affects larval survival and development on the brittle star </w:t>
      </w:r>
      <w:r w:rsidRPr="0029269C">
        <w:rPr>
          <w:i/>
          <w:color w:val="000000" w:themeColor="text1"/>
          <w:sz w:val="20"/>
          <w:szCs w:val="20"/>
        </w:rPr>
        <w:t>Ophiothrix fragilis</w:t>
      </w:r>
      <w:r w:rsidRPr="0029269C">
        <w:rPr>
          <w:color w:val="000000" w:themeColor="text1"/>
          <w:sz w:val="20"/>
          <w:szCs w:val="20"/>
        </w:rPr>
        <w:t xml:space="preserve">. 373: 285–294, 2008 Marine Ecology Progress Series. https://doi.org/10.3354/meps07800  </w:t>
      </w:r>
    </w:p>
    <w:p w14:paraId="1FBCB97D" w14:textId="77777777" w:rsidR="005D1F81" w:rsidRPr="0029269C" w:rsidRDefault="005D1F81" w:rsidP="005D1F81">
      <w:pPr>
        <w:pStyle w:val="Prrafodelista"/>
        <w:numPr>
          <w:ilvl w:val="0"/>
          <w:numId w:val="23"/>
        </w:numPr>
        <w:autoSpaceDE w:val="0"/>
        <w:autoSpaceDN w:val="0"/>
        <w:adjustRightInd w:val="0"/>
        <w:ind w:left="360"/>
        <w:contextualSpacing/>
        <w:rPr>
          <w:rFonts w:eastAsiaTheme="minorHAnsi"/>
          <w:color w:val="000000" w:themeColor="text1"/>
          <w:sz w:val="20"/>
          <w:szCs w:val="20"/>
          <w:lang w:val="en-US"/>
        </w:rPr>
      </w:pPr>
      <w:r w:rsidRPr="0029269C">
        <w:rPr>
          <w:rFonts w:eastAsiaTheme="minorHAnsi"/>
          <w:color w:val="000000" w:themeColor="text1"/>
          <w:sz w:val="20"/>
          <w:szCs w:val="20"/>
          <w:lang w:val="en-US"/>
        </w:rPr>
        <w:lastRenderedPageBreak/>
        <w:t xml:space="preserve">Freeman, N.M. &amp; Lovenduski, N.S. (2015), Decreased calcification in the Southern Ocean over the satellite record, </w:t>
      </w:r>
      <w:r w:rsidRPr="0029269C">
        <w:rPr>
          <w:rFonts w:eastAsiaTheme="minorHAnsi"/>
          <w:i/>
          <w:iCs/>
          <w:color w:val="000000" w:themeColor="text1"/>
          <w:sz w:val="20"/>
          <w:szCs w:val="20"/>
          <w:lang w:val="en-US"/>
        </w:rPr>
        <w:t>Geophys. Res. Lett</w:t>
      </w:r>
      <w:r w:rsidRPr="0029269C">
        <w:rPr>
          <w:rFonts w:eastAsiaTheme="minorHAnsi"/>
          <w:color w:val="000000" w:themeColor="text1"/>
          <w:sz w:val="20"/>
          <w:szCs w:val="20"/>
          <w:lang w:val="en-US"/>
        </w:rPr>
        <w:t xml:space="preserve">., 42, 1834–1840. https://doi.org/10.1002/2014GL062769. </w:t>
      </w:r>
    </w:p>
    <w:p w14:paraId="2624AC5B" w14:textId="77777777" w:rsidR="005D1F81" w:rsidRPr="0029269C" w:rsidDel="00816958" w:rsidRDefault="005D1F81" w:rsidP="005D1F81">
      <w:pPr>
        <w:pStyle w:val="NormalWeb"/>
        <w:numPr>
          <w:ilvl w:val="0"/>
          <w:numId w:val="23"/>
        </w:numPr>
        <w:spacing w:beforeLines="1" w:before="2" w:beforeAutospacing="0" w:afterLines="1" w:after="2" w:afterAutospacing="0"/>
        <w:ind w:left="360"/>
        <w:jc w:val="left"/>
        <w:rPr>
          <w:bCs/>
          <w:color w:val="000000" w:themeColor="text1"/>
          <w:sz w:val="20"/>
          <w:szCs w:val="20"/>
          <w:lang w:val="en-GB"/>
        </w:rPr>
      </w:pPr>
      <w:r w:rsidRPr="0029269C">
        <w:rPr>
          <w:color w:val="000000" w:themeColor="text1"/>
          <w:sz w:val="20"/>
          <w:szCs w:val="20"/>
          <w:lang w:val="en-GB"/>
        </w:rPr>
        <w:t>Gattuso, J.-P., Magnan, A., Billé, R., Cheung, W.W.L., Howes, E.L., Joos, F., . . . &amp; Turley, C. (2015). Contrasting futures for ocean and society from different anthropogenic CO</w:t>
      </w:r>
      <w:r w:rsidRPr="0029269C">
        <w:rPr>
          <w:color w:val="000000" w:themeColor="text1"/>
          <w:sz w:val="20"/>
          <w:szCs w:val="20"/>
          <w:vertAlign w:val="subscript"/>
          <w:lang w:val="en-GB"/>
        </w:rPr>
        <w:t>2</w:t>
      </w:r>
      <w:r w:rsidRPr="0029269C">
        <w:rPr>
          <w:color w:val="000000" w:themeColor="text1"/>
          <w:sz w:val="20"/>
          <w:szCs w:val="20"/>
          <w:lang w:val="en-GB"/>
        </w:rPr>
        <w:t xml:space="preserve"> emissions scenarios. </w:t>
      </w:r>
      <w:r w:rsidRPr="0029269C">
        <w:rPr>
          <w:i/>
          <w:color w:val="000000" w:themeColor="text1"/>
          <w:sz w:val="20"/>
          <w:szCs w:val="20"/>
          <w:lang w:val="en-GB"/>
        </w:rPr>
        <w:t>Science</w:t>
      </w:r>
      <w:r w:rsidRPr="0029269C">
        <w:rPr>
          <w:color w:val="000000" w:themeColor="text1"/>
          <w:sz w:val="20"/>
          <w:szCs w:val="20"/>
          <w:lang w:val="en-GB"/>
        </w:rPr>
        <w:t xml:space="preserve">, 349, </w:t>
      </w:r>
      <w:hyperlink r:id="rId16" w:history="1">
        <w:r w:rsidRPr="0029269C">
          <w:rPr>
            <w:rStyle w:val="Hipervnculo"/>
            <w:sz w:val="20"/>
            <w:szCs w:val="20"/>
            <w:lang w:val="en-GB"/>
          </w:rPr>
          <w:t>https://doi.org/10.1126/science.aac4722</w:t>
        </w:r>
      </w:hyperlink>
      <w:r w:rsidRPr="0029269C">
        <w:rPr>
          <w:color w:val="000000" w:themeColor="text1"/>
          <w:sz w:val="20"/>
          <w:szCs w:val="20"/>
          <w:lang w:val="en-GB"/>
        </w:rPr>
        <w:t>.</w:t>
      </w:r>
    </w:p>
    <w:p w14:paraId="67F4DE85" w14:textId="77777777" w:rsidR="005D1F81" w:rsidRPr="0029269C" w:rsidRDefault="005D1F81" w:rsidP="005D1F81">
      <w:pPr>
        <w:pStyle w:val="NormalWeb"/>
        <w:numPr>
          <w:ilvl w:val="0"/>
          <w:numId w:val="23"/>
        </w:numPr>
        <w:spacing w:beforeLines="1" w:before="2" w:beforeAutospacing="0" w:afterLines="1" w:after="2" w:afterAutospacing="0"/>
        <w:ind w:left="360"/>
        <w:jc w:val="left"/>
        <w:rPr>
          <w:color w:val="000000" w:themeColor="text1"/>
          <w:sz w:val="20"/>
          <w:szCs w:val="20"/>
          <w:shd w:val="clear" w:color="auto" w:fill="FFFFFF"/>
        </w:rPr>
      </w:pPr>
      <w:r w:rsidRPr="0029269C">
        <w:rPr>
          <w:color w:val="000000" w:themeColor="text1"/>
          <w:sz w:val="20"/>
          <w:szCs w:val="20"/>
          <w:shd w:val="clear" w:color="auto" w:fill="FFFFFF"/>
        </w:rPr>
        <w:t>IPCC, 2019: IPCC Special Report on the Ocean and Cryosphere in a Changing Climate [H.-O. Pörtner, D.C. Roberts, V. Masson-Delmotte, P. Zhai, M. Tignor, E. Poloczanska, K. Mintenbeck, A. Alegría, M. Nicolai, A. Okem, J. Petzold, B. Rama, N.M. Weyer (eds.)]. In press.</w:t>
      </w:r>
    </w:p>
    <w:p w14:paraId="38098EC0" w14:textId="77777777" w:rsidR="005D1F81" w:rsidRPr="0029269C" w:rsidRDefault="005D1F81" w:rsidP="005D1F81">
      <w:pPr>
        <w:pStyle w:val="NormalWeb"/>
        <w:numPr>
          <w:ilvl w:val="0"/>
          <w:numId w:val="23"/>
        </w:numPr>
        <w:spacing w:beforeLines="1" w:before="2" w:beforeAutospacing="0" w:afterLines="1" w:after="2" w:afterAutospacing="0"/>
        <w:ind w:left="360"/>
        <w:jc w:val="left"/>
        <w:rPr>
          <w:color w:val="000000" w:themeColor="text1"/>
          <w:sz w:val="20"/>
          <w:szCs w:val="20"/>
        </w:rPr>
      </w:pPr>
      <w:r w:rsidRPr="0029269C">
        <w:rPr>
          <w:color w:val="000000" w:themeColor="text1"/>
          <w:sz w:val="20"/>
          <w:szCs w:val="20"/>
        </w:rPr>
        <w:t xml:space="preserve">McNeil, B.I. &amp; Matear, R.J. (2008). Southern Ocean acidification: A tipping point at 450-ppm atmospheric CO2. </w:t>
      </w:r>
      <w:r w:rsidRPr="0029269C">
        <w:rPr>
          <w:i/>
          <w:iCs/>
          <w:color w:val="000000" w:themeColor="text1"/>
          <w:sz w:val="20"/>
          <w:szCs w:val="20"/>
        </w:rPr>
        <w:t>Proceedings of the National Academy of Sciences of the United States of America</w:t>
      </w:r>
      <w:r w:rsidRPr="0029269C">
        <w:rPr>
          <w:color w:val="000000" w:themeColor="text1"/>
          <w:sz w:val="20"/>
          <w:szCs w:val="20"/>
        </w:rPr>
        <w:t>. 2008;105(48):18860-18864. https://doi.org/10.1073/pnas.0806318105</w:t>
      </w:r>
    </w:p>
    <w:p w14:paraId="61B62DF2" w14:textId="77777777" w:rsidR="005D1F81" w:rsidRPr="0029269C" w:rsidRDefault="005D1F81" w:rsidP="005D1F81">
      <w:pPr>
        <w:pStyle w:val="NormalWeb"/>
        <w:numPr>
          <w:ilvl w:val="0"/>
          <w:numId w:val="23"/>
        </w:numPr>
        <w:spacing w:beforeLines="1" w:before="2" w:beforeAutospacing="0" w:afterLines="1" w:after="2" w:afterAutospacing="0"/>
        <w:ind w:left="360"/>
        <w:jc w:val="left"/>
        <w:rPr>
          <w:color w:val="000000" w:themeColor="text1"/>
          <w:sz w:val="20"/>
          <w:szCs w:val="20"/>
        </w:rPr>
      </w:pPr>
      <w:r w:rsidRPr="0029269C">
        <w:rPr>
          <w:color w:val="000000" w:themeColor="text1"/>
          <w:sz w:val="20"/>
          <w:szCs w:val="20"/>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poverty[V. Masson-Delmotte, P. Zhai, H. O. Pörtner, D. Roberts, J. Skea, P.R.Shukla,A. Pirani, W. Moufouma-Okia, C.Péan, R. Pidcock, S. Connors, J. B. R. Matthews, Y. Chen, X. Zhou, M. I. Gomis, E. Lonnoy, T. Maycock, M. Tignor, T. Waterfield(eds.)].</w:t>
      </w:r>
    </w:p>
    <w:p w14:paraId="250D80B8" w14:textId="77777777" w:rsidR="005D1F81" w:rsidRPr="0029269C" w:rsidRDefault="005D1F81" w:rsidP="005D1F81">
      <w:pPr>
        <w:pStyle w:val="Prrafodelista"/>
        <w:numPr>
          <w:ilvl w:val="0"/>
          <w:numId w:val="23"/>
        </w:numPr>
        <w:ind w:left="360"/>
        <w:contextualSpacing/>
        <w:rPr>
          <w:rStyle w:val="Hipervnculo"/>
          <w:color w:val="000000" w:themeColor="text1"/>
          <w:sz w:val="20"/>
          <w:szCs w:val="20"/>
          <w:lang w:eastAsia="en-GB"/>
        </w:rPr>
      </w:pPr>
      <w:r w:rsidRPr="0029269C">
        <w:rPr>
          <w:color w:val="000000" w:themeColor="text1"/>
          <w:sz w:val="20"/>
          <w:szCs w:val="20"/>
        </w:rPr>
        <w:t xml:space="preserve">IPCC, 2021: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 B. R. Matthews, T. K. Maycock, T. Waterfield, O. Yelekçi, R. Yu and B. Zhou (eds.)]. Cambridge University Press. In Press.  </w:t>
      </w:r>
    </w:p>
    <w:p w14:paraId="120FEA97" w14:textId="77777777" w:rsidR="005D1F81" w:rsidRPr="0029269C" w:rsidRDefault="005D1F81" w:rsidP="005D1F81">
      <w:pPr>
        <w:pStyle w:val="Prrafodelista"/>
        <w:numPr>
          <w:ilvl w:val="0"/>
          <w:numId w:val="23"/>
        </w:numPr>
        <w:autoSpaceDE w:val="0"/>
        <w:autoSpaceDN w:val="0"/>
        <w:adjustRightInd w:val="0"/>
        <w:ind w:left="360"/>
        <w:contextualSpacing/>
        <w:rPr>
          <w:rFonts w:eastAsiaTheme="minorHAnsi"/>
          <w:color w:val="000000" w:themeColor="text1"/>
          <w:sz w:val="20"/>
          <w:szCs w:val="20"/>
        </w:rPr>
      </w:pPr>
      <w:r w:rsidRPr="00B80937">
        <w:rPr>
          <w:rFonts w:eastAsiaTheme="minorHAnsi"/>
          <w:color w:val="000000" w:themeColor="text1"/>
          <w:sz w:val="20"/>
          <w:szCs w:val="20"/>
          <w:lang w:val="nl-NL"/>
        </w:rPr>
        <w:t xml:space="preserve">Kroeker, K., Kordas, R., Crim, R., Hendriks, I., Ramajo, L., Singh, G., . . . </w:t>
      </w:r>
      <w:r w:rsidRPr="0029269C">
        <w:rPr>
          <w:rFonts w:eastAsiaTheme="minorHAnsi"/>
          <w:color w:val="000000" w:themeColor="text1"/>
          <w:sz w:val="20"/>
          <w:szCs w:val="20"/>
          <w:lang w:val="en-US"/>
        </w:rPr>
        <w:t>&amp; Gattuso, J.-P. (2013). Impacts of ocean acidification on marine organisms: quantifying sensitivities and interaction with warming. Global Change Biology, 19, 1884–1896, https://doi.org/10.1111/gcb.12179</w:t>
      </w:r>
      <w:r w:rsidRPr="0029269C">
        <w:rPr>
          <w:rFonts w:eastAsiaTheme="minorHAnsi"/>
          <w:color w:val="000000" w:themeColor="text1"/>
          <w:sz w:val="20"/>
          <w:szCs w:val="20"/>
        </w:rPr>
        <w:t xml:space="preserve"> </w:t>
      </w:r>
    </w:p>
    <w:p w14:paraId="07A74ADF" w14:textId="77777777" w:rsidR="005D1F81" w:rsidRPr="0029269C" w:rsidRDefault="005D1F81" w:rsidP="005D1F81">
      <w:pPr>
        <w:pStyle w:val="Prrafodelista"/>
        <w:numPr>
          <w:ilvl w:val="0"/>
          <w:numId w:val="23"/>
        </w:numPr>
        <w:ind w:left="360"/>
        <w:contextualSpacing/>
        <w:rPr>
          <w:color w:val="0563C1" w:themeColor="hyperlink"/>
          <w:sz w:val="20"/>
          <w:u w:val="single"/>
        </w:rPr>
      </w:pPr>
      <w:r w:rsidRPr="00B80937">
        <w:rPr>
          <w:color w:val="000000" w:themeColor="text1"/>
          <w:sz w:val="20"/>
          <w:szCs w:val="20"/>
          <w:shd w:val="clear" w:color="auto" w:fill="FFFFFF"/>
          <w:lang w:val="de-DE"/>
        </w:rPr>
        <w:t xml:space="preserve">Li, G., Cheng, L., Zhu, J. Trenberth, K., Mann, M., &amp; Abraham, J. (2020). </w:t>
      </w:r>
      <w:r w:rsidRPr="0029269C">
        <w:rPr>
          <w:color w:val="000000" w:themeColor="text1"/>
          <w:sz w:val="20"/>
          <w:szCs w:val="20"/>
          <w:shd w:val="clear" w:color="auto" w:fill="FFFFFF"/>
        </w:rPr>
        <w:t xml:space="preserve">Increasing ocean stratification over the past half-century. </w:t>
      </w:r>
      <w:r w:rsidRPr="0029269C">
        <w:rPr>
          <w:i/>
          <w:iCs/>
          <w:color w:val="000000" w:themeColor="text1"/>
          <w:sz w:val="20"/>
          <w:szCs w:val="20"/>
        </w:rPr>
        <w:t>Nat. Clim. Chang.</w:t>
      </w:r>
      <w:r w:rsidRPr="0029269C">
        <w:rPr>
          <w:color w:val="000000" w:themeColor="text1"/>
          <w:sz w:val="20"/>
          <w:szCs w:val="20"/>
          <w:shd w:val="clear" w:color="auto" w:fill="FFFFFF"/>
        </w:rPr>
        <w:t> </w:t>
      </w:r>
      <w:r w:rsidRPr="0029269C">
        <w:rPr>
          <w:bCs/>
          <w:color w:val="000000" w:themeColor="text1"/>
          <w:sz w:val="20"/>
          <w:szCs w:val="20"/>
        </w:rPr>
        <w:t>10</w:t>
      </w:r>
      <w:r w:rsidRPr="0029269C">
        <w:rPr>
          <w:color w:val="000000" w:themeColor="text1"/>
          <w:sz w:val="20"/>
          <w:szCs w:val="20"/>
          <w:shd w:val="clear" w:color="auto" w:fill="FFFFFF"/>
        </w:rPr>
        <w:t>, 1116–1123. https://doi.org/10.1038/s41558-020-00918-2</w:t>
      </w:r>
    </w:p>
    <w:p w14:paraId="37F00057"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29269C">
        <w:rPr>
          <w:color w:val="000000" w:themeColor="text1"/>
          <w:sz w:val="20"/>
          <w:szCs w:val="20"/>
          <w:lang w:val="en-US"/>
        </w:rPr>
        <w:t xml:space="preserve">National Academies of Sciences, Engineering, and Medicine 2022. </w:t>
      </w:r>
      <w:r w:rsidRPr="0029269C">
        <w:rPr>
          <w:i/>
          <w:iCs/>
          <w:color w:val="000000" w:themeColor="text1"/>
          <w:sz w:val="20"/>
          <w:szCs w:val="20"/>
          <w:lang w:val="en-US"/>
        </w:rPr>
        <w:t>A Research Strategy for Ocean-based Carbon Dioxide Removal and Sequestration</w:t>
      </w:r>
      <w:r w:rsidRPr="0029269C">
        <w:rPr>
          <w:color w:val="000000" w:themeColor="text1"/>
          <w:sz w:val="20"/>
          <w:szCs w:val="20"/>
          <w:lang w:val="en-US"/>
        </w:rPr>
        <w:t>. Washington, DC: The National Academies Press. https://doi.org/10.17226/26278</w:t>
      </w:r>
      <w:r w:rsidRPr="0029269C">
        <w:rPr>
          <w:rStyle w:val="Hipervnculo"/>
          <w:sz w:val="20"/>
        </w:rPr>
        <w:t xml:space="preserve"> </w:t>
      </w:r>
    </w:p>
    <w:p w14:paraId="0D49CD58"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B80937">
        <w:rPr>
          <w:color w:val="000000" w:themeColor="text1"/>
          <w:sz w:val="20"/>
          <w:szCs w:val="20"/>
          <w:lang w:val="en-US"/>
        </w:rPr>
        <w:t xml:space="preserve">Penn, J. &amp; Deutsch, C. (2022). </w:t>
      </w:r>
      <w:r w:rsidRPr="0029269C">
        <w:rPr>
          <w:color w:val="000000" w:themeColor="text1"/>
          <w:sz w:val="20"/>
          <w:szCs w:val="20"/>
        </w:rPr>
        <w:t xml:space="preserve">Avoiding ocean mass extinction from climate warming. </w:t>
      </w:r>
      <w:r w:rsidRPr="0029269C">
        <w:rPr>
          <w:i/>
          <w:iCs/>
          <w:color w:val="000000" w:themeColor="text1"/>
          <w:sz w:val="20"/>
          <w:szCs w:val="20"/>
        </w:rPr>
        <w:t>Science</w:t>
      </w:r>
      <w:r w:rsidRPr="0029269C">
        <w:rPr>
          <w:color w:val="000000" w:themeColor="text1"/>
          <w:sz w:val="20"/>
          <w:szCs w:val="20"/>
        </w:rPr>
        <w:t xml:space="preserve">, 376, 6592, 524-526. </w:t>
      </w:r>
      <w:hyperlink r:id="rId17" w:history="1">
        <w:r w:rsidRPr="0029269C">
          <w:rPr>
            <w:rStyle w:val="Hipervnculo"/>
            <w:sz w:val="20"/>
            <w:szCs w:val="20"/>
          </w:rPr>
          <w:t>https://doi.org/10.1126/science.abe9039</w:t>
        </w:r>
      </w:hyperlink>
    </w:p>
    <w:p w14:paraId="6357643C"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29269C">
        <w:rPr>
          <w:rFonts w:eastAsiaTheme="minorHAnsi"/>
          <w:color w:val="000000" w:themeColor="text1"/>
          <w:sz w:val="20"/>
          <w:szCs w:val="20"/>
        </w:rPr>
        <w:t>Ridgwell, A. &amp; Schmidt, D. (2010). Past constraints on the vulnerability of marine calcifiers to massive carbon dioxide release. </w:t>
      </w:r>
      <w:r w:rsidRPr="0029269C">
        <w:rPr>
          <w:rFonts w:eastAsiaTheme="minorHAnsi"/>
          <w:i/>
          <w:iCs/>
          <w:color w:val="000000" w:themeColor="text1"/>
          <w:sz w:val="20"/>
          <w:szCs w:val="20"/>
        </w:rPr>
        <w:t>Nature Geosci</w:t>
      </w:r>
      <w:r w:rsidRPr="0029269C">
        <w:rPr>
          <w:rFonts w:eastAsiaTheme="minorHAnsi"/>
          <w:color w:val="000000" w:themeColor="text1"/>
          <w:sz w:val="20"/>
          <w:szCs w:val="20"/>
        </w:rPr>
        <w:t xml:space="preserve"> 3, 196–200. </w:t>
      </w:r>
      <w:hyperlink r:id="rId18" w:history="1">
        <w:r w:rsidRPr="0029269C">
          <w:rPr>
            <w:rStyle w:val="Hipervnculo"/>
            <w:rFonts w:eastAsiaTheme="minorHAnsi"/>
            <w:color w:val="000000" w:themeColor="text1"/>
            <w:sz w:val="20"/>
            <w:szCs w:val="20"/>
          </w:rPr>
          <w:t>https://doi.org/10.1038/ngeo755</w:t>
        </w:r>
      </w:hyperlink>
      <w:r w:rsidRPr="0029269C">
        <w:rPr>
          <w:color w:val="000000" w:themeColor="text1"/>
          <w:sz w:val="20"/>
          <w:szCs w:val="20"/>
          <w:lang w:val="de-DE"/>
        </w:rPr>
        <w:t xml:space="preserve"> </w:t>
      </w:r>
    </w:p>
    <w:p w14:paraId="2AAD45A3"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29269C">
        <w:rPr>
          <w:color w:val="000000" w:themeColor="text1"/>
          <w:sz w:val="20"/>
          <w:szCs w:val="20"/>
          <w:lang w:val="de-DE"/>
        </w:rPr>
        <w:t xml:space="preserve">Riebesell, U. &amp; Gattuso, J.P. (2015). </w:t>
      </w:r>
      <w:r w:rsidRPr="0029269C">
        <w:rPr>
          <w:color w:val="000000" w:themeColor="text1"/>
          <w:sz w:val="20"/>
          <w:szCs w:val="20"/>
        </w:rPr>
        <w:t xml:space="preserve">Lessons learned from ocean acidification research. </w:t>
      </w:r>
      <w:r w:rsidRPr="0029269C">
        <w:rPr>
          <w:i/>
          <w:color w:val="000000" w:themeColor="text1"/>
          <w:sz w:val="20"/>
          <w:szCs w:val="20"/>
        </w:rPr>
        <w:t>Nature Climate Change</w:t>
      </w:r>
      <w:r w:rsidRPr="0029269C">
        <w:rPr>
          <w:color w:val="000000" w:themeColor="text1"/>
          <w:sz w:val="20"/>
          <w:szCs w:val="20"/>
        </w:rPr>
        <w:t xml:space="preserve">, 5, 12–14. </w:t>
      </w:r>
      <w:r w:rsidRPr="0029269C">
        <w:rPr>
          <w:color w:val="000000" w:themeColor="text1"/>
          <w:sz w:val="20"/>
          <w:szCs w:val="20"/>
          <w:lang w:val="en-US"/>
        </w:rPr>
        <w:t>https://doi.org/10.1038/nclimate2456</w:t>
      </w:r>
    </w:p>
    <w:p w14:paraId="54555102"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29269C">
        <w:rPr>
          <w:color w:val="000000" w:themeColor="text1"/>
          <w:sz w:val="20"/>
          <w:szCs w:val="20"/>
          <w:bdr w:val="none" w:sz="0" w:space="0" w:color="auto" w:frame="1"/>
        </w:rPr>
        <w:t>Thyrring, J., MacLeod, C., Marshall, K., Kennedy, J., Tremblay, R., &amp; Harley</w:t>
      </w:r>
      <w:r w:rsidRPr="0029269C">
        <w:rPr>
          <w:color w:val="000000" w:themeColor="text1"/>
          <w:sz w:val="20"/>
          <w:szCs w:val="20"/>
        </w:rPr>
        <w:t xml:space="preserve">, C. (2022). </w:t>
      </w:r>
      <w:r w:rsidRPr="0029269C">
        <w:rPr>
          <w:color w:val="000000" w:themeColor="text1"/>
          <w:spacing w:val="-7"/>
          <w:kern w:val="36"/>
          <w:sz w:val="20"/>
          <w:szCs w:val="20"/>
        </w:rPr>
        <w:t>Ocean acidification increases susceptibility to sub-zero air temperatures in ecosystem engineers (</w:t>
      </w:r>
      <w:r w:rsidRPr="0029269C">
        <w:rPr>
          <w:i/>
          <w:iCs/>
          <w:color w:val="000000" w:themeColor="text1"/>
          <w:spacing w:val="-7"/>
          <w:kern w:val="36"/>
          <w:sz w:val="20"/>
          <w:szCs w:val="20"/>
          <w:bdr w:val="none" w:sz="0" w:space="0" w:color="auto" w:frame="1"/>
        </w:rPr>
        <w:t>Mytilus</w:t>
      </w:r>
      <w:r w:rsidRPr="0029269C">
        <w:rPr>
          <w:color w:val="000000" w:themeColor="text1"/>
          <w:spacing w:val="-7"/>
          <w:kern w:val="36"/>
          <w:sz w:val="20"/>
          <w:szCs w:val="20"/>
        </w:rPr>
        <w:t xml:space="preserve"> sp.): a limit to poleward range shifts. </w:t>
      </w:r>
      <w:r w:rsidRPr="0029269C">
        <w:rPr>
          <w:color w:val="000000" w:themeColor="text1"/>
          <w:sz w:val="20"/>
          <w:szCs w:val="20"/>
        </w:rPr>
        <w:t xml:space="preserve">BioRxiV. </w:t>
      </w:r>
      <w:hyperlink r:id="rId19" w:history="1">
        <w:r w:rsidRPr="0029269C">
          <w:rPr>
            <w:rStyle w:val="Hipervnculo"/>
            <w:color w:val="000000" w:themeColor="text1"/>
            <w:sz w:val="20"/>
            <w:szCs w:val="20"/>
            <w:bdr w:val="none" w:sz="0" w:space="0" w:color="auto" w:frame="1"/>
          </w:rPr>
          <w:t>https://doi.org/10.1101/2022.06.30.498370</w:t>
        </w:r>
      </w:hyperlink>
    </w:p>
    <w:p w14:paraId="6811AEEA" w14:textId="77777777" w:rsidR="005D1F81" w:rsidRPr="0029269C" w:rsidRDefault="005D1F81" w:rsidP="005D1F81">
      <w:pPr>
        <w:pStyle w:val="Prrafodelista"/>
        <w:numPr>
          <w:ilvl w:val="0"/>
          <w:numId w:val="23"/>
        </w:numPr>
        <w:ind w:left="360"/>
        <w:contextualSpacing/>
        <w:rPr>
          <w:i/>
          <w:iCs/>
          <w:color w:val="000000" w:themeColor="text1"/>
          <w:sz w:val="20"/>
          <w:szCs w:val="20"/>
          <w:lang w:val="en-US"/>
        </w:rPr>
      </w:pPr>
      <w:r w:rsidRPr="0029269C">
        <w:rPr>
          <w:color w:val="000000" w:themeColor="text1"/>
          <w:sz w:val="20"/>
          <w:szCs w:val="20"/>
          <w:lang w:val="de-DE"/>
        </w:rPr>
        <w:t xml:space="preserve">Wittmann, A.C. &amp; Pörtner, H.O. (2013). </w:t>
      </w:r>
      <w:r w:rsidRPr="0029269C">
        <w:rPr>
          <w:color w:val="000000" w:themeColor="text1"/>
          <w:sz w:val="20"/>
          <w:szCs w:val="20"/>
        </w:rPr>
        <w:t xml:space="preserve">Sensitivities of extant animal taxa to ocean acidification.     </w:t>
      </w:r>
      <w:r w:rsidRPr="0029269C">
        <w:rPr>
          <w:i/>
          <w:color w:val="000000" w:themeColor="text1"/>
          <w:sz w:val="20"/>
          <w:szCs w:val="20"/>
        </w:rPr>
        <w:t xml:space="preserve">Nature Climate Change, </w:t>
      </w:r>
      <w:r w:rsidRPr="0029269C">
        <w:rPr>
          <w:color w:val="000000" w:themeColor="text1"/>
          <w:sz w:val="20"/>
          <w:szCs w:val="20"/>
        </w:rPr>
        <w:t xml:space="preserve">3, 995-1001. </w:t>
      </w:r>
      <w:r w:rsidRPr="0029269C">
        <w:rPr>
          <w:color w:val="000000" w:themeColor="text1"/>
          <w:sz w:val="20"/>
          <w:szCs w:val="20"/>
          <w:lang w:val="en-US"/>
        </w:rPr>
        <w:t>https://doi.org/10.1038/nclimate1982</w:t>
      </w:r>
    </w:p>
    <w:p w14:paraId="09702426" w14:textId="77777777" w:rsidR="005D1F81" w:rsidRPr="00B81734" w:rsidRDefault="005D1F81" w:rsidP="005D1F81">
      <w:pPr>
        <w:pStyle w:val="ATSHeading1"/>
        <w:rPr>
          <w:bCs/>
        </w:rPr>
      </w:pPr>
    </w:p>
    <w:p w14:paraId="646FF971" w14:textId="77777777" w:rsidR="005D1F81" w:rsidRDefault="005D1F81" w:rsidP="00952E9F"/>
    <w:sectPr w:rsidR="005D1F81" w:rsidSect="00283F0F">
      <w:headerReference w:type="default" r:id="rId20"/>
      <w:footerReference w:type="default" r:id="rId2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1869" w14:textId="77777777" w:rsidR="00000000" w:rsidRDefault="005D1F81">
      <w:r>
        <w:separator/>
      </w:r>
    </w:p>
  </w:endnote>
  <w:endnote w:type="continuationSeparator" w:id="0">
    <w:p w14:paraId="12159153" w14:textId="77777777" w:rsidR="00000000" w:rsidRDefault="005D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haris SIL">
    <w:altName w:val="Cambria"/>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7160" w14:textId="77777777" w:rsidR="00FA0B9F" w:rsidRDefault="005D1F81" w:rsidP="00CF5C82">
    <w:pPr>
      <w:framePr w:wrap="around" w:vAnchor="text" w:hAnchor="margin" w:xAlign="right" w:y="1"/>
    </w:pPr>
    <w:r>
      <w:fldChar w:fldCharType="begin"/>
    </w:r>
    <w:r>
      <w:instrText xml:space="preserve">PAGE  </w:instrText>
    </w:r>
    <w:r>
      <w:fldChar w:fldCharType="separate"/>
    </w:r>
    <w:r>
      <w:fldChar w:fldCharType="end"/>
    </w:r>
  </w:p>
  <w:p w14:paraId="550D58D9" w14:textId="77777777" w:rsidR="00FA0B9F" w:rsidRDefault="005D1F8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167A" w14:textId="77777777" w:rsidR="00FA0B9F" w:rsidRDefault="005D1F8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112ED35" w14:textId="6993F1F7" w:rsidR="00FA0B9F" w:rsidRDefault="005D1F81" w:rsidP="005D1F8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1398" w14:textId="77777777" w:rsidR="00E311C9" w:rsidRDefault="005D1F8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25A8AC1" w14:textId="77777777" w:rsidR="00E311C9" w:rsidRDefault="005D1F8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BCDE" w14:textId="77777777" w:rsidR="00000000" w:rsidRDefault="005D1F81">
      <w:r>
        <w:separator/>
      </w:r>
    </w:p>
  </w:footnote>
  <w:footnote w:type="continuationSeparator" w:id="0">
    <w:p w14:paraId="255FA342" w14:textId="77777777" w:rsidR="00000000" w:rsidRDefault="005D1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015CF" w14:paraId="213134F7" w14:textId="77777777" w:rsidTr="002E12EC">
      <w:trPr>
        <w:trHeight w:val="344"/>
        <w:jc w:val="center"/>
      </w:trPr>
      <w:tc>
        <w:tcPr>
          <w:tcW w:w="5495" w:type="dxa"/>
        </w:tcPr>
        <w:p w14:paraId="3898F19F" w14:textId="77777777" w:rsidR="00DB7C09" w:rsidRDefault="005D1F81" w:rsidP="00F968D4"/>
      </w:tc>
      <w:tc>
        <w:tcPr>
          <w:tcW w:w="4253" w:type="dxa"/>
          <w:gridSpan w:val="2"/>
        </w:tcPr>
        <w:p w14:paraId="5E7A4204" w14:textId="77777777" w:rsidR="00DB7C09" w:rsidRPr="00BD47E4" w:rsidRDefault="005D1F81" w:rsidP="002A07BC">
          <w:pPr>
            <w:jc w:val="right"/>
            <w:rPr>
              <w:b/>
              <w:sz w:val="32"/>
              <w:szCs w:val="32"/>
            </w:rPr>
          </w:pPr>
          <w:bookmarkStart w:id="2" w:name="type"/>
          <w:r w:rsidRPr="00BD47E4">
            <w:rPr>
              <w:b/>
              <w:sz w:val="32"/>
              <w:szCs w:val="32"/>
            </w:rPr>
            <w:t>IP</w:t>
          </w:r>
          <w:bookmarkEnd w:id="2"/>
        </w:p>
      </w:tc>
      <w:tc>
        <w:tcPr>
          <w:tcW w:w="1524" w:type="dxa"/>
          <w:gridSpan w:val="2"/>
        </w:tcPr>
        <w:p w14:paraId="13438AD1" w14:textId="77777777" w:rsidR="00DB7C09" w:rsidRPr="00BD47E4" w:rsidRDefault="005D1F81" w:rsidP="00DB7C09">
          <w:pPr>
            <w:rPr>
              <w:b/>
              <w:sz w:val="32"/>
              <w:szCs w:val="32"/>
            </w:rPr>
          </w:pPr>
          <w:bookmarkStart w:id="3" w:name="number"/>
          <w:r w:rsidRPr="00BD47E4">
            <w:rPr>
              <w:b/>
              <w:sz w:val="32"/>
              <w:szCs w:val="32"/>
            </w:rPr>
            <w:t>117</w:t>
          </w:r>
          <w:bookmarkEnd w:id="3"/>
        </w:p>
      </w:tc>
    </w:tr>
    <w:tr w:rsidR="007015CF" w14:paraId="05C52D77" w14:textId="77777777" w:rsidTr="002E12EC">
      <w:trPr>
        <w:trHeight w:val="2165"/>
        <w:jc w:val="center"/>
      </w:trPr>
      <w:tc>
        <w:tcPr>
          <w:tcW w:w="5495" w:type="dxa"/>
        </w:tcPr>
        <w:p w14:paraId="77C9B4AE" w14:textId="77777777" w:rsidR="00490760" w:rsidRPr="00EE4D48" w:rsidRDefault="005D1F81" w:rsidP="002A07BC">
          <w:pPr>
            <w:rPr>
              <w:b/>
              <w:sz w:val="28"/>
              <w:szCs w:val="28"/>
            </w:rPr>
          </w:pPr>
          <w:r>
            <w:rPr>
              <w:noProof/>
            </w:rPr>
            <w:drawing>
              <wp:inline distT="0" distB="0" distL="0" distR="0" wp14:anchorId="7B55E344" wp14:editId="28FC951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917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02565F5" w14:textId="77777777" w:rsidR="00490760" w:rsidRPr="00FE5146" w:rsidRDefault="005D1F81" w:rsidP="00490760">
          <w:pPr>
            <w:jc w:val="right"/>
            <w:rPr>
              <w:sz w:val="144"/>
              <w:szCs w:val="144"/>
            </w:rPr>
          </w:pPr>
          <w:r w:rsidRPr="00FE5146">
            <w:rPr>
              <w:sz w:val="144"/>
              <w:szCs w:val="144"/>
            </w:rPr>
            <w:t>ENG</w:t>
          </w:r>
        </w:p>
      </w:tc>
    </w:tr>
    <w:tr w:rsidR="007015CF" w14:paraId="0FFB038C" w14:textId="77777777" w:rsidTr="002E12EC">
      <w:trPr>
        <w:trHeight w:val="409"/>
        <w:jc w:val="center"/>
      </w:trPr>
      <w:tc>
        <w:tcPr>
          <w:tcW w:w="8500" w:type="dxa"/>
          <w:gridSpan w:val="2"/>
        </w:tcPr>
        <w:p w14:paraId="786DF050" w14:textId="77777777" w:rsidR="00BD47E4" w:rsidRDefault="005D1F81" w:rsidP="002C30DA">
          <w:pPr>
            <w:jc w:val="right"/>
          </w:pPr>
          <w:r>
            <w:t>Agenda Item:</w:t>
          </w:r>
        </w:p>
      </w:tc>
      <w:tc>
        <w:tcPr>
          <w:tcW w:w="2382" w:type="dxa"/>
          <w:gridSpan w:val="2"/>
        </w:tcPr>
        <w:p w14:paraId="2CA93535" w14:textId="77777777" w:rsidR="00BD47E4" w:rsidRDefault="005D1F81" w:rsidP="002C30DA">
          <w:pPr>
            <w:jc w:val="right"/>
          </w:pPr>
          <w:bookmarkStart w:id="4" w:name="agenda"/>
          <w:r>
            <w:t>ATCM 6d, ATCM 16, CEP 7a</w:t>
          </w:r>
          <w:bookmarkEnd w:id="4"/>
        </w:p>
      </w:tc>
      <w:tc>
        <w:tcPr>
          <w:tcW w:w="390" w:type="dxa"/>
        </w:tcPr>
        <w:p w14:paraId="726B0DBD" w14:textId="77777777" w:rsidR="00BD47E4" w:rsidRDefault="005D1F81" w:rsidP="00387A65">
          <w:pPr>
            <w:jc w:val="right"/>
          </w:pPr>
        </w:p>
      </w:tc>
    </w:tr>
    <w:tr w:rsidR="007015CF" w14:paraId="7071872A" w14:textId="77777777" w:rsidTr="002E12EC">
      <w:trPr>
        <w:trHeight w:val="397"/>
        <w:jc w:val="center"/>
      </w:trPr>
      <w:tc>
        <w:tcPr>
          <w:tcW w:w="8500" w:type="dxa"/>
          <w:gridSpan w:val="2"/>
        </w:tcPr>
        <w:p w14:paraId="2BC3DD50" w14:textId="77777777" w:rsidR="00BD47E4" w:rsidRDefault="005D1F81" w:rsidP="002C30DA">
          <w:pPr>
            <w:jc w:val="right"/>
          </w:pPr>
          <w:r>
            <w:t>Presented by:</w:t>
          </w:r>
        </w:p>
      </w:tc>
      <w:tc>
        <w:tcPr>
          <w:tcW w:w="2382" w:type="dxa"/>
          <w:gridSpan w:val="2"/>
        </w:tcPr>
        <w:p w14:paraId="140E1C88" w14:textId="77777777" w:rsidR="00BD47E4" w:rsidRDefault="005D1F81" w:rsidP="002C30DA">
          <w:pPr>
            <w:jc w:val="right"/>
          </w:pPr>
          <w:bookmarkStart w:id="5" w:name="party"/>
          <w:r>
            <w:t>ASOC</w:t>
          </w:r>
          <w:bookmarkEnd w:id="5"/>
        </w:p>
      </w:tc>
      <w:tc>
        <w:tcPr>
          <w:tcW w:w="390" w:type="dxa"/>
        </w:tcPr>
        <w:p w14:paraId="7C695868" w14:textId="77777777" w:rsidR="00BD47E4" w:rsidRDefault="005D1F81" w:rsidP="00387A65">
          <w:pPr>
            <w:jc w:val="right"/>
          </w:pPr>
        </w:p>
      </w:tc>
    </w:tr>
    <w:tr w:rsidR="007015CF" w14:paraId="0DC378BF" w14:textId="77777777" w:rsidTr="002E12EC">
      <w:trPr>
        <w:trHeight w:val="409"/>
        <w:jc w:val="center"/>
      </w:trPr>
      <w:tc>
        <w:tcPr>
          <w:tcW w:w="8500" w:type="dxa"/>
          <w:gridSpan w:val="2"/>
        </w:tcPr>
        <w:p w14:paraId="4E5B39FD" w14:textId="77777777" w:rsidR="00BD47E4" w:rsidRDefault="005D1F81" w:rsidP="002C30DA">
          <w:pPr>
            <w:jc w:val="right"/>
          </w:pPr>
          <w:r>
            <w:t>Original:</w:t>
          </w:r>
        </w:p>
      </w:tc>
      <w:tc>
        <w:tcPr>
          <w:tcW w:w="2382" w:type="dxa"/>
          <w:gridSpan w:val="2"/>
        </w:tcPr>
        <w:p w14:paraId="1CCC6FC3" w14:textId="77777777" w:rsidR="00BD47E4" w:rsidRDefault="005D1F81" w:rsidP="002C30DA">
          <w:pPr>
            <w:jc w:val="right"/>
          </w:pPr>
          <w:bookmarkStart w:id="6" w:name="language"/>
          <w:r>
            <w:t>English</w:t>
          </w:r>
          <w:bookmarkEnd w:id="6"/>
        </w:p>
      </w:tc>
      <w:tc>
        <w:tcPr>
          <w:tcW w:w="390" w:type="dxa"/>
        </w:tcPr>
        <w:p w14:paraId="69E83EF0" w14:textId="77777777" w:rsidR="00BD47E4" w:rsidRDefault="005D1F81" w:rsidP="00387A65">
          <w:pPr>
            <w:jc w:val="right"/>
          </w:pPr>
        </w:p>
      </w:tc>
    </w:tr>
    <w:tr w:rsidR="007015CF" w14:paraId="27ECC076" w14:textId="77777777" w:rsidTr="002E12EC">
      <w:trPr>
        <w:trHeight w:val="409"/>
        <w:jc w:val="center"/>
      </w:trPr>
      <w:tc>
        <w:tcPr>
          <w:tcW w:w="8500" w:type="dxa"/>
          <w:gridSpan w:val="2"/>
        </w:tcPr>
        <w:p w14:paraId="1EFBFF05" w14:textId="77777777" w:rsidR="0097629D" w:rsidRDefault="005D1F81" w:rsidP="002C30DA">
          <w:pPr>
            <w:jc w:val="right"/>
          </w:pPr>
          <w:r>
            <w:t>Submitted:</w:t>
          </w:r>
        </w:p>
      </w:tc>
      <w:tc>
        <w:tcPr>
          <w:tcW w:w="2382" w:type="dxa"/>
          <w:gridSpan w:val="2"/>
        </w:tcPr>
        <w:p w14:paraId="44732F2B" w14:textId="77777777" w:rsidR="0097629D" w:rsidRDefault="005D1F81" w:rsidP="0097629D">
          <w:pPr>
            <w:jc w:val="right"/>
          </w:pPr>
          <w:bookmarkStart w:id="7" w:name="date_submission"/>
          <w:r>
            <w:t xml:space="preserve">28 Apr </w:t>
          </w:r>
          <w:r>
            <w:t>2023</w:t>
          </w:r>
          <w:bookmarkEnd w:id="7"/>
        </w:p>
      </w:tc>
      <w:tc>
        <w:tcPr>
          <w:tcW w:w="390" w:type="dxa"/>
        </w:tcPr>
        <w:p w14:paraId="11E561FC" w14:textId="77777777" w:rsidR="0097629D" w:rsidRDefault="005D1F81" w:rsidP="00387A65">
          <w:pPr>
            <w:jc w:val="right"/>
          </w:pPr>
        </w:p>
      </w:tc>
    </w:tr>
  </w:tbl>
  <w:p w14:paraId="40A04662" w14:textId="77777777" w:rsidR="00AE5DD0" w:rsidRDefault="005D1F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015CF" w14:paraId="1D36767A" w14:textId="77777777">
      <w:trPr>
        <w:trHeight w:val="354"/>
        <w:jc w:val="center"/>
      </w:trPr>
      <w:tc>
        <w:tcPr>
          <w:tcW w:w="9694" w:type="dxa"/>
        </w:tcPr>
        <w:p w14:paraId="7429C363" w14:textId="7EDB22EB" w:rsidR="00AE5DD0" w:rsidRPr="00BD47E4" w:rsidRDefault="005D1F81" w:rsidP="00C26F2D">
          <w:pPr>
            <w:jc w:val="right"/>
            <w:rPr>
              <w:b/>
              <w:sz w:val="32"/>
              <w:szCs w:val="32"/>
            </w:rPr>
          </w:pPr>
          <w:r>
            <w:rPr>
              <w:b/>
              <w:sz w:val="32"/>
              <w:szCs w:val="32"/>
            </w:rPr>
            <w:t>IP</w:t>
          </w:r>
        </w:p>
      </w:tc>
      <w:tc>
        <w:tcPr>
          <w:tcW w:w="1332" w:type="dxa"/>
        </w:tcPr>
        <w:p w14:paraId="0139B08B" w14:textId="68F3AC9D" w:rsidR="00AE5DD0" w:rsidRPr="00BD47E4" w:rsidRDefault="005D1F81" w:rsidP="00080F4C">
          <w:pPr>
            <w:rPr>
              <w:b/>
              <w:sz w:val="32"/>
              <w:szCs w:val="32"/>
            </w:rPr>
          </w:pPr>
          <w:r>
            <w:rPr>
              <w:b/>
              <w:sz w:val="32"/>
              <w:szCs w:val="32"/>
            </w:rPr>
            <w:t>117</w:t>
          </w:r>
        </w:p>
      </w:tc>
    </w:tr>
  </w:tbl>
  <w:p w14:paraId="4D6BDFB7" w14:textId="77777777" w:rsidR="00AE5DD0" w:rsidRDefault="005D1F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03E67"/>
    <w:multiLevelType w:val="hybridMultilevel"/>
    <w:tmpl w:val="919A245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5FB2A308">
      <w:start w:val="1"/>
      <w:numFmt w:val="bullet"/>
      <w:pStyle w:val="ATSBullet1"/>
      <w:lvlText w:val=""/>
      <w:lvlJc w:val="left"/>
      <w:pPr>
        <w:tabs>
          <w:tab w:val="num" w:pos="360"/>
        </w:tabs>
        <w:ind w:left="360" w:hanging="360"/>
      </w:pPr>
      <w:rPr>
        <w:rFonts w:ascii="Symbol" w:hAnsi="Symbol" w:hint="default"/>
        <w:color w:val="auto"/>
      </w:rPr>
    </w:lvl>
    <w:lvl w:ilvl="1" w:tplc="026E7712" w:tentative="1">
      <w:start w:val="1"/>
      <w:numFmt w:val="bullet"/>
      <w:lvlText w:val="o"/>
      <w:lvlJc w:val="left"/>
      <w:pPr>
        <w:tabs>
          <w:tab w:val="num" w:pos="1440"/>
        </w:tabs>
        <w:ind w:left="1440" w:hanging="360"/>
      </w:pPr>
      <w:rPr>
        <w:rFonts w:ascii="Courier New" w:hAnsi="Courier New" w:cs="Courier New" w:hint="default"/>
      </w:rPr>
    </w:lvl>
    <w:lvl w:ilvl="2" w:tplc="68C6ED8E" w:tentative="1">
      <w:start w:val="1"/>
      <w:numFmt w:val="bullet"/>
      <w:lvlText w:val=""/>
      <w:lvlJc w:val="left"/>
      <w:pPr>
        <w:tabs>
          <w:tab w:val="num" w:pos="2160"/>
        </w:tabs>
        <w:ind w:left="2160" w:hanging="360"/>
      </w:pPr>
      <w:rPr>
        <w:rFonts w:ascii="Wingdings" w:hAnsi="Wingdings" w:hint="default"/>
      </w:rPr>
    </w:lvl>
    <w:lvl w:ilvl="3" w:tplc="F14A33E8" w:tentative="1">
      <w:start w:val="1"/>
      <w:numFmt w:val="bullet"/>
      <w:lvlText w:val=""/>
      <w:lvlJc w:val="left"/>
      <w:pPr>
        <w:tabs>
          <w:tab w:val="num" w:pos="2880"/>
        </w:tabs>
        <w:ind w:left="2880" w:hanging="360"/>
      </w:pPr>
      <w:rPr>
        <w:rFonts w:ascii="Symbol" w:hAnsi="Symbol" w:hint="default"/>
      </w:rPr>
    </w:lvl>
    <w:lvl w:ilvl="4" w:tplc="B8D092A8" w:tentative="1">
      <w:start w:val="1"/>
      <w:numFmt w:val="bullet"/>
      <w:lvlText w:val="o"/>
      <w:lvlJc w:val="left"/>
      <w:pPr>
        <w:tabs>
          <w:tab w:val="num" w:pos="3600"/>
        </w:tabs>
        <w:ind w:left="3600" w:hanging="360"/>
      </w:pPr>
      <w:rPr>
        <w:rFonts w:ascii="Courier New" w:hAnsi="Courier New" w:cs="Courier New" w:hint="default"/>
      </w:rPr>
    </w:lvl>
    <w:lvl w:ilvl="5" w:tplc="C73490F4" w:tentative="1">
      <w:start w:val="1"/>
      <w:numFmt w:val="bullet"/>
      <w:lvlText w:val=""/>
      <w:lvlJc w:val="left"/>
      <w:pPr>
        <w:tabs>
          <w:tab w:val="num" w:pos="4320"/>
        </w:tabs>
        <w:ind w:left="4320" w:hanging="360"/>
      </w:pPr>
      <w:rPr>
        <w:rFonts w:ascii="Wingdings" w:hAnsi="Wingdings" w:hint="default"/>
      </w:rPr>
    </w:lvl>
    <w:lvl w:ilvl="6" w:tplc="7B5AA412" w:tentative="1">
      <w:start w:val="1"/>
      <w:numFmt w:val="bullet"/>
      <w:lvlText w:val=""/>
      <w:lvlJc w:val="left"/>
      <w:pPr>
        <w:tabs>
          <w:tab w:val="num" w:pos="5040"/>
        </w:tabs>
        <w:ind w:left="5040" w:hanging="360"/>
      </w:pPr>
      <w:rPr>
        <w:rFonts w:ascii="Symbol" w:hAnsi="Symbol" w:hint="default"/>
      </w:rPr>
    </w:lvl>
    <w:lvl w:ilvl="7" w:tplc="B680E7B4" w:tentative="1">
      <w:start w:val="1"/>
      <w:numFmt w:val="bullet"/>
      <w:lvlText w:val="o"/>
      <w:lvlJc w:val="left"/>
      <w:pPr>
        <w:tabs>
          <w:tab w:val="num" w:pos="5760"/>
        </w:tabs>
        <w:ind w:left="5760" w:hanging="360"/>
      </w:pPr>
      <w:rPr>
        <w:rFonts w:ascii="Courier New" w:hAnsi="Courier New" w:cs="Courier New" w:hint="default"/>
      </w:rPr>
    </w:lvl>
    <w:lvl w:ilvl="8" w:tplc="836058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E5380E"/>
    <w:multiLevelType w:val="hybridMultilevel"/>
    <w:tmpl w:val="FE885FDE"/>
    <w:lvl w:ilvl="0" w:tplc="4C20D88E">
      <w:start w:val="1"/>
      <w:numFmt w:val="decimal"/>
      <w:lvlText w:val="%1."/>
      <w:lvlJc w:val="left"/>
      <w:pPr>
        <w:ind w:left="720" w:hanging="360"/>
      </w:pPr>
      <w:rPr>
        <w:rFonts w:ascii="Calibri" w:hAnsi="Calibri" w:cs="Calibri" w:hint="default"/>
        <w:i w:val="0"/>
        <w:iCs w:val="0"/>
        <w:color w:val="000000" w:themeColor="text1"/>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D35C15"/>
    <w:multiLevelType w:val="hybridMultilevel"/>
    <w:tmpl w:val="A8A2E45C"/>
    <w:lvl w:ilvl="0" w:tplc="50A4206E">
      <w:start w:val="1"/>
      <w:numFmt w:val="decimal"/>
      <w:lvlText w:val="%1)"/>
      <w:lvlJc w:val="left"/>
      <w:pPr>
        <w:tabs>
          <w:tab w:val="num" w:pos="340"/>
        </w:tabs>
        <w:ind w:left="340" w:hanging="340"/>
      </w:pPr>
      <w:rPr>
        <w:rFonts w:hint="default"/>
      </w:rPr>
    </w:lvl>
    <w:lvl w:ilvl="1" w:tplc="5C908420" w:tentative="1">
      <w:start w:val="1"/>
      <w:numFmt w:val="lowerLetter"/>
      <w:lvlText w:val="%2."/>
      <w:lvlJc w:val="left"/>
      <w:pPr>
        <w:tabs>
          <w:tab w:val="num" w:pos="1440"/>
        </w:tabs>
        <w:ind w:left="1440" w:hanging="360"/>
      </w:pPr>
    </w:lvl>
    <w:lvl w:ilvl="2" w:tplc="429816A4" w:tentative="1">
      <w:start w:val="1"/>
      <w:numFmt w:val="lowerRoman"/>
      <w:lvlText w:val="%3."/>
      <w:lvlJc w:val="right"/>
      <w:pPr>
        <w:tabs>
          <w:tab w:val="num" w:pos="2160"/>
        </w:tabs>
        <w:ind w:left="2160" w:hanging="180"/>
      </w:pPr>
    </w:lvl>
    <w:lvl w:ilvl="3" w:tplc="EB60481C" w:tentative="1">
      <w:start w:val="1"/>
      <w:numFmt w:val="decimal"/>
      <w:lvlText w:val="%4."/>
      <w:lvlJc w:val="left"/>
      <w:pPr>
        <w:tabs>
          <w:tab w:val="num" w:pos="2880"/>
        </w:tabs>
        <w:ind w:left="2880" w:hanging="360"/>
      </w:pPr>
    </w:lvl>
    <w:lvl w:ilvl="4" w:tplc="E59E93CA" w:tentative="1">
      <w:start w:val="1"/>
      <w:numFmt w:val="lowerLetter"/>
      <w:lvlText w:val="%5."/>
      <w:lvlJc w:val="left"/>
      <w:pPr>
        <w:tabs>
          <w:tab w:val="num" w:pos="3600"/>
        </w:tabs>
        <w:ind w:left="3600" w:hanging="360"/>
      </w:pPr>
    </w:lvl>
    <w:lvl w:ilvl="5" w:tplc="2D661E14" w:tentative="1">
      <w:start w:val="1"/>
      <w:numFmt w:val="lowerRoman"/>
      <w:lvlText w:val="%6."/>
      <w:lvlJc w:val="right"/>
      <w:pPr>
        <w:tabs>
          <w:tab w:val="num" w:pos="4320"/>
        </w:tabs>
        <w:ind w:left="4320" w:hanging="180"/>
      </w:pPr>
    </w:lvl>
    <w:lvl w:ilvl="6" w:tplc="65D86496" w:tentative="1">
      <w:start w:val="1"/>
      <w:numFmt w:val="decimal"/>
      <w:lvlText w:val="%7."/>
      <w:lvlJc w:val="left"/>
      <w:pPr>
        <w:tabs>
          <w:tab w:val="num" w:pos="5040"/>
        </w:tabs>
        <w:ind w:left="5040" w:hanging="360"/>
      </w:pPr>
    </w:lvl>
    <w:lvl w:ilvl="7" w:tplc="649E8DE6" w:tentative="1">
      <w:start w:val="1"/>
      <w:numFmt w:val="lowerLetter"/>
      <w:lvlText w:val="%8."/>
      <w:lvlJc w:val="left"/>
      <w:pPr>
        <w:tabs>
          <w:tab w:val="num" w:pos="5760"/>
        </w:tabs>
        <w:ind w:left="5760" w:hanging="360"/>
      </w:pPr>
    </w:lvl>
    <w:lvl w:ilvl="8" w:tplc="56B84EA6" w:tentative="1">
      <w:start w:val="1"/>
      <w:numFmt w:val="lowerRoman"/>
      <w:lvlText w:val="%9."/>
      <w:lvlJc w:val="right"/>
      <w:pPr>
        <w:tabs>
          <w:tab w:val="num" w:pos="6480"/>
        </w:tabs>
        <w:ind w:left="6480" w:hanging="180"/>
      </w:pPr>
    </w:lvl>
  </w:abstractNum>
  <w:abstractNum w:abstractNumId="15" w15:restartNumberingAfterBreak="0">
    <w:nsid w:val="592D6755"/>
    <w:multiLevelType w:val="hybridMultilevel"/>
    <w:tmpl w:val="DB8E9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7EC4C964">
      <w:start w:val="1"/>
      <w:numFmt w:val="decimal"/>
      <w:lvlText w:val="%1."/>
      <w:lvlJc w:val="left"/>
      <w:pPr>
        <w:tabs>
          <w:tab w:val="num" w:pos="1057"/>
        </w:tabs>
        <w:ind w:left="1057" w:hanging="360"/>
      </w:pPr>
      <w:rPr>
        <w:rFonts w:hint="default"/>
      </w:rPr>
    </w:lvl>
    <w:lvl w:ilvl="1" w:tplc="C03080A2" w:tentative="1">
      <w:start w:val="1"/>
      <w:numFmt w:val="lowerLetter"/>
      <w:lvlText w:val="%2."/>
      <w:lvlJc w:val="left"/>
      <w:pPr>
        <w:tabs>
          <w:tab w:val="num" w:pos="2137"/>
        </w:tabs>
        <w:ind w:left="2137" w:hanging="360"/>
      </w:pPr>
    </w:lvl>
    <w:lvl w:ilvl="2" w:tplc="3B242422" w:tentative="1">
      <w:start w:val="1"/>
      <w:numFmt w:val="lowerRoman"/>
      <w:lvlText w:val="%3."/>
      <w:lvlJc w:val="right"/>
      <w:pPr>
        <w:tabs>
          <w:tab w:val="num" w:pos="2857"/>
        </w:tabs>
        <w:ind w:left="2857" w:hanging="180"/>
      </w:pPr>
    </w:lvl>
    <w:lvl w:ilvl="3" w:tplc="90F6AB34" w:tentative="1">
      <w:start w:val="1"/>
      <w:numFmt w:val="decimal"/>
      <w:lvlText w:val="%4."/>
      <w:lvlJc w:val="left"/>
      <w:pPr>
        <w:tabs>
          <w:tab w:val="num" w:pos="3577"/>
        </w:tabs>
        <w:ind w:left="3577" w:hanging="360"/>
      </w:pPr>
    </w:lvl>
    <w:lvl w:ilvl="4" w:tplc="8B50FDB0" w:tentative="1">
      <w:start w:val="1"/>
      <w:numFmt w:val="lowerLetter"/>
      <w:lvlText w:val="%5."/>
      <w:lvlJc w:val="left"/>
      <w:pPr>
        <w:tabs>
          <w:tab w:val="num" w:pos="4297"/>
        </w:tabs>
        <w:ind w:left="4297" w:hanging="360"/>
      </w:pPr>
    </w:lvl>
    <w:lvl w:ilvl="5" w:tplc="120A7810" w:tentative="1">
      <w:start w:val="1"/>
      <w:numFmt w:val="lowerRoman"/>
      <w:lvlText w:val="%6."/>
      <w:lvlJc w:val="right"/>
      <w:pPr>
        <w:tabs>
          <w:tab w:val="num" w:pos="5017"/>
        </w:tabs>
        <w:ind w:left="5017" w:hanging="180"/>
      </w:pPr>
    </w:lvl>
    <w:lvl w:ilvl="6" w:tplc="6ED69314" w:tentative="1">
      <w:start w:val="1"/>
      <w:numFmt w:val="decimal"/>
      <w:lvlText w:val="%7."/>
      <w:lvlJc w:val="left"/>
      <w:pPr>
        <w:tabs>
          <w:tab w:val="num" w:pos="5737"/>
        </w:tabs>
        <w:ind w:left="5737" w:hanging="360"/>
      </w:pPr>
    </w:lvl>
    <w:lvl w:ilvl="7" w:tplc="F1CEF4EE" w:tentative="1">
      <w:start w:val="1"/>
      <w:numFmt w:val="lowerLetter"/>
      <w:lvlText w:val="%8."/>
      <w:lvlJc w:val="left"/>
      <w:pPr>
        <w:tabs>
          <w:tab w:val="num" w:pos="6457"/>
        </w:tabs>
        <w:ind w:left="6457" w:hanging="360"/>
      </w:pPr>
    </w:lvl>
    <w:lvl w:ilvl="8" w:tplc="1540B054"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07B28D94">
      <w:start w:val="1"/>
      <w:numFmt w:val="decimal"/>
      <w:pStyle w:val="ATSNumber1"/>
      <w:lvlText w:val="%1)"/>
      <w:lvlJc w:val="left"/>
      <w:pPr>
        <w:tabs>
          <w:tab w:val="num" w:pos="720"/>
        </w:tabs>
        <w:ind w:left="720" w:hanging="360"/>
      </w:pPr>
    </w:lvl>
    <w:lvl w:ilvl="1" w:tplc="FCD079C8" w:tentative="1">
      <w:start w:val="1"/>
      <w:numFmt w:val="lowerLetter"/>
      <w:lvlText w:val="%2."/>
      <w:lvlJc w:val="left"/>
      <w:pPr>
        <w:tabs>
          <w:tab w:val="num" w:pos="1440"/>
        </w:tabs>
        <w:ind w:left="1440" w:hanging="360"/>
      </w:pPr>
    </w:lvl>
    <w:lvl w:ilvl="2" w:tplc="84984470" w:tentative="1">
      <w:start w:val="1"/>
      <w:numFmt w:val="lowerRoman"/>
      <w:lvlText w:val="%3."/>
      <w:lvlJc w:val="right"/>
      <w:pPr>
        <w:tabs>
          <w:tab w:val="num" w:pos="2160"/>
        </w:tabs>
        <w:ind w:left="2160" w:hanging="180"/>
      </w:pPr>
    </w:lvl>
    <w:lvl w:ilvl="3" w:tplc="DB886FEE" w:tentative="1">
      <w:start w:val="1"/>
      <w:numFmt w:val="decimal"/>
      <w:lvlText w:val="%4."/>
      <w:lvlJc w:val="left"/>
      <w:pPr>
        <w:tabs>
          <w:tab w:val="num" w:pos="2880"/>
        </w:tabs>
        <w:ind w:left="2880" w:hanging="360"/>
      </w:pPr>
    </w:lvl>
    <w:lvl w:ilvl="4" w:tplc="8B72F910" w:tentative="1">
      <w:start w:val="1"/>
      <w:numFmt w:val="lowerLetter"/>
      <w:lvlText w:val="%5."/>
      <w:lvlJc w:val="left"/>
      <w:pPr>
        <w:tabs>
          <w:tab w:val="num" w:pos="3600"/>
        </w:tabs>
        <w:ind w:left="3600" w:hanging="360"/>
      </w:pPr>
    </w:lvl>
    <w:lvl w:ilvl="5" w:tplc="9E665DFA" w:tentative="1">
      <w:start w:val="1"/>
      <w:numFmt w:val="lowerRoman"/>
      <w:lvlText w:val="%6."/>
      <w:lvlJc w:val="right"/>
      <w:pPr>
        <w:tabs>
          <w:tab w:val="num" w:pos="4320"/>
        </w:tabs>
        <w:ind w:left="4320" w:hanging="180"/>
      </w:pPr>
    </w:lvl>
    <w:lvl w:ilvl="6" w:tplc="B8AAC898" w:tentative="1">
      <w:start w:val="1"/>
      <w:numFmt w:val="decimal"/>
      <w:lvlText w:val="%7."/>
      <w:lvlJc w:val="left"/>
      <w:pPr>
        <w:tabs>
          <w:tab w:val="num" w:pos="5040"/>
        </w:tabs>
        <w:ind w:left="5040" w:hanging="360"/>
      </w:pPr>
    </w:lvl>
    <w:lvl w:ilvl="7" w:tplc="E6CCCC8E" w:tentative="1">
      <w:start w:val="1"/>
      <w:numFmt w:val="lowerLetter"/>
      <w:lvlText w:val="%8."/>
      <w:lvlJc w:val="left"/>
      <w:pPr>
        <w:tabs>
          <w:tab w:val="num" w:pos="5760"/>
        </w:tabs>
        <w:ind w:left="5760" w:hanging="360"/>
      </w:pPr>
    </w:lvl>
    <w:lvl w:ilvl="8" w:tplc="E7147FE2"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6B38A6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FFC6FAE" w:tentative="1">
      <w:start w:val="1"/>
      <w:numFmt w:val="bullet"/>
      <w:lvlText w:val="o"/>
      <w:lvlJc w:val="left"/>
      <w:pPr>
        <w:tabs>
          <w:tab w:val="num" w:pos="2517"/>
        </w:tabs>
        <w:ind w:left="2517" w:hanging="360"/>
      </w:pPr>
      <w:rPr>
        <w:rFonts w:ascii="Courier New" w:hAnsi="Courier New" w:cs="Courier New" w:hint="default"/>
      </w:rPr>
    </w:lvl>
    <w:lvl w:ilvl="2" w:tplc="FFA4FDB2" w:tentative="1">
      <w:start w:val="1"/>
      <w:numFmt w:val="bullet"/>
      <w:lvlText w:val=""/>
      <w:lvlJc w:val="left"/>
      <w:pPr>
        <w:tabs>
          <w:tab w:val="num" w:pos="3237"/>
        </w:tabs>
        <w:ind w:left="3237" w:hanging="360"/>
      </w:pPr>
      <w:rPr>
        <w:rFonts w:ascii="Wingdings" w:hAnsi="Wingdings" w:hint="default"/>
      </w:rPr>
    </w:lvl>
    <w:lvl w:ilvl="3" w:tplc="1C066F3E" w:tentative="1">
      <w:start w:val="1"/>
      <w:numFmt w:val="bullet"/>
      <w:lvlText w:val=""/>
      <w:lvlJc w:val="left"/>
      <w:pPr>
        <w:tabs>
          <w:tab w:val="num" w:pos="3957"/>
        </w:tabs>
        <w:ind w:left="3957" w:hanging="360"/>
      </w:pPr>
      <w:rPr>
        <w:rFonts w:ascii="Symbol" w:hAnsi="Symbol" w:hint="default"/>
      </w:rPr>
    </w:lvl>
    <w:lvl w:ilvl="4" w:tplc="27007056" w:tentative="1">
      <w:start w:val="1"/>
      <w:numFmt w:val="bullet"/>
      <w:lvlText w:val="o"/>
      <w:lvlJc w:val="left"/>
      <w:pPr>
        <w:tabs>
          <w:tab w:val="num" w:pos="4677"/>
        </w:tabs>
        <w:ind w:left="4677" w:hanging="360"/>
      </w:pPr>
      <w:rPr>
        <w:rFonts w:ascii="Courier New" w:hAnsi="Courier New" w:cs="Courier New" w:hint="default"/>
      </w:rPr>
    </w:lvl>
    <w:lvl w:ilvl="5" w:tplc="1BAABDC6" w:tentative="1">
      <w:start w:val="1"/>
      <w:numFmt w:val="bullet"/>
      <w:lvlText w:val=""/>
      <w:lvlJc w:val="left"/>
      <w:pPr>
        <w:tabs>
          <w:tab w:val="num" w:pos="5397"/>
        </w:tabs>
        <w:ind w:left="5397" w:hanging="360"/>
      </w:pPr>
      <w:rPr>
        <w:rFonts w:ascii="Wingdings" w:hAnsi="Wingdings" w:hint="default"/>
      </w:rPr>
    </w:lvl>
    <w:lvl w:ilvl="6" w:tplc="C5527952" w:tentative="1">
      <w:start w:val="1"/>
      <w:numFmt w:val="bullet"/>
      <w:lvlText w:val=""/>
      <w:lvlJc w:val="left"/>
      <w:pPr>
        <w:tabs>
          <w:tab w:val="num" w:pos="6117"/>
        </w:tabs>
        <w:ind w:left="6117" w:hanging="360"/>
      </w:pPr>
      <w:rPr>
        <w:rFonts w:ascii="Symbol" w:hAnsi="Symbol" w:hint="default"/>
      </w:rPr>
    </w:lvl>
    <w:lvl w:ilvl="7" w:tplc="AD786792" w:tentative="1">
      <w:start w:val="1"/>
      <w:numFmt w:val="bullet"/>
      <w:lvlText w:val="o"/>
      <w:lvlJc w:val="left"/>
      <w:pPr>
        <w:tabs>
          <w:tab w:val="num" w:pos="6837"/>
        </w:tabs>
        <w:ind w:left="6837" w:hanging="360"/>
      </w:pPr>
      <w:rPr>
        <w:rFonts w:ascii="Courier New" w:hAnsi="Courier New" w:cs="Courier New" w:hint="default"/>
      </w:rPr>
    </w:lvl>
    <w:lvl w:ilvl="8" w:tplc="BAF041EC"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20D608EE">
      <w:start w:val="1"/>
      <w:numFmt w:val="decimal"/>
      <w:pStyle w:val="ATSNumber2"/>
      <w:lvlText w:val="%1."/>
      <w:lvlJc w:val="left"/>
      <w:pPr>
        <w:tabs>
          <w:tab w:val="num" w:pos="720"/>
        </w:tabs>
        <w:ind w:left="720" w:hanging="360"/>
      </w:pPr>
      <w:rPr>
        <w:rFonts w:hint="default"/>
      </w:rPr>
    </w:lvl>
    <w:lvl w:ilvl="1" w:tplc="D032858A" w:tentative="1">
      <w:start w:val="1"/>
      <w:numFmt w:val="lowerLetter"/>
      <w:lvlText w:val="%2."/>
      <w:lvlJc w:val="left"/>
      <w:pPr>
        <w:tabs>
          <w:tab w:val="num" w:pos="1440"/>
        </w:tabs>
        <w:ind w:left="1440" w:hanging="360"/>
      </w:pPr>
    </w:lvl>
    <w:lvl w:ilvl="2" w:tplc="A628D972" w:tentative="1">
      <w:start w:val="1"/>
      <w:numFmt w:val="lowerRoman"/>
      <w:lvlText w:val="%3."/>
      <w:lvlJc w:val="right"/>
      <w:pPr>
        <w:tabs>
          <w:tab w:val="num" w:pos="2160"/>
        </w:tabs>
        <w:ind w:left="2160" w:hanging="180"/>
      </w:pPr>
    </w:lvl>
    <w:lvl w:ilvl="3" w:tplc="937A469A" w:tentative="1">
      <w:start w:val="1"/>
      <w:numFmt w:val="decimal"/>
      <w:lvlText w:val="%4."/>
      <w:lvlJc w:val="left"/>
      <w:pPr>
        <w:tabs>
          <w:tab w:val="num" w:pos="2880"/>
        </w:tabs>
        <w:ind w:left="2880" w:hanging="360"/>
      </w:pPr>
    </w:lvl>
    <w:lvl w:ilvl="4" w:tplc="E0CC7806" w:tentative="1">
      <w:start w:val="1"/>
      <w:numFmt w:val="lowerLetter"/>
      <w:lvlText w:val="%5."/>
      <w:lvlJc w:val="left"/>
      <w:pPr>
        <w:tabs>
          <w:tab w:val="num" w:pos="3600"/>
        </w:tabs>
        <w:ind w:left="3600" w:hanging="360"/>
      </w:pPr>
    </w:lvl>
    <w:lvl w:ilvl="5" w:tplc="E634FFE8" w:tentative="1">
      <w:start w:val="1"/>
      <w:numFmt w:val="lowerRoman"/>
      <w:lvlText w:val="%6."/>
      <w:lvlJc w:val="right"/>
      <w:pPr>
        <w:tabs>
          <w:tab w:val="num" w:pos="4320"/>
        </w:tabs>
        <w:ind w:left="4320" w:hanging="180"/>
      </w:pPr>
    </w:lvl>
    <w:lvl w:ilvl="6" w:tplc="FA681778" w:tentative="1">
      <w:start w:val="1"/>
      <w:numFmt w:val="decimal"/>
      <w:lvlText w:val="%7."/>
      <w:lvlJc w:val="left"/>
      <w:pPr>
        <w:tabs>
          <w:tab w:val="num" w:pos="5040"/>
        </w:tabs>
        <w:ind w:left="5040" w:hanging="360"/>
      </w:pPr>
    </w:lvl>
    <w:lvl w:ilvl="7" w:tplc="AF587912" w:tentative="1">
      <w:start w:val="1"/>
      <w:numFmt w:val="lowerLetter"/>
      <w:lvlText w:val="%8."/>
      <w:lvlJc w:val="left"/>
      <w:pPr>
        <w:tabs>
          <w:tab w:val="num" w:pos="5760"/>
        </w:tabs>
        <w:ind w:left="5760" w:hanging="360"/>
      </w:pPr>
    </w:lvl>
    <w:lvl w:ilvl="8" w:tplc="2612FBC6" w:tentative="1">
      <w:start w:val="1"/>
      <w:numFmt w:val="lowerRoman"/>
      <w:lvlText w:val="%9."/>
      <w:lvlJc w:val="right"/>
      <w:pPr>
        <w:tabs>
          <w:tab w:val="num" w:pos="6480"/>
        </w:tabs>
        <w:ind w:left="6480" w:hanging="180"/>
      </w:pPr>
    </w:lvl>
  </w:abstractNum>
  <w:num w:numId="1" w16cid:durableId="106051094">
    <w:abstractNumId w:val="9"/>
  </w:num>
  <w:num w:numId="2" w16cid:durableId="883714767">
    <w:abstractNumId w:val="7"/>
  </w:num>
  <w:num w:numId="3" w16cid:durableId="351492751">
    <w:abstractNumId w:val="6"/>
  </w:num>
  <w:num w:numId="4" w16cid:durableId="1573078242">
    <w:abstractNumId w:val="5"/>
  </w:num>
  <w:num w:numId="5" w16cid:durableId="1009328876">
    <w:abstractNumId w:val="4"/>
  </w:num>
  <w:num w:numId="6" w16cid:durableId="580412319">
    <w:abstractNumId w:val="8"/>
  </w:num>
  <w:num w:numId="7" w16cid:durableId="1858344504">
    <w:abstractNumId w:val="3"/>
  </w:num>
  <w:num w:numId="8" w16cid:durableId="1345595338">
    <w:abstractNumId w:val="2"/>
  </w:num>
  <w:num w:numId="9" w16cid:durableId="174618666">
    <w:abstractNumId w:val="1"/>
  </w:num>
  <w:num w:numId="10" w16cid:durableId="214704991">
    <w:abstractNumId w:val="0"/>
  </w:num>
  <w:num w:numId="11" w16cid:durableId="1680547385">
    <w:abstractNumId w:val="12"/>
  </w:num>
  <w:num w:numId="12" w16cid:durableId="362899705">
    <w:abstractNumId w:val="18"/>
  </w:num>
  <w:num w:numId="13" w16cid:durableId="1878883324">
    <w:abstractNumId w:val="17"/>
  </w:num>
  <w:num w:numId="14" w16cid:durableId="804202896">
    <w:abstractNumId w:val="14"/>
  </w:num>
  <w:num w:numId="15" w16cid:durableId="1810827989">
    <w:abstractNumId w:val="16"/>
  </w:num>
  <w:num w:numId="16" w16cid:durableId="1882208712">
    <w:abstractNumId w:val="11"/>
  </w:num>
  <w:num w:numId="17" w16cid:durableId="1956591146">
    <w:abstractNumId w:val="12"/>
  </w:num>
  <w:num w:numId="18" w16cid:durableId="1809938504">
    <w:abstractNumId w:val="18"/>
  </w:num>
  <w:num w:numId="19" w16cid:durableId="916980444">
    <w:abstractNumId w:val="17"/>
  </w:num>
  <w:num w:numId="20" w16cid:durableId="1724524763">
    <w:abstractNumId w:val="19"/>
  </w:num>
  <w:num w:numId="21" w16cid:durableId="1743987547">
    <w:abstractNumId w:val="15"/>
  </w:num>
  <w:num w:numId="22" w16cid:durableId="169029030">
    <w:abstractNumId w:val="10"/>
  </w:num>
  <w:num w:numId="23" w16cid:durableId="1981422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CF"/>
    <w:rsid w:val="005D1F81"/>
    <w:rsid w:val="007015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8D779"/>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qFormat="1"/>
    <w:lsdException w:name="caption" w:semiHidden="1" w:unhideWhenUsed="1" w:qFormat="1"/>
    <w:lsdException w:name="Hyperlink" w:uiPriority="99"/>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qFormat/>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D1F81"/>
    <w:rPr>
      <w:rFonts w:ascii="Arial" w:hAnsi="Arial"/>
      <w:b/>
      <w:i/>
      <w:sz w:val="24"/>
      <w:szCs w:val="22"/>
      <w:lang w:val="en-GB" w:eastAsia="en-GB"/>
    </w:rPr>
  </w:style>
  <w:style w:type="character" w:customStyle="1" w:styleId="Ttulo3Car">
    <w:name w:val="Título 3 Car"/>
    <w:basedOn w:val="Fuentedeprrafopredeter"/>
    <w:link w:val="Ttulo3"/>
    <w:rsid w:val="005D1F81"/>
    <w:rPr>
      <w:rFonts w:eastAsia="SimSun"/>
      <w:b/>
      <w:sz w:val="24"/>
      <w:lang w:val="en-GB" w:eastAsia="zh-CN"/>
    </w:rPr>
  </w:style>
  <w:style w:type="character" w:customStyle="1" w:styleId="ATSNormalChar">
    <w:name w:val="ATS Normal Char"/>
    <w:link w:val="ATSNormal"/>
    <w:locked/>
    <w:rsid w:val="005D1F81"/>
    <w:rPr>
      <w:sz w:val="22"/>
      <w:szCs w:val="24"/>
      <w:lang w:val="en-GB" w:eastAsia="en-GB"/>
    </w:rPr>
  </w:style>
  <w:style w:type="character" w:customStyle="1" w:styleId="apple-converted-space">
    <w:name w:val="apple-converted-space"/>
    <w:basedOn w:val="Fuentedeprrafopredeter"/>
    <w:rsid w:val="005D1F81"/>
  </w:style>
  <w:style w:type="paragraph" w:customStyle="1" w:styleId="Default">
    <w:name w:val="Default"/>
    <w:rsid w:val="005D1F81"/>
    <w:pPr>
      <w:autoSpaceDE w:val="0"/>
      <w:autoSpaceDN w:val="0"/>
      <w:adjustRightInd w:val="0"/>
    </w:pPr>
    <w:rPr>
      <w:rFonts w:ascii="Charis SIL" w:eastAsiaTheme="minorHAnsi" w:hAnsi="Charis SIL" w:cs="Charis SIL"/>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38/s41467-021-25235-w" TargetMode="External"/><Relationship Id="rId18" Type="http://schemas.openxmlformats.org/officeDocument/2006/relationships/hyperlink" Target="https://doi.org/10.1038/ngeo755"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038/s41598-021-04231-6" TargetMode="External"/><Relationship Id="rId17" Type="http://schemas.openxmlformats.org/officeDocument/2006/relationships/hyperlink" Target="https://doi.org/10.1126/science.abe9039" TargetMode="External"/><Relationship Id="rId2" Type="http://schemas.openxmlformats.org/officeDocument/2006/relationships/numbering" Target="numbering.xml"/><Relationship Id="rId16" Type="http://schemas.openxmlformats.org/officeDocument/2006/relationships/hyperlink" Target="https://doi.org/10.1126/science.aac472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e9039" TargetMode="External"/><Relationship Id="rId5" Type="http://schemas.openxmlformats.org/officeDocument/2006/relationships/webSettings" Target="webSettings.xml"/><Relationship Id="rId15" Type="http://schemas.openxmlformats.org/officeDocument/2006/relationships/hyperlink" Target="https://doi.org/10.1126/science.1208277"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01/2022.06.30.4983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38/498429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2216</Words>
  <Characters>13388</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2023-05-03T11:53:00Z</dcterms:modified>
</cp:coreProperties>
</file>