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FE03" w14:textId="77777777" w:rsidR="00C26F2D" w:rsidRPr="00BF077B" w:rsidRDefault="002A6106" w:rsidP="00BF077B">
      <w:pPr>
        <w:pStyle w:val="ATSNormal"/>
        <w:rPr>
          <w:rStyle w:val="Ttulodellibro"/>
        </w:rPr>
      </w:pPr>
    </w:p>
    <w:p w14:paraId="4B5975DB" w14:textId="77777777" w:rsidR="002F0A13" w:rsidRDefault="002A6106" w:rsidP="004B4A60">
      <w:pPr>
        <w:rPr>
          <w:b/>
          <w:u w:val="single"/>
          <w:lang w:val="es-ES_tradnl"/>
        </w:rPr>
      </w:pPr>
    </w:p>
    <w:p w14:paraId="420B3850" w14:textId="77777777" w:rsidR="002F0A13" w:rsidRDefault="002A6106" w:rsidP="004B4A60">
      <w:pPr>
        <w:rPr>
          <w:b/>
          <w:u w:val="single"/>
          <w:lang w:val="es-ES_tradnl"/>
        </w:rPr>
      </w:pPr>
    </w:p>
    <w:p w14:paraId="437C222A" w14:textId="77777777" w:rsidR="002F0A13" w:rsidRDefault="002A6106" w:rsidP="004B4A60">
      <w:pPr>
        <w:rPr>
          <w:b/>
          <w:u w:val="single"/>
          <w:lang w:val="es-ES_tradnl"/>
        </w:rPr>
      </w:pPr>
    </w:p>
    <w:p w14:paraId="0C377B94" w14:textId="77777777" w:rsidR="002F0A13" w:rsidRDefault="002A6106" w:rsidP="004B4A60">
      <w:pPr>
        <w:rPr>
          <w:b/>
          <w:u w:val="single"/>
          <w:lang w:val="es-ES_tradnl"/>
        </w:rPr>
      </w:pPr>
    </w:p>
    <w:p w14:paraId="478C99D5" w14:textId="77777777" w:rsidR="00C26F2D" w:rsidRDefault="002A6106" w:rsidP="004B4A60">
      <w:pPr>
        <w:rPr>
          <w:b/>
          <w:u w:val="single"/>
          <w:lang w:val="es-ES_tradnl"/>
        </w:rPr>
      </w:pPr>
    </w:p>
    <w:p w14:paraId="77F65BA3" w14:textId="77777777" w:rsidR="004B4A60" w:rsidRPr="0057246E" w:rsidRDefault="00D41482" w:rsidP="001B789F">
      <w:pPr>
        <w:pStyle w:val="ATSTitle"/>
      </w:pPr>
      <w:bookmarkStart w:id="0" w:name="name"/>
      <w:r>
        <w:t>ASOC update on marine protected areas in the Southern Ocean 2019-2023</w:t>
      </w:r>
      <w:bookmarkEnd w:id="0"/>
    </w:p>
    <w:p w14:paraId="4126858F" w14:textId="77777777" w:rsidR="004B4A60" w:rsidRPr="0057246E" w:rsidRDefault="002A6106" w:rsidP="00F75424">
      <w:pPr>
        <w:jc w:val="center"/>
      </w:pPr>
    </w:p>
    <w:p w14:paraId="7DDE96D6" w14:textId="77777777" w:rsidR="004B4A60" w:rsidRPr="002F0A13" w:rsidRDefault="002A6106" w:rsidP="002F0A13"/>
    <w:p w14:paraId="5F4D926A" w14:textId="77777777" w:rsidR="004B4A60" w:rsidRDefault="002A6106" w:rsidP="00F75424">
      <w:pPr>
        <w:jc w:val="center"/>
      </w:pPr>
      <w:bookmarkStart w:id="1" w:name="memo"/>
      <w:bookmarkEnd w:id="1"/>
    </w:p>
    <w:p w14:paraId="3DF6E452" w14:textId="77777777" w:rsidR="0097629D" w:rsidRDefault="002A6106" w:rsidP="00F75424">
      <w:pPr>
        <w:jc w:val="center"/>
      </w:pPr>
    </w:p>
    <w:p w14:paraId="43A1E246" w14:textId="77777777" w:rsidR="0097629D" w:rsidRDefault="002A6106" w:rsidP="00F75424">
      <w:pPr>
        <w:jc w:val="center"/>
      </w:pPr>
    </w:p>
    <w:p w14:paraId="34727205" w14:textId="77777777" w:rsidR="0097629D" w:rsidRDefault="002A6106" w:rsidP="00F75424">
      <w:pPr>
        <w:jc w:val="center"/>
      </w:pPr>
    </w:p>
    <w:p w14:paraId="258CF472" w14:textId="77777777" w:rsidR="0097629D" w:rsidRPr="00C26F2D" w:rsidRDefault="002A6106" w:rsidP="00F75424">
      <w:pPr>
        <w:jc w:val="center"/>
      </w:pPr>
    </w:p>
    <w:p w14:paraId="2B8A8FF5" w14:textId="77777777" w:rsidR="004B4A60" w:rsidRPr="0057246E" w:rsidRDefault="002A6106" w:rsidP="004B4A60"/>
    <w:p w14:paraId="7DC17BF9" w14:textId="77777777" w:rsidR="00C26F2D" w:rsidRDefault="002A610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2BDF4B9" w14:textId="77777777" w:rsidR="004B4A60" w:rsidRDefault="002A6106" w:rsidP="00952E9F"/>
    <w:p w14:paraId="4A617D5C" w14:textId="77777777" w:rsidR="00D41482" w:rsidRPr="00395592" w:rsidRDefault="00D41482" w:rsidP="00D41482">
      <w:pPr>
        <w:pStyle w:val="ATSHeading1"/>
        <w:rPr>
          <w:lang w:val="en-NZ"/>
        </w:rPr>
      </w:pPr>
      <w:r w:rsidRPr="00395592">
        <w:rPr>
          <w:lang w:val="en-NZ"/>
        </w:rPr>
        <w:t xml:space="preserve">ASOC update on </w:t>
      </w:r>
      <w:r>
        <w:rPr>
          <w:lang w:val="en-NZ"/>
        </w:rPr>
        <w:t>m</w:t>
      </w:r>
      <w:r w:rsidRPr="00395592">
        <w:rPr>
          <w:lang w:val="en-NZ"/>
        </w:rPr>
        <w:t xml:space="preserve">arine </w:t>
      </w:r>
      <w:r>
        <w:rPr>
          <w:lang w:val="en-NZ"/>
        </w:rPr>
        <w:t>p</w:t>
      </w:r>
      <w:r w:rsidRPr="00395592">
        <w:rPr>
          <w:lang w:val="en-NZ"/>
        </w:rPr>
        <w:t xml:space="preserve">rotected </w:t>
      </w:r>
      <w:r>
        <w:rPr>
          <w:lang w:val="en-NZ"/>
        </w:rPr>
        <w:t>a</w:t>
      </w:r>
      <w:r w:rsidRPr="00395592">
        <w:rPr>
          <w:lang w:val="en-NZ"/>
        </w:rPr>
        <w:t>reas in the Southern Ocean 2019-2023</w:t>
      </w:r>
    </w:p>
    <w:p w14:paraId="1913161E" w14:textId="77777777" w:rsidR="00D41482" w:rsidRPr="00395592" w:rsidRDefault="00D41482" w:rsidP="00D41482">
      <w:pPr>
        <w:pStyle w:val="ATSHeading2"/>
        <w:jc w:val="center"/>
        <w:rPr>
          <w:rFonts w:ascii="Times New Roman" w:hAnsi="Times New Roman"/>
          <w:i w:val="0"/>
          <w:sz w:val="22"/>
          <w:lang w:val="en-NZ"/>
        </w:rPr>
      </w:pPr>
      <w:r w:rsidRPr="00395592">
        <w:rPr>
          <w:rFonts w:ascii="Times New Roman" w:hAnsi="Times New Roman"/>
          <w:i w:val="0"/>
          <w:sz w:val="22"/>
          <w:lang w:val="en-NZ"/>
        </w:rPr>
        <w:t xml:space="preserve">Information Paper submitted by </w:t>
      </w:r>
      <w:proofErr w:type="gramStart"/>
      <w:r w:rsidRPr="00395592">
        <w:rPr>
          <w:rFonts w:ascii="Times New Roman" w:hAnsi="Times New Roman"/>
          <w:i w:val="0"/>
          <w:sz w:val="22"/>
          <w:lang w:val="en-NZ"/>
        </w:rPr>
        <w:t>ASOC</w:t>
      </w:r>
      <w:proofErr w:type="gramEnd"/>
    </w:p>
    <w:p w14:paraId="0C44370C" w14:textId="77777777" w:rsidR="00D41482" w:rsidRPr="00395592" w:rsidRDefault="00D41482" w:rsidP="00D41482">
      <w:pPr>
        <w:pStyle w:val="ATSHeading2"/>
        <w:rPr>
          <w:lang w:val="en-NZ"/>
        </w:rPr>
      </w:pPr>
      <w:r w:rsidRPr="00395592">
        <w:rPr>
          <w:lang w:val="en-NZ"/>
        </w:rPr>
        <w:t>Summary</w:t>
      </w:r>
    </w:p>
    <w:p w14:paraId="3000790A" w14:textId="77777777" w:rsidR="00D41482" w:rsidRPr="00395592" w:rsidRDefault="00D41482" w:rsidP="00D41482">
      <w:pPr>
        <w:rPr>
          <w:szCs w:val="22"/>
          <w:lang w:val="en-NZ"/>
        </w:rPr>
      </w:pPr>
      <w:r>
        <w:rPr>
          <w:lang w:val="en-NZ"/>
        </w:rPr>
        <w:t>M</w:t>
      </w:r>
      <w:r w:rsidRPr="00395592">
        <w:rPr>
          <w:lang w:val="en-NZ"/>
        </w:rPr>
        <w:t xml:space="preserve">arine protection is a </w:t>
      </w:r>
      <w:proofErr w:type="gramStart"/>
      <w:r w:rsidRPr="00395592">
        <w:rPr>
          <w:lang w:val="en-NZ"/>
        </w:rPr>
        <w:t>high profile</w:t>
      </w:r>
      <w:proofErr w:type="gramEnd"/>
      <w:r>
        <w:rPr>
          <w:lang w:val="en-NZ"/>
        </w:rPr>
        <w:t xml:space="preserve"> </w:t>
      </w:r>
      <w:r w:rsidRPr="00395592">
        <w:rPr>
          <w:lang w:val="en-NZ"/>
        </w:rPr>
        <w:t>issue globally, and</w:t>
      </w:r>
      <w:r>
        <w:rPr>
          <w:lang w:val="en-NZ"/>
        </w:rPr>
        <w:t xml:space="preserve"> </w:t>
      </w:r>
      <w:r w:rsidRPr="00395592">
        <w:rPr>
          <w:lang w:val="en-NZ"/>
        </w:rPr>
        <w:t xml:space="preserve">discussions on CCAMLR MPAs shape international perceptions of the </w:t>
      </w:r>
      <w:r>
        <w:rPr>
          <w:lang w:val="en-NZ"/>
        </w:rPr>
        <w:t>Antarctic Treaty System</w:t>
      </w:r>
      <w:r w:rsidRPr="00395592">
        <w:rPr>
          <w:lang w:val="en-NZ"/>
        </w:rPr>
        <w:t xml:space="preserve"> as a whole.</w:t>
      </w:r>
      <w:r>
        <w:rPr>
          <w:lang w:val="en-NZ"/>
        </w:rPr>
        <w:t xml:space="preserve"> Outside the ATS there is a growing international agreement that MPAs are an essential tool for preserving ocean biodiversity. </w:t>
      </w:r>
      <w:r w:rsidRPr="00395592">
        <w:rPr>
          <w:lang w:val="en-NZ"/>
        </w:rPr>
        <w:t>In this document, ASOC provides an update on MPA discussions since ATCM XLI (Prague, 2019</w:t>
      </w:r>
      <w:r>
        <w:rPr>
          <w:lang w:val="en-NZ"/>
        </w:rPr>
        <w:t>). N</w:t>
      </w:r>
      <w:r w:rsidRPr="00395592">
        <w:rPr>
          <w:lang w:val="en-NZ"/>
        </w:rPr>
        <w:t xml:space="preserve">o new MPAs were adopted </w:t>
      </w:r>
      <w:r>
        <w:rPr>
          <w:lang w:val="en-NZ"/>
        </w:rPr>
        <w:t>since then, however there have been positive developments including a growing number of MPA co-proponents, further work in existing and future MPA proposals, and a significant expansion of the scientific literature related to CCAMLR MPAs. The document also highlights aspects of MPA development that are of particular significance for the ATCM/CEP including with respect to protected areas, specially protected species, tourism, and climate change.</w:t>
      </w:r>
      <w:r w:rsidRPr="00C21AC2">
        <w:rPr>
          <w:lang w:val="en-NZ"/>
        </w:rPr>
        <w:t xml:space="preserve"> </w:t>
      </w:r>
      <w:r w:rsidRPr="00395592">
        <w:rPr>
          <w:szCs w:val="22"/>
          <w:lang w:val="en-NZ"/>
        </w:rPr>
        <w:t>In this context, ASOC:</w:t>
      </w:r>
    </w:p>
    <w:p w14:paraId="1D303885" w14:textId="77777777" w:rsidR="00D41482" w:rsidRPr="00C21AC2" w:rsidRDefault="00D41482" w:rsidP="00D41482">
      <w:pPr>
        <w:numPr>
          <w:ilvl w:val="0"/>
          <w:numId w:val="21"/>
        </w:numPr>
        <w:jc w:val="both"/>
        <w:rPr>
          <w:lang w:val="en-NZ"/>
        </w:rPr>
      </w:pPr>
      <w:r w:rsidRPr="00C21AC2">
        <w:rPr>
          <w:szCs w:val="22"/>
          <w:lang w:val="en-NZ"/>
        </w:rPr>
        <w:t>E</w:t>
      </w:r>
      <w:r w:rsidRPr="00C21AC2">
        <w:rPr>
          <w:lang w:val="en-NZ"/>
        </w:rPr>
        <w:t>ncourages all ATCPs who are also Members to support efforts, both at the technical and diplomatic level, towards reaching consensus on a wide network of CCAMLR MPAs in the Southern Ocean in 2023</w:t>
      </w:r>
      <w:r>
        <w:rPr>
          <w:lang w:val="en-NZ"/>
        </w:rPr>
        <w:t xml:space="preserve">, beginning </w:t>
      </w:r>
      <w:r w:rsidRPr="00C21AC2">
        <w:rPr>
          <w:lang w:val="en-NZ"/>
        </w:rPr>
        <w:t xml:space="preserve">at the CCAMLR-Special Meeting-III in June 2023. </w:t>
      </w:r>
    </w:p>
    <w:p w14:paraId="5DF50F85" w14:textId="77777777" w:rsidR="00D41482" w:rsidRPr="00395592" w:rsidRDefault="00D41482" w:rsidP="00D41482">
      <w:pPr>
        <w:numPr>
          <w:ilvl w:val="0"/>
          <w:numId w:val="21"/>
        </w:numPr>
        <w:jc w:val="both"/>
        <w:rPr>
          <w:lang w:val="en-NZ"/>
        </w:rPr>
      </w:pPr>
      <w:r w:rsidRPr="00395592">
        <w:rPr>
          <w:lang w:val="en-NZ"/>
        </w:rPr>
        <w:t>Recommends the ATCM/CEP to expand the network of terrestrial and marine ASPAs and ASMAs in Antarctica,</w:t>
      </w:r>
      <w:r w:rsidRPr="006E48AA">
        <w:rPr>
          <w:lang w:val="en-NZ"/>
        </w:rPr>
        <w:t xml:space="preserve"> </w:t>
      </w:r>
      <w:proofErr w:type="gramStart"/>
      <w:r w:rsidRPr="006E48AA">
        <w:rPr>
          <w:lang w:val="en-NZ"/>
        </w:rPr>
        <w:t>considering also</w:t>
      </w:r>
      <w:proofErr w:type="gramEnd"/>
      <w:r>
        <w:rPr>
          <w:lang w:val="en-NZ"/>
        </w:rPr>
        <w:t xml:space="preserve"> </w:t>
      </w:r>
      <w:r w:rsidRPr="006E48AA">
        <w:rPr>
          <w:lang w:val="en-NZ"/>
        </w:rPr>
        <w:t xml:space="preserve">the </w:t>
      </w:r>
      <w:r w:rsidRPr="00395592">
        <w:rPr>
          <w:lang w:val="en-NZ"/>
        </w:rPr>
        <w:t xml:space="preserve">harmonisation of </w:t>
      </w:r>
      <w:r>
        <w:rPr>
          <w:lang w:val="en-NZ"/>
        </w:rPr>
        <w:t>these areas</w:t>
      </w:r>
      <w:r w:rsidRPr="00395592">
        <w:rPr>
          <w:lang w:val="en-NZ"/>
        </w:rPr>
        <w:t xml:space="preserve"> and CCAMLR MPAs.</w:t>
      </w:r>
    </w:p>
    <w:p w14:paraId="1D614CEA" w14:textId="77777777" w:rsidR="00D41482" w:rsidRDefault="00D41482" w:rsidP="00D41482">
      <w:pPr>
        <w:numPr>
          <w:ilvl w:val="0"/>
          <w:numId w:val="21"/>
        </w:numPr>
        <w:jc w:val="both"/>
        <w:outlineLvl w:val="0"/>
        <w:rPr>
          <w:lang w:val="en-NZ"/>
        </w:rPr>
      </w:pPr>
      <w:r w:rsidRPr="00A54FC5">
        <w:rPr>
          <w:lang w:val="en-NZ"/>
        </w:rPr>
        <w:t>Recommends the designation of the emperor penguin</w:t>
      </w:r>
      <w:r>
        <w:rPr>
          <w:lang w:val="en-NZ"/>
        </w:rPr>
        <w:t xml:space="preserve"> </w:t>
      </w:r>
      <w:r w:rsidRPr="00A54FC5">
        <w:rPr>
          <w:lang w:val="en-NZ"/>
        </w:rPr>
        <w:t>as a Specially Protected Species, in accordance with SCAR recommendations.</w:t>
      </w:r>
    </w:p>
    <w:p w14:paraId="38D0808E" w14:textId="77777777" w:rsidR="00D41482" w:rsidRPr="00DC7EE4" w:rsidRDefault="00D41482" w:rsidP="00D41482">
      <w:pPr>
        <w:numPr>
          <w:ilvl w:val="0"/>
          <w:numId w:val="21"/>
        </w:numPr>
        <w:jc w:val="both"/>
        <w:outlineLvl w:val="0"/>
        <w:rPr>
          <w:lang w:val="en-NZ"/>
        </w:rPr>
      </w:pPr>
      <w:r w:rsidRPr="00DC7EE4">
        <w:rPr>
          <w:lang w:val="en-NZ"/>
        </w:rPr>
        <w:t xml:space="preserve">Recommends the ATCM/CEP to take continued action on climate change (further detailed in other ASOC Information Papers submitted to ATCM XLV). </w:t>
      </w:r>
    </w:p>
    <w:p w14:paraId="31E08F5E" w14:textId="77777777" w:rsidR="00D41482" w:rsidRPr="00395592" w:rsidRDefault="00D41482" w:rsidP="00D41482">
      <w:pPr>
        <w:pStyle w:val="ATSHeading2"/>
        <w:rPr>
          <w:lang w:val="en-NZ"/>
        </w:rPr>
      </w:pPr>
      <w:r w:rsidRPr="00395592">
        <w:rPr>
          <w:lang w:val="en-NZ"/>
        </w:rPr>
        <w:t>Introduction</w:t>
      </w:r>
    </w:p>
    <w:p w14:paraId="0EE8E371" w14:textId="77777777" w:rsidR="00D41482" w:rsidRPr="00395592" w:rsidRDefault="00D41482" w:rsidP="00D41482">
      <w:pPr>
        <w:pStyle w:val="ATSNormal"/>
        <w:jc w:val="both"/>
        <w:rPr>
          <w:lang w:val="en-NZ"/>
        </w:rPr>
      </w:pPr>
      <w:r w:rsidRPr="00395592">
        <w:rPr>
          <w:lang w:val="en-NZ"/>
        </w:rPr>
        <w:t>Antarctica and the Southern Ocean are important for global natural systems and processes; as biodiverse and functioning ecosystems; as a natural reserve devoted to peace and science; as a place for international scientific cooperation; and as a place to realise the 30x30</w:t>
      </w:r>
      <w:r>
        <w:rPr>
          <w:lang w:val="en-NZ"/>
        </w:rPr>
        <w:t xml:space="preserve"> </w:t>
      </w:r>
      <w:r w:rsidRPr="00395592">
        <w:rPr>
          <w:lang w:val="en-NZ"/>
        </w:rPr>
        <w:t xml:space="preserve">international goals agreed </w:t>
      </w:r>
      <w:r>
        <w:rPr>
          <w:lang w:val="en-NZ"/>
        </w:rPr>
        <w:t>by</w:t>
      </w:r>
      <w:r w:rsidRPr="00395592">
        <w:rPr>
          <w:lang w:val="en-NZ"/>
        </w:rPr>
        <w:t xml:space="preserve"> the Convention for Biological Diversity.</w:t>
      </w:r>
    </w:p>
    <w:p w14:paraId="176A14CF" w14:textId="77777777" w:rsidR="00D41482" w:rsidRDefault="00D41482" w:rsidP="00D41482">
      <w:pPr>
        <w:pStyle w:val="ATSNormal"/>
        <w:jc w:val="both"/>
        <w:rPr>
          <w:lang w:val="en-NZ"/>
        </w:rPr>
      </w:pPr>
      <w:r w:rsidRPr="00395592">
        <w:rPr>
          <w:lang w:val="en-NZ"/>
        </w:rPr>
        <w:t>In this context, the establishment of a representative system of Marine Protected Areas (MPAs) by the Commission for the Conservation of Antarctic Marine Living Resources (CCAMLR) has been one of the most significant issues discussed in the Antarctic Treaty System context in recent years.</w:t>
      </w:r>
    </w:p>
    <w:p w14:paraId="5BAD09DC" w14:textId="77777777" w:rsidR="00D41482" w:rsidRPr="00395592" w:rsidRDefault="00D41482" w:rsidP="00D41482">
      <w:pPr>
        <w:pStyle w:val="ATSNormal"/>
        <w:jc w:val="both"/>
        <w:rPr>
          <w:lang w:val="en-NZ"/>
        </w:rPr>
      </w:pPr>
      <w:r w:rsidRPr="00395592">
        <w:rPr>
          <w:lang w:val="en-NZ"/>
        </w:rPr>
        <w:t xml:space="preserve">In this document, ASOC provides an update on MPA discussions since ATCM XLI (Prague, 2019). Familiarity with these discussions is relevant to ATCM delegates as they the provide a backdrop to some of the ATCM’s own discussions. Furthermore, marine protection is a </w:t>
      </w:r>
      <w:proofErr w:type="gramStart"/>
      <w:r w:rsidRPr="00395592">
        <w:rPr>
          <w:lang w:val="en-NZ"/>
        </w:rPr>
        <w:t>high profile</w:t>
      </w:r>
      <w:proofErr w:type="gramEnd"/>
      <w:r>
        <w:rPr>
          <w:lang w:val="en-NZ"/>
        </w:rPr>
        <w:t xml:space="preserve"> </w:t>
      </w:r>
      <w:r w:rsidRPr="00395592">
        <w:rPr>
          <w:lang w:val="en-NZ"/>
        </w:rPr>
        <w:t>issue globally, and</w:t>
      </w:r>
      <w:r>
        <w:rPr>
          <w:lang w:val="en-NZ"/>
        </w:rPr>
        <w:t xml:space="preserve"> </w:t>
      </w:r>
      <w:r w:rsidRPr="00395592">
        <w:rPr>
          <w:lang w:val="en-NZ"/>
        </w:rPr>
        <w:t xml:space="preserve">discussions on CCAMLR MPAs shape international perceptions of the </w:t>
      </w:r>
      <w:r>
        <w:rPr>
          <w:lang w:val="en-NZ"/>
        </w:rPr>
        <w:t>Antarctic Treaty System</w:t>
      </w:r>
      <w:r w:rsidRPr="00395592">
        <w:rPr>
          <w:lang w:val="en-NZ"/>
        </w:rPr>
        <w:t xml:space="preserve"> as a whole.</w:t>
      </w:r>
    </w:p>
    <w:p w14:paraId="186033C3" w14:textId="77777777" w:rsidR="00D41482" w:rsidRPr="00395592" w:rsidRDefault="00D41482" w:rsidP="00D41482">
      <w:pPr>
        <w:pStyle w:val="ATSHeading2"/>
        <w:rPr>
          <w:lang w:val="en-NZ"/>
        </w:rPr>
      </w:pPr>
      <w:r w:rsidRPr="00395592">
        <w:rPr>
          <w:lang w:val="en-NZ"/>
        </w:rPr>
        <w:t>What happened since</w:t>
      </w:r>
      <w:r>
        <w:rPr>
          <w:lang w:val="en-NZ"/>
        </w:rPr>
        <w:t xml:space="preserve"> 2019</w:t>
      </w:r>
      <w:r w:rsidRPr="00395592">
        <w:rPr>
          <w:lang w:val="en-NZ"/>
        </w:rPr>
        <w:t xml:space="preserve">? </w:t>
      </w:r>
    </w:p>
    <w:p w14:paraId="3DAE7677" w14:textId="77777777" w:rsidR="00D41482" w:rsidRPr="00395592" w:rsidRDefault="00D41482" w:rsidP="00D41482">
      <w:pPr>
        <w:pStyle w:val="ATSNormal"/>
        <w:jc w:val="both"/>
        <w:rPr>
          <w:lang w:val="en-NZ"/>
        </w:rPr>
      </w:pPr>
      <w:r>
        <w:rPr>
          <w:lang w:val="en-NZ"/>
        </w:rPr>
        <w:t>I</w:t>
      </w:r>
      <w:r w:rsidRPr="00395592">
        <w:rPr>
          <w:lang w:val="en-NZ"/>
        </w:rPr>
        <w:t>n 2019 ASOC submitted to ATCM</w:t>
      </w:r>
      <w:r>
        <w:rPr>
          <w:lang w:val="en-NZ"/>
        </w:rPr>
        <w:t xml:space="preserve"> XLII</w:t>
      </w:r>
      <w:r w:rsidRPr="00395592">
        <w:rPr>
          <w:lang w:val="en-NZ"/>
        </w:rPr>
        <w:t xml:space="preserve"> an update on MPA discussions (ATCM 42/IP 130). ASOC has submitted further updates and analysis on MPAs to CCAMLR, more recently in </w:t>
      </w:r>
      <w:r w:rsidRPr="00395592">
        <w:rPr>
          <w:lang w:val="en-NZ"/>
        </w:rPr>
        <w:lastRenderedPageBreak/>
        <w:t>October 2022. Many of the comments made in that paper are still valid in 2023.</w:t>
      </w:r>
      <w:r>
        <w:rPr>
          <w:lang w:val="en-NZ"/>
        </w:rPr>
        <w:t xml:space="preserve"> Table 1 contains an overview of proposals to date. Fig. 1 illustrates discussions since 2009.</w:t>
      </w:r>
    </w:p>
    <w:p w14:paraId="690376AA" w14:textId="77777777" w:rsidR="00D41482" w:rsidRPr="00395592" w:rsidRDefault="00D41482" w:rsidP="00D41482">
      <w:pPr>
        <w:rPr>
          <w:lang w:val="en-NZ"/>
        </w:rPr>
      </w:pPr>
      <w:r w:rsidRPr="00395592">
        <w:rPr>
          <w:lang w:val="en-NZ"/>
        </w:rPr>
        <w:t xml:space="preserve">The 2019 CCAMLR meeting was the last held in person prior to the pandemic. The CCAMLR meetings of 2020 and 2021 were held online due to the pandemic. The virtual nature of the meetings prevented making progress on some issues. The 2022 meeting was again </w:t>
      </w:r>
      <w:r>
        <w:rPr>
          <w:lang w:val="en-NZ"/>
        </w:rPr>
        <w:t>held in person</w:t>
      </w:r>
      <w:r w:rsidRPr="00395592">
        <w:rPr>
          <w:lang w:val="en-NZ"/>
        </w:rPr>
        <w:t>. Nonetheless, no new MPAs were adopted at those meetings due to lack of consensus among</w:t>
      </w:r>
      <w:r>
        <w:rPr>
          <w:lang w:val="en-NZ"/>
        </w:rPr>
        <w:t xml:space="preserve"> CCAMLR</w:t>
      </w:r>
      <w:r w:rsidRPr="00395592">
        <w:rPr>
          <w:lang w:val="en-NZ"/>
        </w:rPr>
        <w:t xml:space="preserve"> Members (thereafter Members).</w:t>
      </w:r>
    </w:p>
    <w:p w14:paraId="44EC43E1" w14:textId="77777777" w:rsidR="00D41482" w:rsidRPr="00395592" w:rsidRDefault="00D41482" w:rsidP="00D41482">
      <w:pPr>
        <w:pStyle w:val="ATSNormal"/>
        <w:jc w:val="both"/>
        <w:rPr>
          <w:lang w:val="en-NZ"/>
        </w:rPr>
      </w:pPr>
      <w:r w:rsidRPr="00395592">
        <w:rPr>
          <w:lang w:val="en-NZ"/>
        </w:rPr>
        <w:t>The number of Members has increased since 2019 to 27 Members – 26 states and the EU.</w:t>
      </w:r>
      <w:r w:rsidRPr="00395592">
        <w:rPr>
          <w:rStyle w:val="Refdenotaalpie"/>
          <w:lang w:val="en-NZ"/>
        </w:rPr>
        <w:footnoteReference w:id="1"/>
      </w:r>
      <w:r w:rsidRPr="00395592">
        <w:rPr>
          <w:lang w:val="en-NZ"/>
        </w:rPr>
        <w:t xml:space="preserve"> CCAMLR Acceding States Netherlands and Ecuador became Members in 2019 and 2022, respectively. </w:t>
      </w:r>
    </w:p>
    <w:p w14:paraId="36F4ECB3" w14:textId="77777777" w:rsidR="00D41482" w:rsidRDefault="00D41482" w:rsidP="00D41482">
      <w:pPr>
        <w:pStyle w:val="ATSNormal"/>
        <w:jc w:val="both"/>
        <w:rPr>
          <w:lang w:val="en-NZ"/>
        </w:rPr>
      </w:pPr>
      <w:r w:rsidRPr="00395592">
        <w:rPr>
          <w:lang w:val="en-NZ"/>
        </w:rPr>
        <w:t>A one-week special CCAMLR meeting has been convened for June 2023 in Santiago, Chile, specifically to discuss MPAs. This is only the third special meeting CCAMLR has ever held, and expectations for a breakthrough in the process are high.</w:t>
      </w:r>
    </w:p>
    <w:p w14:paraId="6D296052" w14:textId="77777777" w:rsidR="00D41482" w:rsidRPr="00D10D38" w:rsidRDefault="00D41482" w:rsidP="00D41482">
      <w:pPr>
        <w:pStyle w:val="ATSNormal"/>
        <w:jc w:val="both"/>
        <w:rPr>
          <w:lang w:val="en-NZ"/>
        </w:rPr>
      </w:pPr>
      <w:r>
        <w:rPr>
          <w:lang w:val="en-NZ"/>
        </w:rPr>
        <w:t>Outside of the Antarctic Treaty System (ATS), there has been considerable progress with respect to international agreements on marine conservation. In December 2022, the Conference of Parties of the Convention on Biological Diversity (CBD) adopted the target of conserving 30% of the world’s land and oceans in protected areas by 2030 as part of its post-2020 global biodiversity framework.</w:t>
      </w:r>
      <w:r>
        <w:rPr>
          <w:rStyle w:val="Refdenotaalpie"/>
          <w:lang w:val="en-NZ"/>
        </w:rPr>
        <w:footnoteReference w:id="2"/>
      </w:r>
      <w:r>
        <w:rPr>
          <w:lang w:val="en-NZ"/>
        </w:rPr>
        <w:t xml:space="preserve"> Subsequently, in March 2022, the draft text of a new international legally binding instrument to under the United Nations Convention on the Law of the Sea (UNCLOS) to protect marine biodiversity in areas beyond national jurisdiction (known as the BBNJ Agreement) was agreed after intense negotiations. The BBNJ agreement will provide a legal framework for the creation of MPAs in areas beyond national jurisdiction, which is necessary for meeting the 30x30 target for </w:t>
      </w:r>
      <w:proofErr w:type="gramStart"/>
      <w:r>
        <w:rPr>
          <w:i/>
          <w:iCs/>
          <w:lang w:val="en-NZ"/>
        </w:rPr>
        <w:t>all</w:t>
      </w:r>
      <w:r>
        <w:rPr>
          <w:lang w:val="en-NZ"/>
        </w:rPr>
        <w:t xml:space="preserve"> of</w:t>
      </w:r>
      <w:proofErr w:type="gramEnd"/>
      <w:r>
        <w:rPr>
          <w:lang w:val="en-NZ"/>
        </w:rPr>
        <w:t xml:space="preserve"> the world’s oceans. These significant steps reflect a growing international agreement that MPAs are an essential tool for preserving ocean biodiversity. </w:t>
      </w:r>
    </w:p>
    <w:p w14:paraId="67612D10" w14:textId="77777777" w:rsidR="00D41482" w:rsidRPr="00360CD2" w:rsidRDefault="00D41482" w:rsidP="00D41482">
      <w:pPr>
        <w:pStyle w:val="ATSHeading2"/>
        <w:rPr>
          <w:lang w:val="en-NZ"/>
        </w:rPr>
      </w:pPr>
      <w:r>
        <w:rPr>
          <w:lang w:val="en-NZ"/>
        </w:rPr>
        <w:t>Overview of r</w:t>
      </w:r>
      <w:r w:rsidRPr="00360CD2">
        <w:rPr>
          <w:lang w:val="en-NZ"/>
        </w:rPr>
        <w:t>ecent developments</w:t>
      </w:r>
    </w:p>
    <w:p w14:paraId="160AA1A5" w14:textId="77777777" w:rsidR="00D41482" w:rsidRDefault="00D41482" w:rsidP="00D41482">
      <w:pPr>
        <w:pStyle w:val="ATSNormal"/>
        <w:jc w:val="both"/>
        <w:rPr>
          <w:lang w:val="en-NZ"/>
        </w:rPr>
      </w:pPr>
      <w:r w:rsidRPr="00F95F6D">
        <w:rPr>
          <w:lang w:val="en-NZ"/>
        </w:rPr>
        <w:t>There are three MPA proposals on the table (EAMPA, WSMPA-phase 1, and D1MPA) and a fourth proposal is expected soon (WSMPA-phase 2)</w:t>
      </w:r>
      <w:r>
        <w:rPr>
          <w:lang w:val="en-NZ"/>
        </w:rPr>
        <w:t xml:space="preserve"> (Table 1)</w:t>
      </w:r>
      <w:r w:rsidRPr="00F95F6D">
        <w:rPr>
          <w:lang w:val="en-NZ"/>
        </w:rPr>
        <w:t>. The former three add up to ≈ 3.8M km</w:t>
      </w:r>
      <w:r w:rsidRPr="00F40243">
        <w:rPr>
          <w:vertAlign w:val="superscript"/>
          <w:lang w:val="en-NZ"/>
        </w:rPr>
        <w:t>2</w:t>
      </w:r>
      <w:r w:rsidRPr="00F95F6D">
        <w:rPr>
          <w:lang w:val="en-NZ"/>
        </w:rPr>
        <w:t xml:space="preserve">, and cover a significant portion of their corresponding planning domains (planning areas) </w:t>
      </w:r>
      <w:proofErr w:type="gramStart"/>
      <w:r w:rsidRPr="00F95F6D">
        <w:rPr>
          <w:lang w:val="en-NZ"/>
        </w:rPr>
        <w:t>i.e.</w:t>
      </w:r>
      <w:proofErr w:type="gramEnd"/>
      <w:r w:rsidRPr="00F95F6D">
        <w:rPr>
          <w:lang w:val="en-NZ"/>
        </w:rPr>
        <w:t xml:space="preserve"> the marine areas of which the MPA is representative. All three MPAs protect in various ways representative (common) as well as important (unique, vulnerable) marine areas.</w:t>
      </w:r>
      <w:r>
        <w:rPr>
          <w:lang w:val="en-NZ"/>
        </w:rPr>
        <w:t xml:space="preserve"> In addition, a</w:t>
      </w:r>
      <w:r w:rsidRPr="00F95F6D">
        <w:rPr>
          <w:lang w:val="en-NZ"/>
        </w:rPr>
        <w:t>ll three MPA proposals include substantial no-take zones, although the extent and scope of these zones varies.</w:t>
      </w:r>
    </w:p>
    <w:p w14:paraId="30E800D2" w14:textId="77777777" w:rsidR="00D41482" w:rsidRPr="00395592" w:rsidRDefault="00D41482" w:rsidP="00D41482">
      <w:pPr>
        <w:pStyle w:val="ATSNormal"/>
        <w:jc w:val="both"/>
        <w:rPr>
          <w:lang w:val="en-NZ"/>
        </w:rPr>
      </w:pPr>
      <w:r>
        <w:rPr>
          <w:lang w:val="en-NZ"/>
        </w:rPr>
        <w:t>In brief, n</w:t>
      </w:r>
      <w:r w:rsidRPr="00395592">
        <w:rPr>
          <w:lang w:val="en-NZ"/>
        </w:rPr>
        <w:t>o new MPA has been adopted since 2016, reflecting diverging positions between Members and a persistent lack of consensus.</w:t>
      </w:r>
      <w:r w:rsidRPr="00395592">
        <w:rPr>
          <w:rStyle w:val="Refdenotaalpie"/>
          <w:lang w:val="en-NZ"/>
        </w:rPr>
        <w:footnoteReference w:id="3"/>
      </w:r>
      <w:r>
        <w:rPr>
          <w:lang w:val="en-NZ"/>
        </w:rPr>
        <w:t xml:space="preserve"> However</w:t>
      </w:r>
      <w:r w:rsidRPr="00395592">
        <w:rPr>
          <w:lang w:val="en-NZ"/>
        </w:rPr>
        <w:t>:</w:t>
      </w:r>
    </w:p>
    <w:p w14:paraId="4F7455E0" w14:textId="77777777" w:rsidR="00D41482" w:rsidRPr="00395592" w:rsidRDefault="00D41482" w:rsidP="00D41482">
      <w:pPr>
        <w:pStyle w:val="Prrafodelista"/>
        <w:numPr>
          <w:ilvl w:val="0"/>
          <w:numId w:val="22"/>
        </w:numPr>
        <w:spacing w:after="160" w:line="259" w:lineRule="auto"/>
        <w:contextualSpacing/>
        <w:jc w:val="both"/>
        <w:rPr>
          <w:lang w:val="en-NZ"/>
        </w:rPr>
      </w:pPr>
      <w:r w:rsidRPr="00395592">
        <w:rPr>
          <w:lang w:val="en-NZ"/>
        </w:rPr>
        <w:t xml:space="preserve">Most Members have expressed support </w:t>
      </w:r>
      <w:r>
        <w:rPr>
          <w:lang w:val="en-NZ"/>
        </w:rPr>
        <w:t>for</w:t>
      </w:r>
      <w:r w:rsidRPr="00395592">
        <w:rPr>
          <w:lang w:val="en-NZ"/>
        </w:rPr>
        <w:t xml:space="preserve"> MPAs over the years. Furthermore, since 2019 the number of MPA co-proponents has increased significantly. Currently 20 Members</w:t>
      </w:r>
      <w:r>
        <w:rPr>
          <w:lang w:val="en-NZ"/>
        </w:rPr>
        <w:t xml:space="preserve"> </w:t>
      </w:r>
      <w:r w:rsidRPr="00395592">
        <w:rPr>
          <w:lang w:val="en-NZ"/>
        </w:rPr>
        <w:t>are co-proponents of at least one MPA. Eighteen Members are co-proponents of two MPAs.</w:t>
      </w:r>
    </w:p>
    <w:p w14:paraId="3D0F4732" w14:textId="77777777" w:rsidR="00D41482" w:rsidRPr="00395592" w:rsidRDefault="00D41482" w:rsidP="00D41482">
      <w:pPr>
        <w:pStyle w:val="Prrafodelista"/>
        <w:numPr>
          <w:ilvl w:val="0"/>
          <w:numId w:val="22"/>
        </w:numPr>
        <w:spacing w:after="160" w:line="259" w:lineRule="auto"/>
        <w:contextualSpacing/>
        <w:jc w:val="both"/>
        <w:rPr>
          <w:lang w:val="en-NZ"/>
        </w:rPr>
      </w:pPr>
      <w:r w:rsidRPr="00395592">
        <w:rPr>
          <w:lang w:val="en-NZ"/>
        </w:rPr>
        <w:t xml:space="preserve">MPA processes have become more open and consultative, more transparent, more efficient, and their technical complexities are more accessible to decision makers. </w:t>
      </w:r>
    </w:p>
    <w:p w14:paraId="0E2B1452" w14:textId="77777777" w:rsidR="00D41482" w:rsidRPr="00395592" w:rsidRDefault="00D41482" w:rsidP="00D41482">
      <w:pPr>
        <w:pStyle w:val="Prrafodelista"/>
        <w:numPr>
          <w:ilvl w:val="0"/>
          <w:numId w:val="22"/>
        </w:numPr>
        <w:spacing w:after="160" w:line="259" w:lineRule="auto"/>
        <w:contextualSpacing/>
        <w:jc w:val="both"/>
        <w:rPr>
          <w:lang w:val="en-NZ"/>
        </w:rPr>
      </w:pPr>
      <w:r w:rsidRPr="00395592">
        <w:rPr>
          <w:lang w:val="en-NZ"/>
        </w:rPr>
        <w:t>In 2018 the WSMPA proposal was split in two phases. Work on both phases has continued,</w:t>
      </w:r>
      <w:r>
        <w:rPr>
          <w:lang w:val="en-NZ"/>
        </w:rPr>
        <w:t xml:space="preserve"> with</w:t>
      </w:r>
      <w:r w:rsidRPr="00395592">
        <w:rPr>
          <w:lang w:val="en-NZ"/>
        </w:rPr>
        <w:t xml:space="preserve"> phase 1 under the leadership of Germany. </w:t>
      </w:r>
      <w:r>
        <w:rPr>
          <w:lang w:val="en-NZ"/>
        </w:rPr>
        <w:t>Substantial w</w:t>
      </w:r>
      <w:r w:rsidRPr="00395592">
        <w:rPr>
          <w:lang w:val="en-NZ"/>
        </w:rPr>
        <w:t xml:space="preserve">ork on phase 2 has </w:t>
      </w:r>
      <w:r>
        <w:rPr>
          <w:lang w:val="en-NZ"/>
        </w:rPr>
        <w:t>been carried out</w:t>
      </w:r>
      <w:r w:rsidRPr="00395592">
        <w:rPr>
          <w:lang w:val="en-NZ"/>
        </w:rPr>
        <w:t xml:space="preserve"> under the leadership of Norway, which announced that a proposal will be submitted to CCAMLR 43 in 2023.</w:t>
      </w:r>
    </w:p>
    <w:p w14:paraId="25B74863" w14:textId="77777777" w:rsidR="00D41482" w:rsidRPr="00395592" w:rsidRDefault="00D41482" w:rsidP="00D41482">
      <w:pPr>
        <w:pStyle w:val="Prrafodelista"/>
        <w:numPr>
          <w:ilvl w:val="0"/>
          <w:numId w:val="22"/>
        </w:numPr>
        <w:spacing w:after="160" w:line="259" w:lineRule="auto"/>
        <w:contextualSpacing/>
        <w:jc w:val="both"/>
        <w:rPr>
          <w:lang w:val="en-NZ"/>
        </w:rPr>
      </w:pPr>
      <w:r w:rsidRPr="00395592">
        <w:rPr>
          <w:lang w:val="en-NZ"/>
        </w:rPr>
        <w:lastRenderedPageBreak/>
        <w:t>Most MPA proposals have a public interface hosted by leading proponents and/or CCAMLR.</w:t>
      </w:r>
      <w:r>
        <w:rPr>
          <w:rStyle w:val="Refdenotaalpie"/>
          <w:lang w:val="en-NZ"/>
        </w:rPr>
        <w:footnoteReference w:id="4"/>
      </w:r>
      <w:r w:rsidRPr="00395592">
        <w:rPr>
          <w:lang w:val="en-NZ"/>
        </w:rPr>
        <w:t xml:space="preserve"> This is significant in that it responds to substantial public interests in Southern Ocean </w:t>
      </w:r>
      <w:proofErr w:type="gramStart"/>
      <w:r w:rsidRPr="00395592">
        <w:rPr>
          <w:lang w:val="en-NZ"/>
        </w:rPr>
        <w:t>protection, and</w:t>
      </w:r>
      <w:proofErr w:type="gramEnd"/>
      <w:r w:rsidRPr="00395592">
        <w:rPr>
          <w:lang w:val="en-NZ"/>
        </w:rPr>
        <w:t xml:space="preserve"> demonstrate to the public that the proposals are alive.</w:t>
      </w:r>
    </w:p>
    <w:p w14:paraId="0360B318" w14:textId="77777777" w:rsidR="00D41482" w:rsidRPr="00395592" w:rsidRDefault="00D41482" w:rsidP="00D41482">
      <w:pPr>
        <w:pStyle w:val="Prrafodelista"/>
        <w:numPr>
          <w:ilvl w:val="0"/>
          <w:numId w:val="22"/>
        </w:numPr>
        <w:spacing w:after="160" w:line="259" w:lineRule="auto"/>
        <w:contextualSpacing/>
        <w:jc w:val="both"/>
        <w:rPr>
          <w:lang w:val="en-NZ"/>
        </w:rPr>
      </w:pPr>
      <w:r w:rsidRPr="00395592">
        <w:rPr>
          <w:lang w:val="en-NZ"/>
        </w:rPr>
        <w:t>MPA-relevant research and monitoring continues in all planning domains where proposals are being developed. Highlights include:</w:t>
      </w:r>
    </w:p>
    <w:p w14:paraId="2FC34AE1" w14:textId="77777777" w:rsidR="00D41482" w:rsidRPr="00395592" w:rsidRDefault="00D41482" w:rsidP="00D41482">
      <w:pPr>
        <w:pStyle w:val="Prrafodelista"/>
        <w:numPr>
          <w:ilvl w:val="1"/>
          <w:numId w:val="22"/>
        </w:numPr>
        <w:spacing w:after="160" w:line="259" w:lineRule="auto"/>
        <w:contextualSpacing/>
        <w:jc w:val="both"/>
        <w:rPr>
          <w:lang w:val="en-NZ"/>
        </w:rPr>
      </w:pPr>
      <w:r w:rsidRPr="00395592">
        <w:rPr>
          <w:lang w:val="en-NZ"/>
        </w:rPr>
        <w:t xml:space="preserve">The research and monitoring plan for the Ross Sea region MPA has not been adopted by the </w:t>
      </w:r>
      <w:proofErr w:type="gramStart"/>
      <w:r w:rsidRPr="00395592">
        <w:rPr>
          <w:lang w:val="en-NZ"/>
        </w:rPr>
        <w:t>CCAMLR, but</w:t>
      </w:r>
      <w:proofErr w:type="gramEnd"/>
      <w:r w:rsidRPr="00395592">
        <w:rPr>
          <w:lang w:val="en-NZ"/>
        </w:rPr>
        <w:t xml:space="preserve"> is proceeding apace. </w:t>
      </w:r>
    </w:p>
    <w:p w14:paraId="721C6530" w14:textId="1CD3AA69" w:rsidR="00D41482" w:rsidRDefault="00D41482" w:rsidP="00D41482">
      <w:pPr>
        <w:pStyle w:val="Prrafodelista"/>
        <w:numPr>
          <w:ilvl w:val="1"/>
          <w:numId w:val="22"/>
        </w:numPr>
        <w:spacing w:after="160" w:line="259" w:lineRule="auto"/>
        <w:contextualSpacing/>
        <w:jc w:val="both"/>
        <w:rPr>
          <w:lang w:val="en-NZ"/>
        </w:rPr>
      </w:pPr>
      <w:r w:rsidRPr="00395592">
        <w:rPr>
          <w:lang w:val="en-NZ"/>
        </w:rPr>
        <w:t xml:space="preserve">In </w:t>
      </w:r>
      <w:r w:rsidR="00D5327B" w:rsidRPr="00395592">
        <w:rPr>
          <w:lang w:val="en-NZ"/>
        </w:rPr>
        <w:t>20</w:t>
      </w:r>
      <w:r w:rsidR="00D5327B">
        <w:rPr>
          <w:lang w:val="en-NZ"/>
        </w:rPr>
        <w:t>21</w:t>
      </w:r>
      <w:r w:rsidR="00D5327B" w:rsidRPr="00395592">
        <w:rPr>
          <w:lang w:val="en-NZ"/>
        </w:rPr>
        <w:t xml:space="preserve"> </w:t>
      </w:r>
      <w:r w:rsidRPr="00395592">
        <w:rPr>
          <w:lang w:val="en-NZ"/>
        </w:rPr>
        <w:t xml:space="preserve">a significant area occupied by </w:t>
      </w:r>
      <w:r w:rsidR="00E900DC">
        <w:rPr>
          <w:lang w:val="en-NZ"/>
        </w:rPr>
        <w:t xml:space="preserve">a breeding colony of </w:t>
      </w:r>
      <w:r w:rsidRPr="00395592">
        <w:rPr>
          <w:lang w:val="en-NZ"/>
        </w:rPr>
        <w:t xml:space="preserve">millions of demersal </w:t>
      </w:r>
      <w:proofErr w:type="gramStart"/>
      <w:r w:rsidRPr="00395592">
        <w:rPr>
          <w:lang w:val="en-NZ"/>
        </w:rPr>
        <w:t>fish  (</w:t>
      </w:r>
      <w:proofErr w:type="gramEnd"/>
      <w:r w:rsidR="00D5327B">
        <w:rPr>
          <w:lang w:val="en-NZ"/>
        </w:rPr>
        <w:t xml:space="preserve">Jonah’s </w:t>
      </w:r>
      <w:r w:rsidRPr="00395592">
        <w:rPr>
          <w:lang w:val="en-NZ"/>
        </w:rPr>
        <w:t>icefish,</w:t>
      </w:r>
      <w:r w:rsidR="00D5327B">
        <w:rPr>
          <w:i/>
          <w:iCs/>
          <w:lang w:val="en-NZ"/>
        </w:rPr>
        <w:t xml:space="preserve"> </w:t>
      </w:r>
      <w:proofErr w:type="spellStart"/>
      <w:r w:rsidR="00D5327B" w:rsidRPr="00E900DC">
        <w:rPr>
          <w:i/>
          <w:iCs/>
          <w:lang w:val="en-NZ"/>
        </w:rPr>
        <w:t>Neopagetopsis</w:t>
      </w:r>
      <w:proofErr w:type="spellEnd"/>
      <w:r w:rsidR="00D5327B" w:rsidRPr="00E900DC">
        <w:rPr>
          <w:i/>
          <w:iCs/>
          <w:lang w:val="en-NZ"/>
        </w:rPr>
        <w:t xml:space="preserve"> </w:t>
      </w:r>
      <w:proofErr w:type="spellStart"/>
      <w:r w:rsidR="00D5327B" w:rsidRPr="00D5327B">
        <w:rPr>
          <w:i/>
          <w:iCs/>
          <w:szCs w:val="22"/>
          <w:lang w:val="en-NZ"/>
        </w:rPr>
        <w:t>i</w:t>
      </w:r>
      <w:r w:rsidR="00D5327B" w:rsidRPr="00E900DC">
        <w:rPr>
          <w:i/>
          <w:iCs/>
          <w:szCs w:val="22"/>
          <w:lang w:val="en-NZ"/>
        </w:rPr>
        <w:t>onah</w:t>
      </w:r>
      <w:proofErr w:type="spellEnd"/>
      <w:r w:rsidR="00D5327B" w:rsidRPr="00E900DC">
        <w:rPr>
          <w:color w:val="505050"/>
          <w:szCs w:val="22"/>
          <w:shd w:val="clear" w:color="auto" w:fill="FFFFFF"/>
        </w:rPr>
        <w:t>,</w:t>
      </w:r>
      <w:r w:rsidR="00D5327B">
        <w:rPr>
          <w:color w:val="505050"/>
          <w:szCs w:val="22"/>
          <w:shd w:val="clear" w:color="auto" w:fill="FFFFFF"/>
        </w:rPr>
        <w:t xml:space="preserve"> </w:t>
      </w:r>
      <w:proofErr w:type="spellStart"/>
      <w:r w:rsidR="00D5327B" w:rsidRPr="00E900DC">
        <w:rPr>
          <w:color w:val="505050"/>
          <w:szCs w:val="22"/>
          <w:shd w:val="clear" w:color="auto" w:fill="FFFFFF"/>
        </w:rPr>
        <w:t>Nybelin</w:t>
      </w:r>
      <w:proofErr w:type="spellEnd"/>
      <w:r w:rsidR="00D5327B" w:rsidRPr="00E900DC">
        <w:rPr>
          <w:color w:val="505050"/>
          <w:szCs w:val="22"/>
          <w:shd w:val="clear" w:color="auto" w:fill="FFFFFF"/>
        </w:rPr>
        <w:t xml:space="preserve"> 1947</w:t>
      </w:r>
      <w:r w:rsidRPr="00395592">
        <w:rPr>
          <w:lang w:val="en-NZ"/>
        </w:rPr>
        <w:t>) was discovered in the Weddell Sea.</w:t>
      </w:r>
      <w:r w:rsidRPr="00395592">
        <w:rPr>
          <w:rStyle w:val="Refdenotaalpie"/>
          <w:lang w:val="en-NZ"/>
        </w:rPr>
        <w:footnoteReference w:id="5"/>
      </w:r>
      <w:r w:rsidRPr="00395592">
        <w:rPr>
          <w:lang w:val="en-NZ"/>
        </w:rPr>
        <w:t xml:space="preserve"> The area was already within the boundaries of the proposed WSMPA-phase 1, which demonstrates the solid scientific bas</w:t>
      </w:r>
      <w:r>
        <w:rPr>
          <w:lang w:val="en-NZ"/>
        </w:rPr>
        <w:t>i</w:t>
      </w:r>
      <w:r w:rsidRPr="00395592">
        <w:rPr>
          <w:lang w:val="en-NZ"/>
        </w:rPr>
        <w:t>s of the proposal. The MPA’s Special Protection Zone was expanded considerably as a result.</w:t>
      </w:r>
    </w:p>
    <w:p w14:paraId="4662DF45" w14:textId="77777777" w:rsidR="00D41482" w:rsidRPr="00395592" w:rsidRDefault="00D41482" w:rsidP="00D41482">
      <w:pPr>
        <w:pStyle w:val="Prrafodelista"/>
        <w:numPr>
          <w:ilvl w:val="1"/>
          <w:numId w:val="22"/>
        </w:numPr>
        <w:spacing w:after="160" w:line="259" w:lineRule="auto"/>
        <w:contextualSpacing/>
        <w:jc w:val="both"/>
        <w:rPr>
          <w:lang w:val="en-NZ"/>
        </w:rPr>
      </w:pPr>
      <w:r>
        <w:rPr>
          <w:lang w:val="en-NZ"/>
        </w:rPr>
        <w:t xml:space="preserve">The </w:t>
      </w:r>
      <w:proofErr w:type="gramStart"/>
      <w:r>
        <w:rPr>
          <w:lang w:val="en-NZ"/>
        </w:rPr>
        <w:t>rebound  of</w:t>
      </w:r>
      <w:proofErr w:type="gramEnd"/>
      <w:r>
        <w:rPr>
          <w:lang w:val="en-NZ"/>
        </w:rPr>
        <w:t xml:space="preserve"> whales in the NW Antarctic Peninsula, following the 1986 moratorium on commercial whaling, has now been well documented, including in the General Protection Zone of the proposed Domain 1 MPA.</w:t>
      </w:r>
    </w:p>
    <w:p w14:paraId="5A1C2538" w14:textId="77777777" w:rsidR="00D41482" w:rsidRPr="00395592" w:rsidRDefault="00D41482" w:rsidP="00D41482">
      <w:pPr>
        <w:pStyle w:val="Prrafodelista"/>
        <w:numPr>
          <w:ilvl w:val="1"/>
          <w:numId w:val="22"/>
        </w:numPr>
        <w:spacing w:after="160" w:line="259" w:lineRule="auto"/>
        <w:contextualSpacing/>
        <w:jc w:val="both"/>
        <w:rPr>
          <w:lang w:val="en-NZ"/>
        </w:rPr>
      </w:pPr>
      <w:r w:rsidRPr="00395592">
        <w:rPr>
          <w:lang w:val="en-NZ"/>
        </w:rPr>
        <w:t>The peer-reviewed literature on MPA-related issues has expanded considerably.</w:t>
      </w:r>
      <w:r>
        <w:rPr>
          <w:lang w:val="en-NZ"/>
        </w:rPr>
        <w:t xml:space="preserve"> </w:t>
      </w:r>
      <w:r w:rsidRPr="00395592">
        <w:rPr>
          <w:lang w:val="en-NZ"/>
        </w:rPr>
        <w:t xml:space="preserve">Topics include basic research supporting MPA development; </w:t>
      </w:r>
      <w:r>
        <w:rPr>
          <w:lang w:val="en-NZ"/>
        </w:rPr>
        <w:t xml:space="preserve">spatial analysis including Retrospective Analysis of Antarctic Tracking Data (RAATD) and Key Biological Areas (KBAs); </w:t>
      </w:r>
      <w:r w:rsidRPr="00395592">
        <w:rPr>
          <w:lang w:val="en-NZ"/>
        </w:rPr>
        <w:t xml:space="preserve">commentary on the performance of CCAMLR’s MPA network, </w:t>
      </w:r>
      <w:proofErr w:type="gramStart"/>
      <w:r w:rsidRPr="00395592">
        <w:rPr>
          <w:lang w:val="en-NZ"/>
        </w:rPr>
        <w:t>if and when</w:t>
      </w:r>
      <w:proofErr w:type="gramEnd"/>
      <w:r w:rsidRPr="00395592">
        <w:rPr>
          <w:lang w:val="en-NZ"/>
        </w:rPr>
        <w:t xml:space="preserve"> adopted; and critical political analyses of CCAMLR’s processes, outcomes, and effectiveness. </w:t>
      </w:r>
    </w:p>
    <w:p w14:paraId="04CCB64E" w14:textId="77777777" w:rsidR="00D41482" w:rsidRPr="00395592" w:rsidRDefault="00D41482" w:rsidP="00D41482">
      <w:pPr>
        <w:pStyle w:val="ATSHeading2"/>
        <w:rPr>
          <w:lang w:val="en-NZ"/>
        </w:rPr>
      </w:pPr>
      <w:r w:rsidRPr="00395592">
        <w:rPr>
          <w:lang w:val="en-NZ"/>
        </w:rPr>
        <w:t>What aspects of CCAMLR MPAs are relevant to the ATCM?</w:t>
      </w:r>
    </w:p>
    <w:p w14:paraId="3C7A8376" w14:textId="77777777" w:rsidR="00D41482" w:rsidRPr="00395592" w:rsidRDefault="00D41482" w:rsidP="00D41482">
      <w:pPr>
        <w:pStyle w:val="ATSNormal"/>
        <w:jc w:val="both"/>
        <w:rPr>
          <w:lang w:val="en-NZ"/>
        </w:rPr>
      </w:pPr>
      <w:r w:rsidRPr="00395592">
        <w:rPr>
          <w:lang w:val="en-NZ"/>
        </w:rPr>
        <w:t>Although CCAMLR and the ATCM are independent bodies with different mandates,</w:t>
      </w:r>
      <w:r>
        <w:rPr>
          <w:lang w:val="en-NZ"/>
        </w:rPr>
        <w:t xml:space="preserve"> </w:t>
      </w:r>
      <w:r w:rsidRPr="00395592">
        <w:rPr>
          <w:lang w:val="en-NZ"/>
        </w:rPr>
        <w:t xml:space="preserve">both are essential components of the Antarctic Treaty System. Further there are significant overlaps in terms of environment and ecosystems, governance and management, and membership </w:t>
      </w:r>
      <w:r>
        <w:rPr>
          <w:lang w:val="en-NZ"/>
        </w:rPr>
        <w:t>in</w:t>
      </w:r>
      <w:r w:rsidRPr="00395592">
        <w:rPr>
          <w:lang w:val="en-NZ"/>
        </w:rPr>
        <w:t xml:space="preserve"> Antarctic Treaty System bodies. The CAMLR Convention’s concept of the Southern Ocean ecosystem (Art. I) and the </w:t>
      </w:r>
      <w:proofErr w:type="gramStart"/>
      <w:r w:rsidRPr="00395592">
        <w:rPr>
          <w:lang w:val="en-NZ"/>
        </w:rPr>
        <w:t>ecosystem based</w:t>
      </w:r>
      <w:proofErr w:type="gramEnd"/>
      <w:r w:rsidRPr="00395592">
        <w:rPr>
          <w:lang w:val="en-NZ"/>
        </w:rPr>
        <w:t xml:space="preserve"> approach (Art. II (iii)) address elements of the environment and ecosystems that are also relevant to the ATCM. Many of the decisions</w:t>
      </w:r>
      <w:r>
        <w:rPr>
          <w:lang w:val="en-NZ"/>
        </w:rPr>
        <w:t xml:space="preserve"> </w:t>
      </w:r>
      <w:r w:rsidRPr="00395592">
        <w:rPr>
          <w:lang w:val="en-NZ"/>
        </w:rPr>
        <w:t>made (or not made) by CCAMLR have an impact on thematic areas for which the ATCM is responsible, and vice-versa. Some illustrative examples</w:t>
      </w:r>
      <w:r>
        <w:rPr>
          <w:lang w:val="en-NZ"/>
        </w:rPr>
        <w:t xml:space="preserve"> are discussed</w:t>
      </w:r>
      <w:r w:rsidRPr="00395592">
        <w:rPr>
          <w:lang w:val="en-NZ"/>
        </w:rPr>
        <w:t xml:space="preserve"> below</w:t>
      </w:r>
      <w:r>
        <w:rPr>
          <w:lang w:val="en-NZ"/>
        </w:rPr>
        <w:t>.</w:t>
      </w:r>
    </w:p>
    <w:p w14:paraId="43121764" w14:textId="77777777" w:rsidR="00D41482" w:rsidRPr="00360CD2" w:rsidRDefault="00D41482" w:rsidP="00D41482">
      <w:pPr>
        <w:pStyle w:val="Prrafodelista"/>
        <w:spacing w:line="276" w:lineRule="auto"/>
        <w:ind w:left="360" w:hanging="360"/>
        <w:contextualSpacing/>
        <w:jc w:val="both"/>
        <w:rPr>
          <w:b/>
          <w:szCs w:val="22"/>
        </w:rPr>
      </w:pPr>
      <w:r w:rsidRPr="00360CD2">
        <w:rPr>
          <w:b/>
          <w:szCs w:val="22"/>
        </w:rPr>
        <w:t>Area protection under ATCM and CCAMLR MPAs</w:t>
      </w:r>
    </w:p>
    <w:p w14:paraId="281822C8" w14:textId="77777777" w:rsidR="00D41482" w:rsidRPr="00395592" w:rsidRDefault="00D41482" w:rsidP="00D41482">
      <w:pPr>
        <w:pStyle w:val="ATSNormal"/>
        <w:jc w:val="both"/>
        <w:rPr>
          <w:lang w:val="en-NZ"/>
        </w:rPr>
      </w:pPr>
      <w:r w:rsidRPr="00395592">
        <w:rPr>
          <w:lang w:val="en-NZ"/>
        </w:rPr>
        <w:t xml:space="preserve">As the network of MPAs expands under CCAMLR, the connectivity between different activities, and types and scales of protected areas under ATCM will become apparent. In turn, this requires better harmonisation between management regimes applicable to those activities or areas, so that management plans and research and monitoring plans are compatible and act in synergy. </w:t>
      </w:r>
    </w:p>
    <w:p w14:paraId="40FB2920" w14:textId="77777777" w:rsidR="00D41482" w:rsidRPr="00395592" w:rsidRDefault="00D41482" w:rsidP="00D41482">
      <w:pPr>
        <w:pStyle w:val="ATSNormal"/>
        <w:jc w:val="both"/>
        <w:rPr>
          <w:lang w:val="en-NZ"/>
        </w:rPr>
      </w:pPr>
      <w:r w:rsidRPr="00395592">
        <w:rPr>
          <w:lang w:val="en-NZ"/>
        </w:rPr>
        <w:t>ASOC contends that harmonization work could start with the Ross Sea MPA and adjacent ASPAs and ASMAs protecting marine values. This work should continue with other MPA proposals as they are developed.</w:t>
      </w:r>
    </w:p>
    <w:p w14:paraId="7E657BA0" w14:textId="77777777" w:rsidR="00D41482" w:rsidRPr="00395592" w:rsidRDefault="00D41482" w:rsidP="00D41482">
      <w:pPr>
        <w:pStyle w:val="Prrafodelista"/>
        <w:spacing w:line="276" w:lineRule="auto"/>
        <w:ind w:left="360" w:hanging="360"/>
        <w:contextualSpacing/>
        <w:jc w:val="both"/>
        <w:rPr>
          <w:rFonts w:eastAsia="TimesNewRomanPSMT"/>
          <w:b/>
          <w:lang w:val="en-NZ"/>
        </w:rPr>
      </w:pPr>
      <w:r w:rsidRPr="00395592">
        <w:rPr>
          <w:rFonts w:eastAsia="TimesNewRomanPSMT"/>
          <w:b/>
          <w:lang w:val="en-NZ"/>
        </w:rPr>
        <w:t>Specially Protected Species and MPAs</w:t>
      </w:r>
    </w:p>
    <w:p w14:paraId="1644A283" w14:textId="77777777" w:rsidR="00D41482" w:rsidRPr="00395592" w:rsidRDefault="00D41482" w:rsidP="00D41482">
      <w:pPr>
        <w:pStyle w:val="ATSNormal"/>
        <w:jc w:val="both"/>
        <w:rPr>
          <w:lang w:val="en-NZ"/>
        </w:rPr>
      </w:pPr>
      <w:r w:rsidRPr="00395592">
        <w:rPr>
          <w:lang w:val="en-NZ"/>
        </w:rPr>
        <w:t xml:space="preserve">Following recommendations from SCAR, in 2022 ATCM discussed assigning Specially Protected Status to the </w:t>
      </w:r>
      <w:r>
        <w:rPr>
          <w:lang w:val="en-NZ"/>
        </w:rPr>
        <w:t>e</w:t>
      </w:r>
      <w:r w:rsidRPr="00395592">
        <w:rPr>
          <w:lang w:val="en-NZ"/>
        </w:rPr>
        <w:t xml:space="preserve">mperor penguin </w:t>
      </w:r>
      <w:r>
        <w:rPr>
          <w:lang w:val="en-NZ"/>
        </w:rPr>
        <w:t>(</w:t>
      </w:r>
      <w:r w:rsidRPr="00395592">
        <w:rPr>
          <w:i/>
          <w:iCs/>
          <w:lang w:val="en-NZ"/>
        </w:rPr>
        <w:t xml:space="preserve">Aptenodytes </w:t>
      </w:r>
      <w:proofErr w:type="spellStart"/>
      <w:r w:rsidRPr="00395592">
        <w:rPr>
          <w:i/>
          <w:iCs/>
          <w:lang w:val="en-NZ"/>
        </w:rPr>
        <w:t>forsteri</w:t>
      </w:r>
      <w:proofErr w:type="spellEnd"/>
      <w:r>
        <w:rPr>
          <w:i/>
          <w:iCs/>
          <w:lang w:val="en-NZ"/>
        </w:rPr>
        <w:t xml:space="preserve">, </w:t>
      </w:r>
      <w:r w:rsidRPr="00395592">
        <w:rPr>
          <w:lang w:val="en-NZ"/>
        </w:rPr>
        <w:t>Gr</w:t>
      </w:r>
      <w:r>
        <w:rPr>
          <w:lang w:val="en-NZ"/>
        </w:rPr>
        <w:t>a</w:t>
      </w:r>
      <w:r w:rsidRPr="00395592">
        <w:rPr>
          <w:lang w:val="en-NZ"/>
        </w:rPr>
        <w:t>y, 18</w:t>
      </w:r>
      <w:r>
        <w:rPr>
          <w:lang w:val="en-NZ"/>
        </w:rPr>
        <w:t>4</w:t>
      </w:r>
      <w:r w:rsidRPr="00395592">
        <w:rPr>
          <w:lang w:val="en-NZ"/>
        </w:rPr>
        <w:t>4). This proposal did not reach consensus, despite</w:t>
      </w:r>
      <w:r>
        <w:rPr>
          <w:lang w:val="en-NZ"/>
        </w:rPr>
        <w:t xml:space="preserve"> </w:t>
      </w:r>
      <w:r w:rsidRPr="00395592">
        <w:rPr>
          <w:lang w:val="en-NZ"/>
        </w:rPr>
        <w:t>overwhelming scientific evidence supporting SCAR’s recommendation.</w:t>
      </w:r>
      <w:r>
        <w:rPr>
          <w:rStyle w:val="Refdenotaalpie"/>
          <w:lang w:val="en-NZ"/>
        </w:rPr>
        <w:footnoteReference w:id="6"/>
      </w:r>
      <w:r w:rsidRPr="00395592">
        <w:rPr>
          <w:lang w:val="en-NZ"/>
        </w:rPr>
        <w:t xml:space="preserve"> Many colonies of </w:t>
      </w:r>
      <w:r>
        <w:rPr>
          <w:lang w:val="en-NZ"/>
        </w:rPr>
        <w:t>e</w:t>
      </w:r>
      <w:r w:rsidRPr="00395592">
        <w:rPr>
          <w:lang w:val="en-NZ"/>
        </w:rPr>
        <w:t>mperor penguins are adjacent to actual or proposed MPAs.</w:t>
      </w:r>
      <w:r>
        <w:rPr>
          <w:lang w:val="en-NZ"/>
        </w:rPr>
        <w:t xml:space="preserve"> </w:t>
      </w:r>
      <w:r>
        <w:rPr>
          <w:lang w:val="en-NZ"/>
        </w:rPr>
        <w:lastRenderedPageBreak/>
        <w:t xml:space="preserve">Emperor </w:t>
      </w:r>
      <w:proofErr w:type="gramStart"/>
      <w:r>
        <w:rPr>
          <w:lang w:val="en-NZ"/>
        </w:rPr>
        <w:t>penguins</w:t>
      </w:r>
      <w:proofErr w:type="gramEnd"/>
      <w:r>
        <w:rPr>
          <w:lang w:val="en-NZ"/>
        </w:rPr>
        <w:t xml:space="preserve"> dynamic habitat range in all age classes include proposed and existing MPAs and beyond.</w:t>
      </w:r>
      <w:r>
        <w:rPr>
          <w:rStyle w:val="Refdenotaalpie"/>
          <w:lang w:val="en-NZ"/>
        </w:rPr>
        <w:footnoteReference w:id="7"/>
      </w:r>
    </w:p>
    <w:p w14:paraId="621B38F4" w14:textId="77777777" w:rsidR="00D41482" w:rsidRPr="00395592" w:rsidRDefault="00D41482" w:rsidP="00D41482">
      <w:pPr>
        <w:pStyle w:val="ATSNormal"/>
        <w:jc w:val="both"/>
        <w:rPr>
          <w:lang w:val="en-NZ"/>
        </w:rPr>
      </w:pPr>
      <w:r w:rsidRPr="00395592">
        <w:rPr>
          <w:lang w:val="en-NZ"/>
        </w:rPr>
        <w:t xml:space="preserve">ASOC contends that the </w:t>
      </w:r>
      <w:proofErr w:type="gramStart"/>
      <w:r w:rsidRPr="00395592">
        <w:rPr>
          <w:lang w:val="en-NZ"/>
        </w:rPr>
        <w:t>Emperor</w:t>
      </w:r>
      <w:proofErr w:type="gramEnd"/>
      <w:r w:rsidRPr="00395592">
        <w:rPr>
          <w:lang w:val="en-NZ"/>
        </w:rPr>
        <w:t xml:space="preserve"> penguin should be designated as a Specially Protected Species</w:t>
      </w:r>
      <w:r>
        <w:rPr>
          <w:lang w:val="en-NZ"/>
        </w:rPr>
        <w:t xml:space="preserve"> under Annex II of the Protocol</w:t>
      </w:r>
      <w:r w:rsidRPr="00395592">
        <w:rPr>
          <w:lang w:val="en-NZ"/>
        </w:rPr>
        <w:t>. In parallel, the establishment of MPAs would potentially increase resilience</w:t>
      </w:r>
      <w:r>
        <w:rPr>
          <w:lang w:val="en-NZ"/>
        </w:rPr>
        <w:t xml:space="preserve"> and </w:t>
      </w:r>
      <w:r w:rsidRPr="00395592">
        <w:rPr>
          <w:lang w:val="en-NZ"/>
        </w:rPr>
        <w:t>reduce pressure on this species and its food sources in some areas.</w:t>
      </w:r>
    </w:p>
    <w:p w14:paraId="4964DFC7" w14:textId="77777777" w:rsidR="00D41482" w:rsidRPr="00395592" w:rsidRDefault="00D41482" w:rsidP="00D41482">
      <w:pPr>
        <w:pStyle w:val="Prrafodelista"/>
        <w:spacing w:line="276" w:lineRule="auto"/>
        <w:ind w:left="360" w:hanging="360"/>
        <w:contextualSpacing/>
        <w:jc w:val="both"/>
        <w:rPr>
          <w:rFonts w:eastAsia="TimesNewRomanPSMT"/>
          <w:b/>
          <w:lang w:val="en-NZ"/>
        </w:rPr>
      </w:pPr>
      <w:r w:rsidRPr="00395592">
        <w:rPr>
          <w:rFonts w:eastAsia="TimesNewRomanPSMT"/>
          <w:b/>
          <w:lang w:val="en-NZ"/>
        </w:rPr>
        <w:t>Tourism and MPAs</w:t>
      </w:r>
    </w:p>
    <w:p w14:paraId="3DE9A7CA" w14:textId="77777777" w:rsidR="00D41482" w:rsidRPr="00395592" w:rsidRDefault="00D41482" w:rsidP="00D41482">
      <w:pPr>
        <w:pStyle w:val="ATSNormal"/>
        <w:jc w:val="both"/>
        <w:rPr>
          <w:lang w:val="en-NZ"/>
        </w:rPr>
      </w:pPr>
      <w:r w:rsidRPr="00395592">
        <w:rPr>
          <w:lang w:val="en-NZ"/>
        </w:rPr>
        <w:t xml:space="preserve">Antarctica tour operators are one of the main users of the waters around Antarctica and have a significant stake in keeping the Antarctic environment and ecosystems pristine </w:t>
      </w:r>
      <w:proofErr w:type="gramStart"/>
      <w:r w:rsidRPr="00395592">
        <w:rPr>
          <w:lang w:val="en-NZ"/>
        </w:rPr>
        <w:t>in order to</w:t>
      </w:r>
      <w:proofErr w:type="gramEnd"/>
      <w:r w:rsidRPr="00395592">
        <w:rPr>
          <w:lang w:val="en-NZ"/>
        </w:rPr>
        <w:t xml:space="preserve"> protect the natural values that make the Antarctic experience unique. In this regard tourism could be regarded as a form of rational use. </w:t>
      </w:r>
    </w:p>
    <w:p w14:paraId="47D6C9B2" w14:textId="77777777" w:rsidR="00D41482" w:rsidRDefault="00D41482" w:rsidP="00D41482">
      <w:pPr>
        <w:pStyle w:val="ATSNormal"/>
        <w:jc w:val="both"/>
        <w:rPr>
          <w:lang w:val="en-NZ"/>
        </w:rPr>
      </w:pPr>
      <w:r w:rsidRPr="00395592">
        <w:rPr>
          <w:lang w:val="en-NZ"/>
        </w:rPr>
        <w:t xml:space="preserve">In 2019 IAATO made a statement on how the organization plans to support MPAs at its 2019 annual meeting in Cape Town. ASOC appreciates that the tourism industry has taken an interest in the CCAMLR MPA process, particularly in the Antarctic Peninsula area where shipborne tourism concentrates, and hopes that it will reinforce this </w:t>
      </w:r>
      <w:r w:rsidRPr="00747658">
        <w:rPr>
          <w:lang w:val="en-NZ"/>
        </w:rPr>
        <w:t>commitment</w:t>
      </w:r>
      <w:r>
        <w:rPr>
          <w:lang w:val="en-NZ"/>
        </w:rPr>
        <w:t>, as a</w:t>
      </w:r>
      <w:r w:rsidRPr="00395592">
        <w:rPr>
          <w:lang w:val="en-NZ"/>
        </w:rPr>
        <w:t xml:space="preserve"> high standard of marine protection is essential for the tourism business. This is the case as tourism reaches a critical mass</w:t>
      </w:r>
      <w:r>
        <w:rPr>
          <w:lang w:val="en-NZ"/>
        </w:rPr>
        <w:t>,</w:t>
      </w:r>
      <w:r w:rsidRPr="00395592">
        <w:rPr>
          <w:lang w:val="en-NZ"/>
        </w:rPr>
        <w:t xml:space="preserve"> particularly in the Antarctic Peninsula</w:t>
      </w:r>
      <w:r>
        <w:rPr>
          <w:lang w:val="en-NZ"/>
        </w:rPr>
        <w:t>,</w:t>
      </w:r>
      <w:r w:rsidRPr="00395592">
        <w:rPr>
          <w:lang w:val="en-NZ"/>
        </w:rPr>
        <w:t xml:space="preserve"> where multiple activities overlap, each contributing to cumulative impacts.</w:t>
      </w:r>
    </w:p>
    <w:p w14:paraId="16049F49" w14:textId="77777777" w:rsidR="00D41482" w:rsidRPr="00395592" w:rsidRDefault="00D41482" w:rsidP="00D41482">
      <w:pPr>
        <w:pStyle w:val="ATSNormal"/>
        <w:jc w:val="both"/>
        <w:rPr>
          <w:lang w:val="en-NZ"/>
        </w:rPr>
      </w:pPr>
      <w:r>
        <w:rPr>
          <w:lang w:val="en-NZ"/>
        </w:rPr>
        <w:t xml:space="preserve">Additionally, tour operators routinely provide opportunities for Antarctic scientists to conduct research from tourist vessels, and as such could be called upon to assist with research and monitoring in MPAs. </w:t>
      </w:r>
    </w:p>
    <w:p w14:paraId="4A5F8365" w14:textId="77777777" w:rsidR="00D41482" w:rsidRPr="00395592" w:rsidRDefault="00D41482" w:rsidP="00D41482">
      <w:pPr>
        <w:pStyle w:val="ATSNormal"/>
        <w:rPr>
          <w:rFonts w:eastAsia="TimesNewRomanPSMT"/>
          <w:b/>
          <w:lang w:val="en-NZ"/>
        </w:rPr>
      </w:pPr>
      <w:r w:rsidRPr="00395592">
        <w:rPr>
          <w:rFonts w:eastAsia="TimesNewRomanPSMT"/>
          <w:b/>
          <w:lang w:val="en-NZ"/>
        </w:rPr>
        <w:t>Climate change</w:t>
      </w:r>
    </w:p>
    <w:p w14:paraId="4D40854B" w14:textId="77777777" w:rsidR="00D41482" w:rsidRPr="00395592" w:rsidRDefault="00D41482" w:rsidP="00D41482">
      <w:pPr>
        <w:pStyle w:val="ATSNormal"/>
        <w:jc w:val="both"/>
        <w:rPr>
          <w:lang w:val="en-NZ"/>
        </w:rPr>
      </w:pPr>
      <w:r w:rsidRPr="00395592">
        <w:rPr>
          <w:lang w:val="en-NZ"/>
        </w:rPr>
        <w:t>Climate change is one of the defining issues of our time. Climate change action is</w:t>
      </w:r>
      <w:r>
        <w:rPr>
          <w:lang w:val="en-NZ"/>
        </w:rPr>
        <w:t xml:space="preserve"> part of</w:t>
      </w:r>
      <w:r w:rsidRPr="00395592">
        <w:rPr>
          <w:lang w:val="en-NZ"/>
        </w:rPr>
        <w:t xml:space="preserve"> CM 91-04, </w:t>
      </w:r>
      <w:r>
        <w:rPr>
          <w:lang w:val="en-NZ"/>
        </w:rPr>
        <w:t xml:space="preserve">which requires </w:t>
      </w:r>
      <w:r>
        <w:t xml:space="preserve">the protection of areas to maintain resilience or the ability to adapt to the effects of climate change. </w:t>
      </w:r>
      <w:r>
        <w:rPr>
          <w:lang w:val="en-NZ"/>
        </w:rPr>
        <w:t>A</w:t>
      </w:r>
      <w:r w:rsidRPr="00395592">
        <w:rPr>
          <w:lang w:val="en-NZ"/>
        </w:rPr>
        <w:t>ll MPA proposals include climate change considerations as key specific and/or general objectives.</w:t>
      </w:r>
    </w:p>
    <w:p w14:paraId="3F4672A6" w14:textId="77777777" w:rsidR="00D41482" w:rsidRPr="00395592" w:rsidRDefault="00D41482" w:rsidP="00D41482">
      <w:pPr>
        <w:pStyle w:val="ATSNormal"/>
        <w:jc w:val="both"/>
        <w:rPr>
          <w:lang w:val="en-NZ"/>
        </w:rPr>
      </w:pPr>
      <w:r w:rsidRPr="00395592">
        <w:rPr>
          <w:lang w:val="en-NZ"/>
        </w:rPr>
        <w:t>Addressing climate change requires coordinated action within and between ATS bodies, as well as outreach to international bodies. Some of</w:t>
      </w:r>
      <w:r>
        <w:rPr>
          <w:lang w:val="en-NZ"/>
        </w:rPr>
        <w:t xml:space="preserve"> </w:t>
      </w:r>
      <w:r w:rsidRPr="00395592">
        <w:rPr>
          <w:lang w:val="en-NZ"/>
        </w:rPr>
        <w:t>key climate actions that are within reach of ATS bodies include increasing area protection on land and at sea as a way of reducing ecosystem pressure/increasing resilience; the continued production of scientific</w:t>
      </w:r>
      <w:r>
        <w:rPr>
          <w:lang w:val="en-NZ"/>
        </w:rPr>
        <w:t xml:space="preserve"> </w:t>
      </w:r>
      <w:r w:rsidRPr="00395592">
        <w:rPr>
          <w:lang w:val="en-NZ"/>
        </w:rPr>
        <w:t xml:space="preserve">research; and dissemination of Antarctic climate change research in relevant international bodies tasked with climate change action. </w:t>
      </w:r>
    </w:p>
    <w:p w14:paraId="0CA9336F" w14:textId="77777777" w:rsidR="00D41482" w:rsidRPr="00395592" w:rsidRDefault="00D41482" w:rsidP="00D41482">
      <w:pPr>
        <w:pStyle w:val="ATSHeading2"/>
        <w:outlineLvl w:val="0"/>
        <w:rPr>
          <w:lang w:val="en-NZ"/>
        </w:rPr>
      </w:pPr>
      <w:r w:rsidRPr="00395592">
        <w:rPr>
          <w:lang w:val="en-NZ"/>
        </w:rPr>
        <w:t>Closing remarks and recommendations</w:t>
      </w:r>
    </w:p>
    <w:p w14:paraId="5226D6BB" w14:textId="77777777" w:rsidR="00D41482" w:rsidRPr="00395592" w:rsidRDefault="00D41482" w:rsidP="00D41482">
      <w:pPr>
        <w:pStyle w:val="ATSNormal"/>
        <w:jc w:val="both"/>
        <w:rPr>
          <w:lang w:val="en-NZ"/>
        </w:rPr>
      </w:pPr>
      <w:r>
        <w:rPr>
          <w:lang w:val="en-NZ"/>
        </w:rPr>
        <w:t xml:space="preserve">The </w:t>
      </w:r>
      <w:r w:rsidRPr="00395592">
        <w:rPr>
          <w:lang w:val="en-NZ"/>
        </w:rPr>
        <w:t xml:space="preserve">MPA issue was </w:t>
      </w:r>
      <w:r>
        <w:rPr>
          <w:lang w:val="en-NZ"/>
        </w:rPr>
        <w:t>formally added to</w:t>
      </w:r>
      <w:r w:rsidRPr="00395592">
        <w:rPr>
          <w:lang w:val="en-NZ"/>
        </w:rPr>
        <w:t xml:space="preserve"> CCAMLR</w:t>
      </w:r>
      <w:r>
        <w:rPr>
          <w:lang w:val="en-NZ"/>
        </w:rPr>
        <w:t>’s agenda in 2002, over twenty years ago</w:t>
      </w:r>
      <w:r w:rsidRPr="00395592">
        <w:rPr>
          <w:lang w:val="en-NZ"/>
        </w:rPr>
        <w:t>.</w:t>
      </w:r>
      <w:r w:rsidRPr="00395592">
        <w:rPr>
          <w:rStyle w:val="Refdenotaalpie"/>
          <w:lang w:val="en-NZ"/>
        </w:rPr>
        <w:footnoteReference w:id="8"/>
      </w:r>
      <w:r w:rsidRPr="00395592">
        <w:rPr>
          <w:lang w:val="en-NZ"/>
        </w:rPr>
        <w:t xml:space="preserve"> During the last </w:t>
      </w:r>
      <w:proofErr w:type="gramStart"/>
      <w:r w:rsidRPr="00395592">
        <w:rPr>
          <w:lang w:val="en-NZ"/>
        </w:rPr>
        <w:t>decade in particular</w:t>
      </w:r>
      <w:r>
        <w:rPr>
          <w:lang w:val="en-NZ"/>
        </w:rPr>
        <w:t>,</w:t>
      </w:r>
      <w:r w:rsidRPr="00395592">
        <w:rPr>
          <w:lang w:val="en-NZ"/>
        </w:rPr>
        <w:t xml:space="preserve"> CCAMLR</w:t>
      </w:r>
      <w:proofErr w:type="gramEnd"/>
      <w:r w:rsidRPr="00395592">
        <w:rPr>
          <w:lang w:val="en-NZ"/>
        </w:rPr>
        <w:t xml:space="preserve"> has devoted a significant amount of time and resources to considering MPA proposals. This </w:t>
      </w:r>
      <w:proofErr w:type="gramStart"/>
      <w:r w:rsidRPr="00395592">
        <w:rPr>
          <w:lang w:val="en-NZ"/>
        </w:rPr>
        <w:t>reflects also</w:t>
      </w:r>
      <w:proofErr w:type="gramEnd"/>
      <w:r w:rsidRPr="00395592">
        <w:rPr>
          <w:lang w:val="en-NZ"/>
        </w:rPr>
        <w:t xml:space="preserve"> a significant investment by many Members developing MPA proposals or otherwise contributing to the MPA development process agreed by CCAMLR.</w:t>
      </w:r>
    </w:p>
    <w:p w14:paraId="3708A09F" w14:textId="77777777" w:rsidR="00D41482" w:rsidRDefault="00D41482" w:rsidP="00D41482">
      <w:pPr>
        <w:pStyle w:val="ATSNormal"/>
        <w:jc w:val="both"/>
        <w:rPr>
          <w:lang w:val="en-NZ"/>
        </w:rPr>
      </w:pPr>
      <w:r w:rsidRPr="00395592">
        <w:rPr>
          <w:lang w:val="en-NZ"/>
        </w:rPr>
        <w:t xml:space="preserve">On the negative side, the delay experienced in MPA discussions over the past decade casts a shadow not only on the reputation of CCAMLR but on that of the Antarctic Treaty System as a whole. CCAMLR is an essential part of the </w:t>
      </w:r>
      <w:proofErr w:type="gramStart"/>
      <w:r w:rsidRPr="00395592">
        <w:rPr>
          <w:lang w:val="en-NZ"/>
        </w:rPr>
        <w:t>ATS</w:t>
      </w:r>
      <w:proofErr w:type="gramEnd"/>
      <w:r w:rsidRPr="00395592">
        <w:rPr>
          <w:lang w:val="en-NZ"/>
        </w:rPr>
        <w:t xml:space="preserve"> and any actions taken or not taken by CCAMLR has repercussions on the work of the ATCM. </w:t>
      </w:r>
    </w:p>
    <w:p w14:paraId="6106C1AF" w14:textId="77777777" w:rsidR="00D41482" w:rsidRDefault="00D41482" w:rsidP="00D41482">
      <w:pPr>
        <w:pStyle w:val="ATSNormal"/>
        <w:jc w:val="both"/>
        <w:rPr>
          <w:lang w:val="en-NZ"/>
        </w:rPr>
      </w:pPr>
      <w:r w:rsidRPr="00395592">
        <w:rPr>
          <w:lang w:val="en-NZ"/>
        </w:rPr>
        <w:t>On the positive side, much has been accomplished in recent years in terms of MPA design, support by Members, research and monitoring, and public outreach.</w:t>
      </w:r>
    </w:p>
    <w:p w14:paraId="5B41532E" w14:textId="77777777" w:rsidR="00D41482" w:rsidRDefault="00D41482" w:rsidP="00D41482">
      <w:pPr>
        <w:pStyle w:val="ATSNormal"/>
        <w:jc w:val="both"/>
        <w:rPr>
          <w:szCs w:val="22"/>
          <w:lang w:val="en-NZ"/>
        </w:rPr>
      </w:pPr>
      <w:r w:rsidRPr="00C21AC2">
        <w:rPr>
          <w:lang w:val="en-NZ"/>
        </w:rPr>
        <w:lastRenderedPageBreak/>
        <w:t>ASOC</w:t>
      </w:r>
      <w:r w:rsidRPr="00C21AC2">
        <w:rPr>
          <w:szCs w:val="22"/>
          <w:lang w:val="en-NZ"/>
        </w:rPr>
        <w:t xml:space="preserve"> strongly supports the designation of MPAs in East Antarctica, the Weddell Sea region, and Domain 1 </w:t>
      </w:r>
      <w:r w:rsidRPr="00C21AC2">
        <w:rPr>
          <w:lang w:val="en-NZ"/>
        </w:rPr>
        <w:t>(NW Antarctic Peninsula and Scotia Sea)</w:t>
      </w:r>
      <w:r w:rsidRPr="00C21AC2">
        <w:rPr>
          <w:szCs w:val="22"/>
          <w:lang w:val="en-NZ"/>
        </w:rPr>
        <w:t xml:space="preserve"> by CCAMLR. ASOC also supports completing outstanding formalities concerning a Research and Monitoring plan for the Ross Sea MPA. </w:t>
      </w:r>
    </w:p>
    <w:p w14:paraId="7420E82B" w14:textId="77777777" w:rsidR="00D41482" w:rsidRPr="00395592" w:rsidRDefault="00D41482" w:rsidP="00D41482">
      <w:pPr>
        <w:pStyle w:val="ATSNormal"/>
        <w:jc w:val="both"/>
        <w:rPr>
          <w:szCs w:val="22"/>
          <w:lang w:val="en-NZ"/>
        </w:rPr>
      </w:pPr>
      <w:r w:rsidRPr="00C21AC2">
        <w:rPr>
          <w:lang w:val="en-NZ"/>
        </w:rPr>
        <w:t>ASOC look</w:t>
      </w:r>
      <w:r>
        <w:rPr>
          <w:lang w:val="en-NZ"/>
        </w:rPr>
        <w:t>s</w:t>
      </w:r>
      <w:r w:rsidRPr="00C21AC2">
        <w:rPr>
          <w:lang w:val="en-NZ"/>
        </w:rPr>
        <w:t xml:space="preserve"> forward to these proposals being successfully discussed again. </w:t>
      </w:r>
      <w:r w:rsidRPr="00395592">
        <w:rPr>
          <w:szCs w:val="22"/>
          <w:lang w:val="en-NZ"/>
        </w:rPr>
        <w:t>In this context, ASOC:</w:t>
      </w:r>
    </w:p>
    <w:p w14:paraId="2D77BF5F" w14:textId="77777777" w:rsidR="00D41482" w:rsidRPr="00C21AC2" w:rsidRDefault="00D41482" w:rsidP="00D41482">
      <w:pPr>
        <w:numPr>
          <w:ilvl w:val="0"/>
          <w:numId w:val="21"/>
        </w:numPr>
        <w:jc w:val="both"/>
        <w:rPr>
          <w:lang w:val="en-NZ"/>
        </w:rPr>
      </w:pPr>
      <w:r w:rsidRPr="00C21AC2">
        <w:rPr>
          <w:szCs w:val="22"/>
          <w:lang w:val="en-NZ"/>
        </w:rPr>
        <w:t>E</w:t>
      </w:r>
      <w:r w:rsidRPr="00C21AC2">
        <w:rPr>
          <w:lang w:val="en-NZ"/>
        </w:rPr>
        <w:t>ncourages all ATCPs who are also Members to support efforts, both at the technical and diplomatic level, towards reaching consensus on a wide network of CCAMLR MPAs in the Southern Ocean in 2023</w:t>
      </w:r>
      <w:r>
        <w:rPr>
          <w:lang w:val="en-NZ"/>
        </w:rPr>
        <w:t xml:space="preserve">, beginning </w:t>
      </w:r>
      <w:r w:rsidRPr="00C21AC2">
        <w:rPr>
          <w:lang w:val="en-NZ"/>
        </w:rPr>
        <w:t xml:space="preserve">at the CCAMLR-Special Meeting-III in June 2023. </w:t>
      </w:r>
    </w:p>
    <w:p w14:paraId="65F55BD4" w14:textId="77777777" w:rsidR="00D41482" w:rsidRPr="00395592" w:rsidRDefault="00D41482" w:rsidP="00D41482">
      <w:pPr>
        <w:numPr>
          <w:ilvl w:val="0"/>
          <w:numId w:val="21"/>
        </w:numPr>
        <w:jc w:val="both"/>
        <w:rPr>
          <w:lang w:val="en-NZ"/>
        </w:rPr>
      </w:pPr>
      <w:r w:rsidRPr="00395592">
        <w:rPr>
          <w:lang w:val="en-NZ"/>
        </w:rPr>
        <w:t>Recommends the ATCM/CEP to expand the network of terrestrial and marine ASPAs and ASMAs in Antarctica,</w:t>
      </w:r>
      <w:r w:rsidRPr="006E48AA">
        <w:rPr>
          <w:lang w:val="en-NZ"/>
        </w:rPr>
        <w:t xml:space="preserve"> </w:t>
      </w:r>
      <w:proofErr w:type="gramStart"/>
      <w:r w:rsidRPr="006E48AA">
        <w:rPr>
          <w:lang w:val="en-NZ"/>
        </w:rPr>
        <w:t>considering also</w:t>
      </w:r>
      <w:proofErr w:type="gramEnd"/>
      <w:r>
        <w:rPr>
          <w:lang w:val="en-NZ"/>
        </w:rPr>
        <w:t xml:space="preserve"> </w:t>
      </w:r>
      <w:r w:rsidRPr="006E48AA">
        <w:rPr>
          <w:lang w:val="en-NZ"/>
        </w:rPr>
        <w:t xml:space="preserve">the </w:t>
      </w:r>
      <w:r w:rsidRPr="00395592">
        <w:rPr>
          <w:lang w:val="en-NZ"/>
        </w:rPr>
        <w:t xml:space="preserve">harmonisation of </w:t>
      </w:r>
      <w:r>
        <w:rPr>
          <w:lang w:val="en-NZ"/>
        </w:rPr>
        <w:t>these areas</w:t>
      </w:r>
      <w:r w:rsidRPr="00395592">
        <w:rPr>
          <w:lang w:val="en-NZ"/>
        </w:rPr>
        <w:t xml:space="preserve"> and CCAMLR MPAs.</w:t>
      </w:r>
    </w:p>
    <w:p w14:paraId="10D0B653" w14:textId="77777777" w:rsidR="00D41482" w:rsidRDefault="00D41482" w:rsidP="00D41482">
      <w:pPr>
        <w:numPr>
          <w:ilvl w:val="0"/>
          <w:numId w:val="21"/>
        </w:numPr>
        <w:jc w:val="both"/>
        <w:outlineLvl w:val="0"/>
        <w:rPr>
          <w:lang w:val="en-NZ"/>
        </w:rPr>
      </w:pPr>
      <w:r w:rsidRPr="00A54FC5">
        <w:rPr>
          <w:lang w:val="en-NZ"/>
        </w:rPr>
        <w:t>Recommends the designation of the emperor penguin</w:t>
      </w:r>
      <w:r>
        <w:rPr>
          <w:lang w:val="en-NZ"/>
        </w:rPr>
        <w:t xml:space="preserve"> </w:t>
      </w:r>
      <w:r w:rsidRPr="00A54FC5">
        <w:rPr>
          <w:lang w:val="en-NZ"/>
        </w:rPr>
        <w:t>as a Specially Protected Species, in accordance with SCAR recommendations.</w:t>
      </w:r>
    </w:p>
    <w:p w14:paraId="31EF4D9E" w14:textId="77777777" w:rsidR="00D41482" w:rsidRPr="00A54FC5" w:rsidRDefault="00D41482" w:rsidP="00D41482">
      <w:pPr>
        <w:numPr>
          <w:ilvl w:val="0"/>
          <w:numId w:val="21"/>
        </w:numPr>
        <w:jc w:val="both"/>
        <w:outlineLvl w:val="0"/>
        <w:rPr>
          <w:lang w:val="en-NZ"/>
        </w:rPr>
      </w:pPr>
      <w:r w:rsidRPr="00A54FC5">
        <w:rPr>
          <w:lang w:val="en-NZ"/>
        </w:rPr>
        <w:t>Recommends the ATCM/CEP to take continued action on climate change (further detailed in other ASOC Information Papers submitted to ATCM XLV).</w:t>
      </w:r>
    </w:p>
    <w:p w14:paraId="44817A78" w14:textId="77777777" w:rsidR="00D41482" w:rsidRDefault="00D41482" w:rsidP="00D41482">
      <w:pPr>
        <w:pStyle w:val="ATSHeading2"/>
        <w:outlineLvl w:val="0"/>
        <w:rPr>
          <w:lang w:val="en-NZ"/>
        </w:rPr>
      </w:pPr>
      <w:r>
        <w:rPr>
          <w:lang w:val="en-NZ"/>
        </w:rPr>
        <w:t>References</w:t>
      </w:r>
    </w:p>
    <w:p w14:paraId="36441FCA" w14:textId="77777777" w:rsidR="00D41482" w:rsidRPr="00B53E90" w:rsidRDefault="00D41482" w:rsidP="00D41482">
      <w:pPr>
        <w:pStyle w:val="Textonotapie"/>
        <w:rPr>
          <w:sz w:val="20"/>
          <w:szCs w:val="20"/>
        </w:rPr>
      </w:pPr>
    </w:p>
    <w:p w14:paraId="6E846C2F" w14:textId="77777777" w:rsidR="00D41482" w:rsidRDefault="00D41482" w:rsidP="00D41482">
      <w:pPr>
        <w:ind w:left="720" w:hanging="720"/>
      </w:pPr>
      <w:proofErr w:type="spellStart"/>
      <w:r>
        <w:t>Arpi</w:t>
      </w:r>
      <w:proofErr w:type="spellEnd"/>
      <w:r>
        <w:t xml:space="preserve">, B., McGee, J., Jackson, A., Press, A.J.(Tony), Stephens, T., Goldsworthy, L. </w:t>
      </w:r>
      <w:proofErr w:type="gramStart"/>
      <w:r>
        <w:t>et  al.</w:t>
      </w:r>
      <w:proofErr w:type="gramEnd"/>
      <w:r>
        <w:t xml:space="preserve"> 2022. The Antarctic treaty system in 2021. Important anniversaries but challenges for consensus decision making. Polar perspectives No. 9, March 2022. Washington, DC: Wilson </w:t>
      </w:r>
      <w:proofErr w:type="spellStart"/>
      <w:r>
        <w:t>Center</w:t>
      </w:r>
      <w:proofErr w:type="spellEnd"/>
      <w:r>
        <w:t xml:space="preserve"> Polar Institute. Available from: https://www.wilsoncenter.org/publication/polar-perspectives-no-9-antarctic-treaty-system-2021-important-anniversaries-challenges.</w:t>
      </w:r>
    </w:p>
    <w:p w14:paraId="6937452D" w14:textId="77777777" w:rsidR="00D41482" w:rsidRPr="00F40243" w:rsidRDefault="00D41482" w:rsidP="00D41482">
      <w:pPr>
        <w:ind w:left="720" w:hanging="720"/>
        <w:rPr>
          <w:szCs w:val="22"/>
        </w:rPr>
      </w:pPr>
      <w:r w:rsidRPr="00F40243">
        <w:rPr>
          <w:szCs w:val="22"/>
          <w:lang w:val="de-DE" w:eastAsia="fr-FR"/>
        </w:rPr>
        <w:t xml:space="preserve">Aymeric, H., Zitterbart, D.P., …&amp; </w:t>
      </w:r>
      <w:r w:rsidRPr="00F40243">
        <w:rPr>
          <w:szCs w:val="22"/>
          <w:lang w:val="en-US" w:eastAsia="fr-FR"/>
        </w:rPr>
        <w:t xml:space="preserve">Le </w:t>
      </w:r>
      <w:proofErr w:type="spellStart"/>
      <w:r w:rsidRPr="00F40243">
        <w:rPr>
          <w:szCs w:val="22"/>
          <w:lang w:val="en-US" w:eastAsia="fr-FR"/>
        </w:rPr>
        <w:t>Bohec</w:t>
      </w:r>
      <w:proofErr w:type="spellEnd"/>
      <w:r w:rsidRPr="00F40243">
        <w:rPr>
          <w:szCs w:val="22"/>
          <w:lang w:val="en-US" w:eastAsia="fr-FR"/>
        </w:rPr>
        <w:t xml:space="preserve">, C. 2022. Juvenile emperor penguin range calls for extended conservation measures in the Southern Ocean. R. </w:t>
      </w:r>
      <w:r w:rsidRPr="00F40243">
        <w:rPr>
          <w:szCs w:val="22"/>
          <w:lang w:eastAsia="fr-FR"/>
        </w:rPr>
        <w:t xml:space="preserve">Soc. open sci. 9211708211708 </w:t>
      </w:r>
      <w:hyperlink r:id="rId11" w:history="1">
        <w:r w:rsidRPr="00F40243">
          <w:rPr>
            <w:rStyle w:val="Hipervnculo"/>
            <w:szCs w:val="22"/>
            <w:lang w:eastAsia="fr-FR"/>
          </w:rPr>
          <w:t>http://doi.org/10.1098/rsos.211708</w:t>
        </w:r>
      </w:hyperlink>
    </w:p>
    <w:p w14:paraId="0865C42A" w14:textId="77777777" w:rsidR="00D41482" w:rsidRDefault="00D41482" w:rsidP="00D41482">
      <w:pPr>
        <w:ind w:left="720" w:hanging="720"/>
      </w:pPr>
      <w:r>
        <w:t xml:space="preserve">Goldsworthy, L. 2022. Consensus decision-making in CCAMLR: Achilles' heel or fundamental to its success? International Environmental Agreements, 22, 411–437. Available from: </w:t>
      </w:r>
      <w:hyperlink r:id="rId12" w:history="1">
        <w:r w:rsidRPr="0091749A">
          <w:rPr>
            <w:rStyle w:val="Hipervnculo"/>
          </w:rPr>
          <w:t>https://doi.org/10.1007/s10784-021-09561-4</w:t>
        </w:r>
      </w:hyperlink>
    </w:p>
    <w:p w14:paraId="4323398D" w14:textId="77777777" w:rsidR="00D41482" w:rsidRPr="00F40243" w:rsidRDefault="00D41482" w:rsidP="00D41482">
      <w:pPr>
        <w:pStyle w:val="Textonotapie"/>
        <w:ind w:left="720" w:hanging="720"/>
      </w:pPr>
      <w:r w:rsidRPr="00F40243">
        <w:rPr>
          <w:lang w:val="en-US"/>
        </w:rPr>
        <w:t xml:space="preserve">Purser, A., </w:t>
      </w:r>
      <w:proofErr w:type="spellStart"/>
      <w:r w:rsidRPr="00F40243">
        <w:rPr>
          <w:lang w:val="en-US"/>
        </w:rPr>
        <w:t>Hehemann</w:t>
      </w:r>
      <w:proofErr w:type="spellEnd"/>
      <w:r w:rsidRPr="00F40243">
        <w:rPr>
          <w:lang w:val="en-US"/>
        </w:rPr>
        <w:t>, L.</w:t>
      </w:r>
      <w:r w:rsidRPr="00F40243">
        <w:t xml:space="preserve">&amp; </w:t>
      </w:r>
      <w:proofErr w:type="spellStart"/>
      <w:r w:rsidRPr="00F40243">
        <w:t>Wenzhoefer</w:t>
      </w:r>
      <w:proofErr w:type="spellEnd"/>
      <w:r w:rsidRPr="00F40243">
        <w:t xml:space="preserve">, F.: Icefish Metropole: Vast breeding colony discovered in the southern Weddell Sea, </w:t>
      </w:r>
      <w:r w:rsidRPr="00F40243">
        <w:rPr>
          <w:i/>
          <w:iCs/>
        </w:rPr>
        <w:t>Current Biology</w:t>
      </w:r>
      <w:r w:rsidRPr="00F40243">
        <w:t xml:space="preserve"> 2022. </w:t>
      </w:r>
      <w:hyperlink r:id="rId13" w:tgtFrame="_blank" w:history="1">
        <w:r w:rsidRPr="00F40243">
          <w:t>DOI: 10.1016/j.cub.2021.12.022</w:t>
        </w:r>
      </w:hyperlink>
      <w:r w:rsidRPr="00F40243">
        <w:t>.</w:t>
      </w:r>
    </w:p>
    <w:p w14:paraId="3963BC33" w14:textId="77777777" w:rsidR="00D41482" w:rsidRPr="00F40243" w:rsidDel="00DC672F" w:rsidRDefault="00D41482" w:rsidP="00D41482">
      <w:pPr>
        <w:ind w:left="720" w:hanging="720"/>
      </w:pPr>
      <w:r w:rsidRPr="00F40243">
        <w:t xml:space="preserve">Roura, R.M. 2023. Spatial protection tools as indicators of the 'health' of the Antarctic Treaty System. </w:t>
      </w:r>
      <w:r w:rsidRPr="00D5327B">
        <w:rPr>
          <w:i/>
          <w:iCs/>
        </w:rPr>
        <w:t xml:space="preserve">The Geographical </w:t>
      </w:r>
      <w:proofErr w:type="gramStart"/>
      <w:r w:rsidRPr="00D5327B">
        <w:rPr>
          <w:i/>
          <w:iCs/>
        </w:rPr>
        <w:t>Journal</w:t>
      </w:r>
      <w:r w:rsidRPr="00F40243">
        <w:t xml:space="preserve">  89</w:t>
      </w:r>
      <w:proofErr w:type="gramEnd"/>
      <w:r w:rsidRPr="00F40243">
        <w:t>-1, 25-39, Mar 2023  https://doi.org/10.1111/geoj.12482</w:t>
      </w:r>
      <w:r w:rsidRPr="00F40243" w:rsidDel="00DC672F">
        <w:t>PM</w:t>
      </w:r>
    </w:p>
    <w:p w14:paraId="4237D289" w14:textId="77777777" w:rsidR="00D41482" w:rsidRDefault="00D41482" w:rsidP="00D41482">
      <w:pPr>
        <w:ind w:left="720" w:hanging="720"/>
        <w:rPr>
          <w:i/>
          <w:iCs/>
          <w:color w:val="011833"/>
          <w:szCs w:val="22"/>
          <w:lang w:val="en-US" w:eastAsia="fr-FR"/>
        </w:rPr>
      </w:pPr>
      <w:r w:rsidRPr="00F40243">
        <w:rPr>
          <w:color w:val="011833"/>
          <w:szCs w:val="22"/>
          <w:lang w:val="en-US" w:eastAsia="fr-FR"/>
        </w:rPr>
        <w:t xml:space="preserve">SCAR. 2021.  </w:t>
      </w:r>
      <w:r w:rsidRPr="00F40243">
        <w:rPr>
          <w:i/>
          <w:iCs/>
          <w:color w:val="011833"/>
          <w:szCs w:val="22"/>
          <w:lang w:val="en-US" w:eastAsia="fr-FR"/>
        </w:rPr>
        <w:t xml:space="preserve">Projections of future population decline </w:t>
      </w:r>
      <w:proofErr w:type="spellStart"/>
      <w:r w:rsidRPr="00F40243">
        <w:rPr>
          <w:i/>
          <w:iCs/>
          <w:color w:val="011833"/>
          <w:szCs w:val="22"/>
          <w:lang w:val="en-US" w:eastAsia="fr-FR"/>
        </w:rPr>
        <w:t>emphasise</w:t>
      </w:r>
      <w:proofErr w:type="spellEnd"/>
      <w:r w:rsidRPr="00F40243">
        <w:rPr>
          <w:i/>
          <w:iCs/>
          <w:color w:val="011833"/>
          <w:szCs w:val="22"/>
          <w:lang w:val="en-US" w:eastAsia="fr-FR"/>
        </w:rPr>
        <w:t xml:space="preserve"> the need to designate the emperor penguin as an Antarctic Specially Protected Species</w:t>
      </w:r>
      <w:r>
        <w:rPr>
          <w:i/>
          <w:iCs/>
          <w:color w:val="011833"/>
          <w:szCs w:val="22"/>
          <w:lang w:val="en-US" w:eastAsia="fr-FR"/>
        </w:rPr>
        <w:t xml:space="preserve">. </w:t>
      </w:r>
      <w:r w:rsidRPr="00F40243">
        <w:rPr>
          <w:color w:val="011833"/>
          <w:szCs w:val="22"/>
          <w:lang w:val="en-US" w:eastAsia="fr-FR"/>
        </w:rPr>
        <w:t>ATCM XLIII - CEP XXII</w:t>
      </w:r>
      <w:r>
        <w:rPr>
          <w:color w:val="011833"/>
          <w:szCs w:val="22"/>
          <w:lang w:val="en-US" w:eastAsia="fr-FR"/>
        </w:rPr>
        <w:t>I/</w:t>
      </w:r>
      <w:r w:rsidRPr="00F40243">
        <w:rPr>
          <w:i/>
          <w:iCs/>
          <w:color w:val="011833"/>
          <w:szCs w:val="22"/>
          <w:lang w:val="en-US" w:eastAsia="fr-FR"/>
        </w:rPr>
        <w:t>WP037.</w:t>
      </w:r>
    </w:p>
    <w:p w14:paraId="72949BB9" w14:textId="77777777" w:rsidR="00D41482" w:rsidRPr="00B53E90" w:rsidRDefault="00D41482" w:rsidP="00D41482">
      <w:pPr>
        <w:pStyle w:val="Textonotapie"/>
        <w:rPr>
          <w:sz w:val="20"/>
          <w:szCs w:val="20"/>
        </w:rPr>
      </w:pPr>
    </w:p>
    <w:p w14:paraId="4A26ECC3" w14:textId="77777777" w:rsidR="00D41482" w:rsidRPr="00D41482" w:rsidRDefault="00D41482" w:rsidP="00D41482">
      <w:pPr>
        <w:rPr>
          <w:rFonts w:ascii="Arial" w:hAnsi="Arial"/>
          <w:b/>
          <w:i/>
          <w:sz w:val="24"/>
          <w:szCs w:val="22"/>
          <w:lang w:eastAsia="en-GB"/>
        </w:rPr>
      </w:pPr>
      <w:r w:rsidRPr="00D41482">
        <w:br w:type="page"/>
      </w:r>
    </w:p>
    <w:p w14:paraId="5255C5B0" w14:textId="77777777" w:rsidR="00D41482" w:rsidRDefault="00D41482" w:rsidP="00D41482">
      <w:pPr>
        <w:pStyle w:val="ATSHeading2"/>
        <w:outlineLvl w:val="0"/>
        <w:rPr>
          <w:lang w:val="en-NZ"/>
        </w:rPr>
      </w:pPr>
      <w:r>
        <w:rPr>
          <w:lang w:val="en-NZ"/>
        </w:rPr>
        <w:lastRenderedPageBreak/>
        <w:t>Figures</w:t>
      </w:r>
    </w:p>
    <w:p w14:paraId="3F8DCA67" w14:textId="77777777" w:rsidR="00D41482" w:rsidRDefault="00D41482" w:rsidP="00D41482">
      <w:pPr>
        <w:pStyle w:val="ATSNormal"/>
        <w:rPr>
          <w:lang w:val="en-NZ"/>
        </w:rPr>
      </w:pPr>
      <w:r>
        <w:rPr>
          <w:lang w:val="en-NZ"/>
        </w:rPr>
        <w:t xml:space="preserve">Fig. 1 – </w:t>
      </w:r>
      <w:r>
        <w:t>CCAMLR MPA proposals, and number of co-sponsors for all proposals. Members are counted only once whether they co-sponsor one or more proposals. Proposals that have been adopted (2009, 2016) are not counted in subsequent years.</w:t>
      </w:r>
    </w:p>
    <w:p w14:paraId="32840115" w14:textId="77777777" w:rsidR="00D41482" w:rsidRDefault="00D41482" w:rsidP="00D41482">
      <w:pPr>
        <w:rPr>
          <w:rFonts w:ascii="Arial" w:hAnsi="Arial"/>
          <w:b/>
          <w:i/>
          <w:sz w:val="24"/>
          <w:szCs w:val="22"/>
          <w:lang w:val="en-NZ" w:eastAsia="en-GB"/>
        </w:rPr>
      </w:pPr>
      <w:r>
        <w:rPr>
          <w:noProof/>
          <w:lang w:val="en-NZ"/>
        </w:rPr>
        <w:drawing>
          <wp:inline distT="0" distB="0" distL="0" distR="0" wp14:anchorId="66395B33" wp14:editId="5E329A6E">
            <wp:extent cx="5162550" cy="2841270"/>
            <wp:effectExtent l="0" t="0" r="0" b="0"/>
            <wp:docPr id="165949850" name="Picture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850" name="Picture 1" descr="Gráfico, Gráfico de barr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8699" cy="2850158"/>
                    </a:xfrm>
                    <a:prstGeom prst="rect">
                      <a:avLst/>
                    </a:prstGeom>
                    <a:noFill/>
                  </pic:spPr>
                </pic:pic>
              </a:graphicData>
            </a:graphic>
          </wp:inline>
        </w:drawing>
      </w:r>
    </w:p>
    <w:p w14:paraId="2E15EEAA" w14:textId="77777777" w:rsidR="00D41482" w:rsidRDefault="00D41482" w:rsidP="00D41482">
      <w:pPr>
        <w:rPr>
          <w:rFonts w:ascii="Arial" w:hAnsi="Arial"/>
          <w:b/>
          <w:i/>
          <w:sz w:val="24"/>
          <w:szCs w:val="22"/>
          <w:lang w:val="en-NZ" w:eastAsia="en-GB"/>
        </w:rPr>
      </w:pPr>
    </w:p>
    <w:p w14:paraId="15987A93" w14:textId="77777777" w:rsidR="00D41482" w:rsidRDefault="00D41482" w:rsidP="00D41482">
      <w:pPr>
        <w:rPr>
          <w:rFonts w:ascii="Arial" w:hAnsi="Arial"/>
          <w:b/>
          <w:i/>
          <w:sz w:val="24"/>
          <w:szCs w:val="22"/>
          <w:lang w:val="en-NZ" w:eastAsia="en-GB"/>
        </w:rPr>
      </w:pPr>
    </w:p>
    <w:p w14:paraId="15A310ED" w14:textId="77777777" w:rsidR="00D41482" w:rsidRDefault="00D41482" w:rsidP="00D41482">
      <w:pPr>
        <w:pStyle w:val="ATSNormal"/>
        <w:rPr>
          <w:lang w:val="en-NZ"/>
        </w:rPr>
        <w:sectPr w:rsidR="00D41482" w:rsidSect="002A2A2D">
          <w:headerReference w:type="default" r:id="rId15"/>
          <w:footerReference w:type="default" r:id="rId16"/>
          <w:type w:val="oddPage"/>
          <w:pgSz w:w="11907" w:h="16840" w:code="9"/>
          <w:pgMar w:top="1134" w:right="1701" w:bottom="1134" w:left="1701" w:header="709" w:footer="709" w:gutter="0"/>
          <w:cols w:space="708"/>
          <w:docGrid w:linePitch="360"/>
        </w:sectPr>
      </w:pPr>
    </w:p>
    <w:p w14:paraId="70F69CAA" w14:textId="77777777" w:rsidR="00D41482" w:rsidRPr="00492A14" w:rsidRDefault="00D41482" w:rsidP="00D41482">
      <w:pPr>
        <w:pStyle w:val="ATSHeading2"/>
        <w:outlineLvl w:val="0"/>
        <w:rPr>
          <w:lang w:val="en-NZ"/>
        </w:rPr>
      </w:pPr>
      <w:r w:rsidRPr="00395592">
        <w:rPr>
          <w:lang w:val="en-NZ"/>
        </w:rPr>
        <w:lastRenderedPageBreak/>
        <w:t>Table 1 – Overview of CCAMLR MPA proposals</w:t>
      </w:r>
      <w:r>
        <w:rPr>
          <w:lang w:val="en-NZ"/>
        </w:rPr>
        <w:t xml:space="preserve"> (2023)</w:t>
      </w:r>
    </w:p>
    <w:tbl>
      <w:tblPr>
        <w:tblStyle w:val="PlainTable11"/>
        <w:tblW w:w="0" w:type="auto"/>
        <w:tblLook w:val="04A0" w:firstRow="1" w:lastRow="0" w:firstColumn="1" w:lastColumn="0" w:noHBand="0" w:noVBand="1"/>
      </w:tblPr>
      <w:tblGrid>
        <w:gridCol w:w="1554"/>
        <w:gridCol w:w="1393"/>
        <w:gridCol w:w="1301"/>
        <w:gridCol w:w="1417"/>
        <w:gridCol w:w="3686"/>
        <w:gridCol w:w="2758"/>
        <w:gridCol w:w="2453"/>
      </w:tblGrid>
      <w:tr w:rsidR="00D41482" w:rsidRPr="00747658" w14:paraId="63825E94" w14:textId="77777777" w:rsidTr="00D41482">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1554" w:type="dxa"/>
            <w:hideMark/>
          </w:tcPr>
          <w:p w14:paraId="3FE51879" w14:textId="77777777" w:rsidR="00D41482" w:rsidRPr="00395592" w:rsidRDefault="00D41482" w:rsidP="00861D3D">
            <w:pPr>
              <w:rPr>
                <w:rFonts w:ascii="Arial" w:hAnsi="Arial" w:cs="Arial"/>
                <w:sz w:val="20"/>
                <w:szCs w:val="20"/>
                <w:lang w:val="en-NZ" w:eastAsia="fr-FR"/>
              </w:rPr>
            </w:pPr>
            <w:r w:rsidRPr="00395592">
              <w:rPr>
                <w:rFonts w:ascii="Arial" w:hAnsi="Arial" w:cs="Arial"/>
                <w:sz w:val="20"/>
                <w:szCs w:val="20"/>
                <w:lang w:val="en-NZ" w:eastAsia="fr-FR"/>
              </w:rPr>
              <w:t>MPA</w:t>
            </w:r>
          </w:p>
        </w:tc>
        <w:tc>
          <w:tcPr>
            <w:tcW w:w="1393" w:type="dxa"/>
            <w:hideMark/>
          </w:tcPr>
          <w:p w14:paraId="52E8B764" w14:textId="77777777" w:rsidR="00D41482" w:rsidRPr="00395592" w:rsidRDefault="00D41482" w:rsidP="00861D3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NZ" w:eastAsia="fr-FR"/>
              </w:rPr>
            </w:pPr>
            <w:r w:rsidRPr="00395592">
              <w:rPr>
                <w:rFonts w:ascii="Arial" w:hAnsi="Arial" w:cs="Arial"/>
                <w:sz w:val="20"/>
                <w:szCs w:val="20"/>
                <w:lang w:val="en-NZ" w:eastAsia="fr-FR"/>
              </w:rPr>
              <w:t>Planning Domain</w:t>
            </w:r>
          </w:p>
        </w:tc>
        <w:tc>
          <w:tcPr>
            <w:tcW w:w="1301" w:type="dxa"/>
            <w:hideMark/>
          </w:tcPr>
          <w:p w14:paraId="44D06493" w14:textId="77777777" w:rsidR="00D41482" w:rsidRPr="00395592" w:rsidRDefault="00D41482" w:rsidP="00861D3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NZ" w:eastAsia="fr-FR"/>
              </w:rPr>
            </w:pPr>
            <w:r w:rsidRPr="00395592">
              <w:rPr>
                <w:rFonts w:ascii="Arial" w:hAnsi="Arial" w:cs="Arial"/>
                <w:sz w:val="20"/>
                <w:szCs w:val="20"/>
                <w:lang w:val="en-NZ" w:eastAsia="fr-FR"/>
              </w:rPr>
              <w:t>Original surface area (year)</w:t>
            </w:r>
          </w:p>
        </w:tc>
        <w:tc>
          <w:tcPr>
            <w:tcW w:w="1417" w:type="dxa"/>
            <w:hideMark/>
          </w:tcPr>
          <w:p w14:paraId="09AF2ECD" w14:textId="77777777" w:rsidR="00D41482" w:rsidRPr="00395592" w:rsidRDefault="00D41482" w:rsidP="00861D3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NZ" w:eastAsia="fr-FR"/>
              </w:rPr>
            </w:pPr>
            <w:r w:rsidRPr="00395592">
              <w:rPr>
                <w:rFonts w:ascii="Arial" w:hAnsi="Arial" w:cs="Arial"/>
                <w:sz w:val="20"/>
                <w:szCs w:val="20"/>
                <w:lang w:val="en-NZ" w:eastAsia="fr-FR"/>
              </w:rPr>
              <w:t>Current surface area (2022)</w:t>
            </w:r>
          </w:p>
        </w:tc>
        <w:tc>
          <w:tcPr>
            <w:tcW w:w="3686" w:type="dxa"/>
            <w:hideMark/>
          </w:tcPr>
          <w:p w14:paraId="20A32852" w14:textId="77777777" w:rsidR="00D41482" w:rsidRPr="00395592" w:rsidRDefault="00D41482" w:rsidP="00861D3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NZ" w:eastAsia="fr-FR"/>
              </w:rPr>
            </w:pPr>
            <w:r w:rsidRPr="00395592">
              <w:rPr>
                <w:rFonts w:ascii="Arial" w:hAnsi="Arial" w:cs="Arial"/>
                <w:sz w:val="20"/>
                <w:szCs w:val="20"/>
                <w:lang w:val="en-NZ" w:eastAsia="fr-FR"/>
              </w:rPr>
              <w:t xml:space="preserve">Conservation and Management </w:t>
            </w:r>
          </w:p>
        </w:tc>
        <w:tc>
          <w:tcPr>
            <w:tcW w:w="2758" w:type="dxa"/>
            <w:hideMark/>
          </w:tcPr>
          <w:p w14:paraId="2E4E8DF5" w14:textId="77777777" w:rsidR="00D41482" w:rsidRPr="00395592" w:rsidRDefault="00D41482" w:rsidP="00861D3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NZ" w:eastAsia="fr-FR"/>
              </w:rPr>
            </w:pPr>
            <w:r>
              <w:rPr>
                <w:rFonts w:ascii="Arial" w:hAnsi="Arial" w:cs="Arial"/>
                <w:sz w:val="20"/>
                <w:szCs w:val="20"/>
                <w:lang w:val="en-NZ" w:eastAsia="fr-FR"/>
              </w:rPr>
              <w:t>Current p</w:t>
            </w:r>
            <w:r w:rsidRPr="00395592">
              <w:rPr>
                <w:rFonts w:ascii="Arial" w:hAnsi="Arial" w:cs="Arial"/>
                <w:sz w:val="20"/>
                <w:szCs w:val="20"/>
                <w:lang w:val="en-NZ" w:eastAsia="fr-FR"/>
              </w:rPr>
              <w:t>roponents</w:t>
            </w:r>
            <w:r>
              <w:rPr>
                <w:rFonts w:ascii="Arial" w:hAnsi="Arial" w:cs="Arial"/>
                <w:sz w:val="20"/>
                <w:szCs w:val="20"/>
                <w:lang w:val="en-NZ" w:eastAsia="fr-FR"/>
              </w:rPr>
              <w:t xml:space="preserve"> and management</w:t>
            </w:r>
          </w:p>
        </w:tc>
        <w:tc>
          <w:tcPr>
            <w:tcW w:w="0" w:type="auto"/>
            <w:hideMark/>
          </w:tcPr>
          <w:p w14:paraId="16A8C460" w14:textId="77777777" w:rsidR="00D41482" w:rsidRPr="00395592" w:rsidRDefault="00D41482" w:rsidP="00861D3D">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NZ" w:eastAsia="fr-FR"/>
              </w:rPr>
            </w:pPr>
            <w:proofErr w:type="gramStart"/>
            <w:r w:rsidRPr="00395592">
              <w:rPr>
                <w:rFonts w:ascii="Arial" w:hAnsi="Arial" w:cs="Arial"/>
                <w:sz w:val="20"/>
                <w:szCs w:val="20"/>
                <w:lang w:val="en-NZ" w:eastAsia="fr-FR"/>
              </w:rPr>
              <w:t>Current status</w:t>
            </w:r>
            <w:proofErr w:type="gramEnd"/>
          </w:p>
        </w:tc>
      </w:tr>
      <w:tr w:rsidR="00D41482" w:rsidRPr="00747658" w14:paraId="62FBD470" w14:textId="77777777" w:rsidTr="00D41482">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1B734D74"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South Orkney Is. Southern Shelf MPA</w:t>
            </w:r>
          </w:p>
        </w:tc>
        <w:tc>
          <w:tcPr>
            <w:tcW w:w="1393" w:type="dxa"/>
            <w:hideMark/>
          </w:tcPr>
          <w:p w14:paraId="316F0E05"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Domain 1</w:t>
            </w:r>
          </w:p>
        </w:tc>
        <w:tc>
          <w:tcPr>
            <w:tcW w:w="1301" w:type="dxa"/>
            <w:hideMark/>
          </w:tcPr>
          <w:p w14:paraId="0C79961C"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≈105,000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t xml:space="preserve"> (2009)</w:t>
            </w:r>
          </w:p>
        </w:tc>
        <w:tc>
          <w:tcPr>
            <w:tcW w:w="1417" w:type="dxa"/>
            <w:hideMark/>
          </w:tcPr>
          <w:p w14:paraId="2F805DCE"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93,751 km</w:t>
            </w:r>
            <w:r w:rsidRPr="00395592">
              <w:rPr>
                <w:rFonts w:ascii="Arial" w:hAnsi="Arial" w:cs="Arial"/>
                <w:sz w:val="18"/>
                <w:szCs w:val="18"/>
                <w:vertAlign w:val="superscript"/>
                <w:lang w:val="en-NZ" w:eastAsia="fr-FR"/>
              </w:rPr>
              <w:t>2</w:t>
            </w:r>
          </w:p>
        </w:tc>
        <w:tc>
          <w:tcPr>
            <w:tcW w:w="3686" w:type="dxa"/>
            <w:hideMark/>
          </w:tcPr>
          <w:p w14:paraId="6A9B7310"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Fully no-take MPA</w:t>
            </w:r>
          </w:p>
        </w:tc>
        <w:tc>
          <w:tcPr>
            <w:tcW w:w="2758" w:type="dxa"/>
            <w:hideMark/>
          </w:tcPr>
          <w:p w14:paraId="689A14BC"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Originally proposed by the UK. Managed by CCAMLR.</w:t>
            </w:r>
          </w:p>
        </w:tc>
        <w:tc>
          <w:tcPr>
            <w:tcW w:w="0" w:type="auto"/>
            <w:hideMark/>
          </w:tcPr>
          <w:p w14:paraId="7A1A6E06"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CCAMLR MPA adopted in 2009, in force.</w:t>
            </w:r>
            <w:r>
              <w:rPr>
                <w:rFonts w:ascii="Arial" w:hAnsi="Arial" w:cs="Arial"/>
                <w:sz w:val="18"/>
                <w:szCs w:val="18"/>
                <w:lang w:val="en-NZ" w:eastAsia="fr-FR"/>
              </w:rPr>
              <w:t xml:space="preserve"> </w:t>
            </w:r>
          </w:p>
        </w:tc>
      </w:tr>
      <w:tr w:rsidR="00D41482" w:rsidRPr="00747658" w14:paraId="4F53FE4D" w14:textId="77777777" w:rsidTr="00D41482">
        <w:trPr>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7211BB0E"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Ross Sea region MPA</w:t>
            </w:r>
          </w:p>
        </w:tc>
        <w:tc>
          <w:tcPr>
            <w:tcW w:w="1393" w:type="dxa"/>
            <w:hideMark/>
          </w:tcPr>
          <w:p w14:paraId="2D41F748"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Domain 8</w:t>
            </w:r>
          </w:p>
        </w:tc>
        <w:tc>
          <w:tcPr>
            <w:tcW w:w="1301" w:type="dxa"/>
            <w:hideMark/>
          </w:tcPr>
          <w:p w14:paraId="56B84DE9"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2,130,564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br/>
              <w:t>(Joint NZ-US proposal, 2013)</w:t>
            </w:r>
          </w:p>
        </w:tc>
        <w:tc>
          <w:tcPr>
            <w:tcW w:w="1417" w:type="dxa"/>
            <w:hideMark/>
          </w:tcPr>
          <w:p w14:paraId="7791CBCB"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1,525,651 km</w:t>
            </w:r>
            <w:r w:rsidRPr="00395592">
              <w:rPr>
                <w:rFonts w:ascii="Arial" w:hAnsi="Arial" w:cs="Arial"/>
                <w:sz w:val="18"/>
                <w:szCs w:val="18"/>
                <w:vertAlign w:val="superscript"/>
                <w:lang w:val="en-NZ" w:eastAsia="fr-FR"/>
              </w:rPr>
              <w:t xml:space="preserve">2 </w:t>
            </w:r>
            <w:r w:rsidRPr="00395592">
              <w:rPr>
                <w:rFonts w:ascii="Arial" w:hAnsi="Arial" w:cs="Arial"/>
                <w:sz w:val="18"/>
                <w:szCs w:val="18"/>
                <w:lang w:val="en-NZ" w:eastAsia="fr-FR"/>
              </w:rPr>
              <w:t>excluding ice shelves</w:t>
            </w:r>
          </w:p>
        </w:tc>
        <w:tc>
          <w:tcPr>
            <w:tcW w:w="3686" w:type="dxa"/>
            <w:hideMark/>
          </w:tcPr>
          <w:p w14:paraId="2F441705"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Includes a General Protection Zone, a Special Research Zone and a Krill Research Zone. Seventy-two percent of the MPA is "no-take" where all commercial fishing is forbidden.</w:t>
            </w:r>
          </w:p>
        </w:tc>
        <w:tc>
          <w:tcPr>
            <w:tcW w:w="2758" w:type="dxa"/>
            <w:hideMark/>
          </w:tcPr>
          <w:p w14:paraId="6233E06C"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Originally proposed by New Zealand &amp; USA. Managed by CCAMLR</w:t>
            </w:r>
          </w:p>
        </w:tc>
        <w:tc>
          <w:tcPr>
            <w:tcW w:w="0" w:type="auto"/>
            <w:hideMark/>
          </w:tcPr>
          <w:p w14:paraId="7B35859E"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CCAMLR MPA adopted 2016, in force since 1 Dec. 2017</w:t>
            </w:r>
            <w:r>
              <w:rPr>
                <w:rFonts w:ascii="Arial" w:hAnsi="Arial" w:cs="Arial"/>
                <w:sz w:val="18"/>
                <w:szCs w:val="18"/>
                <w:lang w:val="en-NZ" w:eastAsia="fr-FR"/>
              </w:rPr>
              <w:t xml:space="preserve"> and until at least 2052. </w:t>
            </w:r>
            <w:r w:rsidRPr="00395592">
              <w:rPr>
                <w:rFonts w:ascii="Arial" w:hAnsi="Arial" w:cs="Arial"/>
                <w:sz w:val="18"/>
                <w:szCs w:val="18"/>
                <w:lang w:val="en-NZ" w:eastAsia="fr-FR"/>
              </w:rPr>
              <w:t xml:space="preserve">Research &amp; Monitoring Plan </w:t>
            </w:r>
            <w:r>
              <w:rPr>
                <w:rFonts w:ascii="Arial" w:hAnsi="Arial" w:cs="Arial"/>
                <w:sz w:val="18"/>
                <w:szCs w:val="18"/>
                <w:lang w:val="en-NZ" w:eastAsia="fr-FR"/>
              </w:rPr>
              <w:t xml:space="preserve">active but </w:t>
            </w:r>
            <w:r w:rsidRPr="00395592">
              <w:rPr>
                <w:rFonts w:ascii="Arial" w:hAnsi="Arial" w:cs="Arial"/>
                <w:sz w:val="18"/>
                <w:szCs w:val="18"/>
                <w:lang w:val="en-NZ" w:eastAsia="fr-FR"/>
              </w:rPr>
              <w:t>not yet adopted</w:t>
            </w:r>
            <w:r>
              <w:rPr>
                <w:rFonts w:ascii="Arial" w:hAnsi="Arial" w:cs="Arial"/>
                <w:sz w:val="18"/>
                <w:szCs w:val="18"/>
                <w:lang w:val="en-NZ" w:eastAsia="fr-FR"/>
              </w:rPr>
              <w:t>.</w:t>
            </w:r>
          </w:p>
        </w:tc>
      </w:tr>
      <w:tr w:rsidR="00D41482" w:rsidRPr="00747658" w14:paraId="43D5E902" w14:textId="77777777" w:rsidTr="00D41482">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644FAC35"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East Antarctica MPA</w:t>
            </w:r>
          </w:p>
        </w:tc>
        <w:tc>
          <w:tcPr>
            <w:tcW w:w="1393" w:type="dxa"/>
            <w:hideMark/>
          </w:tcPr>
          <w:p w14:paraId="5F8E5E18"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Domain 7</w:t>
            </w:r>
          </w:p>
        </w:tc>
        <w:tc>
          <w:tcPr>
            <w:tcW w:w="1301" w:type="dxa"/>
            <w:hideMark/>
          </w:tcPr>
          <w:p w14:paraId="73BCADAF"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1,716,517 km</w:t>
            </w:r>
            <w:r w:rsidRPr="00395592">
              <w:rPr>
                <w:rFonts w:ascii="Arial" w:hAnsi="Arial" w:cs="Arial"/>
                <w:sz w:val="18"/>
                <w:szCs w:val="18"/>
                <w:vertAlign w:val="superscript"/>
                <w:lang w:val="en-NZ" w:eastAsia="fr-FR"/>
              </w:rPr>
              <w:t xml:space="preserve">2 </w:t>
            </w:r>
            <w:r w:rsidRPr="00395592">
              <w:rPr>
                <w:rFonts w:ascii="Arial" w:hAnsi="Arial" w:cs="Arial"/>
                <w:sz w:val="18"/>
                <w:szCs w:val="18"/>
                <w:lang w:val="en-NZ" w:eastAsia="fr-FR"/>
              </w:rPr>
              <w:t>(2010)</w:t>
            </w:r>
          </w:p>
        </w:tc>
        <w:tc>
          <w:tcPr>
            <w:tcW w:w="1417" w:type="dxa"/>
            <w:hideMark/>
          </w:tcPr>
          <w:p w14:paraId="28601327"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969,000 km</w:t>
            </w:r>
            <w:r w:rsidRPr="00395592">
              <w:rPr>
                <w:rFonts w:ascii="Arial" w:hAnsi="Arial" w:cs="Arial"/>
                <w:sz w:val="18"/>
                <w:szCs w:val="18"/>
                <w:vertAlign w:val="superscript"/>
                <w:lang w:val="en-NZ" w:eastAsia="fr-FR"/>
              </w:rPr>
              <w:t>2</w:t>
            </w:r>
          </w:p>
        </w:tc>
        <w:tc>
          <w:tcPr>
            <w:tcW w:w="3686" w:type="dxa"/>
            <w:hideMark/>
          </w:tcPr>
          <w:p w14:paraId="08CB8D52"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 xml:space="preserve">Designates one of its three sub-areas as a krill no-take zone, aside from other provisions allowing a multiple-use approach and research fishing. Includes a no-take buffer zone for krill predators and protects deep areas </w:t>
            </w:r>
            <w:r>
              <w:rPr>
                <w:rFonts w:ascii="Arial" w:hAnsi="Arial" w:cs="Arial"/>
                <w:sz w:val="18"/>
                <w:szCs w:val="18"/>
                <w:lang w:val="en-NZ" w:eastAsia="fr-FR"/>
              </w:rPr>
              <w:t xml:space="preserve">within </w:t>
            </w:r>
            <w:r w:rsidRPr="00395592">
              <w:rPr>
                <w:rFonts w:ascii="Arial" w:hAnsi="Arial" w:cs="Arial"/>
                <w:sz w:val="18"/>
                <w:szCs w:val="18"/>
                <w:lang w:val="en-NZ" w:eastAsia="fr-FR"/>
              </w:rPr>
              <w:t>inner shel</w:t>
            </w:r>
            <w:r>
              <w:rPr>
                <w:rFonts w:ascii="Arial" w:hAnsi="Arial" w:cs="Arial"/>
                <w:sz w:val="18"/>
                <w:szCs w:val="18"/>
                <w:lang w:val="en-NZ" w:eastAsia="fr-FR"/>
              </w:rPr>
              <w:t xml:space="preserve">ves </w:t>
            </w:r>
            <w:r w:rsidRPr="00395592">
              <w:rPr>
                <w:rFonts w:ascii="Arial" w:hAnsi="Arial" w:cs="Arial"/>
                <w:sz w:val="18"/>
                <w:szCs w:val="18"/>
                <w:lang w:val="en-NZ" w:eastAsia="fr-FR"/>
              </w:rPr>
              <w:t>&lt;550m depth</w:t>
            </w:r>
            <w:r>
              <w:rPr>
                <w:rFonts w:ascii="Arial" w:hAnsi="Arial" w:cs="Arial"/>
                <w:sz w:val="18"/>
                <w:szCs w:val="18"/>
                <w:lang w:val="en-NZ" w:eastAsia="fr-FR"/>
              </w:rPr>
              <w:t>.</w:t>
            </w:r>
          </w:p>
        </w:tc>
        <w:tc>
          <w:tcPr>
            <w:tcW w:w="2758" w:type="dxa"/>
            <w:hideMark/>
          </w:tcPr>
          <w:p w14:paraId="03F94794"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Australia, the European Union &amp;</w:t>
            </w:r>
            <w:r>
              <w:rPr>
                <w:rFonts w:ascii="Arial" w:hAnsi="Arial" w:cs="Arial"/>
                <w:sz w:val="18"/>
                <w:szCs w:val="18"/>
                <w:lang w:val="en-NZ" w:eastAsia="fr-FR"/>
              </w:rPr>
              <w:t xml:space="preserve"> i</w:t>
            </w:r>
            <w:r w:rsidRPr="00395592">
              <w:rPr>
                <w:rFonts w:ascii="Arial" w:hAnsi="Arial" w:cs="Arial"/>
                <w:sz w:val="18"/>
                <w:szCs w:val="18"/>
                <w:lang w:val="en-NZ" w:eastAsia="fr-FR"/>
              </w:rPr>
              <w:t>ts Member States, India, New Zealand, Norway, Republic of Korea, Ukraine, the United Kingdom, the USA &amp; Uruguay</w:t>
            </w:r>
          </w:p>
        </w:tc>
        <w:tc>
          <w:tcPr>
            <w:tcW w:w="0" w:type="auto"/>
            <w:hideMark/>
          </w:tcPr>
          <w:p w14:paraId="0D3BA281"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Under discussion since 2012.</w:t>
            </w:r>
          </w:p>
        </w:tc>
      </w:tr>
      <w:tr w:rsidR="00D41482" w:rsidRPr="00747658" w14:paraId="26FA5A09" w14:textId="77777777" w:rsidTr="00D41482">
        <w:trPr>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0058C9C6"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Weddell Sea region MPA</w:t>
            </w:r>
          </w:p>
        </w:tc>
        <w:tc>
          <w:tcPr>
            <w:tcW w:w="1393" w:type="dxa"/>
            <w:hideMark/>
          </w:tcPr>
          <w:p w14:paraId="69414E73"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Domains 3</w:t>
            </w:r>
            <w:r>
              <w:rPr>
                <w:rFonts w:ascii="Arial" w:hAnsi="Arial" w:cs="Arial"/>
                <w:sz w:val="18"/>
                <w:szCs w:val="18"/>
                <w:lang w:val="en-NZ" w:eastAsia="fr-FR"/>
              </w:rPr>
              <w:t xml:space="preserve"> </w:t>
            </w:r>
            <w:r w:rsidRPr="00395592">
              <w:rPr>
                <w:rFonts w:ascii="Arial" w:hAnsi="Arial" w:cs="Arial"/>
                <w:sz w:val="18"/>
                <w:szCs w:val="18"/>
                <w:lang w:val="en-NZ" w:eastAsia="fr-FR"/>
              </w:rPr>
              <w:t>&amp;</w:t>
            </w:r>
            <w:r>
              <w:rPr>
                <w:rFonts w:ascii="Arial" w:hAnsi="Arial" w:cs="Arial"/>
                <w:sz w:val="18"/>
                <w:szCs w:val="18"/>
                <w:lang w:val="en-NZ" w:eastAsia="fr-FR"/>
              </w:rPr>
              <w:t xml:space="preserve"> </w:t>
            </w:r>
            <w:r w:rsidRPr="00395592">
              <w:rPr>
                <w:rFonts w:ascii="Arial" w:hAnsi="Arial" w:cs="Arial"/>
                <w:sz w:val="18"/>
                <w:szCs w:val="18"/>
                <w:lang w:val="en-NZ" w:eastAsia="fr-FR"/>
              </w:rPr>
              <w:t>4</w:t>
            </w:r>
          </w:p>
        </w:tc>
        <w:tc>
          <w:tcPr>
            <w:tcW w:w="1301" w:type="dxa"/>
            <w:hideMark/>
          </w:tcPr>
          <w:p w14:paraId="096B815A"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2,307,593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t xml:space="preserve"> (2016)</w:t>
            </w:r>
          </w:p>
        </w:tc>
        <w:tc>
          <w:tcPr>
            <w:tcW w:w="1417" w:type="dxa"/>
            <w:hideMark/>
          </w:tcPr>
          <w:p w14:paraId="7C4E06F3"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2,707,594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br/>
              <w:t xml:space="preserve">(Prior to being </w:t>
            </w:r>
            <w:proofErr w:type="spellStart"/>
            <w:r w:rsidRPr="00395592">
              <w:rPr>
                <w:rFonts w:ascii="Arial" w:hAnsi="Arial" w:cs="Arial"/>
                <w:sz w:val="18"/>
                <w:szCs w:val="18"/>
                <w:lang w:val="en-NZ" w:eastAsia="fr-FR"/>
              </w:rPr>
              <w:t>splitin</w:t>
            </w:r>
            <w:proofErr w:type="spellEnd"/>
            <w:r w:rsidRPr="00395592">
              <w:rPr>
                <w:rFonts w:ascii="Arial" w:hAnsi="Arial" w:cs="Arial"/>
                <w:sz w:val="18"/>
                <w:szCs w:val="18"/>
                <w:lang w:val="en-NZ" w:eastAsia="fr-FR"/>
              </w:rPr>
              <w:t xml:space="preserve"> 2018)</w:t>
            </w:r>
          </w:p>
        </w:tc>
        <w:tc>
          <w:tcPr>
            <w:tcW w:w="3686" w:type="dxa"/>
            <w:hideMark/>
          </w:tcPr>
          <w:p w14:paraId="586D8D64"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Includes a General Protection Zone, a Special Protection Zone and a Fisheries Research Zone.</w:t>
            </w:r>
          </w:p>
        </w:tc>
        <w:tc>
          <w:tcPr>
            <w:tcW w:w="2758" w:type="dxa"/>
            <w:hideMark/>
          </w:tcPr>
          <w:p w14:paraId="7DD60B91"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EU &amp; Germany</w:t>
            </w:r>
          </w:p>
        </w:tc>
        <w:tc>
          <w:tcPr>
            <w:tcW w:w="0" w:type="auto"/>
            <w:hideMark/>
          </w:tcPr>
          <w:p w14:paraId="1786BC81"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 xml:space="preserve">Under discussion since 2016; split in two phases </w:t>
            </w:r>
            <w:r>
              <w:rPr>
                <w:rFonts w:ascii="Arial" w:hAnsi="Arial" w:cs="Arial"/>
                <w:sz w:val="18"/>
                <w:szCs w:val="18"/>
                <w:lang w:val="en-NZ" w:eastAsia="fr-FR"/>
              </w:rPr>
              <w:t xml:space="preserve">– E and W - </w:t>
            </w:r>
            <w:r w:rsidRPr="00395592">
              <w:rPr>
                <w:rFonts w:ascii="Arial" w:hAnsi="Arial" w:cs="Arial"/>
                <w:sz w:val="18"/>
                <w:szCs w:val="18"/>
                <w:lang w:val="en-NZ" w:eastAsia="fr-FR"/>
              </w:rPr>
              <w:t>in 2018.</w:t>
            </w:r>
          </w:p>
        </w:tc>
      </w:tr>
      <w:tr w:rsidR="00D41482" w:rsidRPr="00747658" w14:paraId="0995EED5" w14:textId="77777777" w:rsidTr="00D41482">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6D5CD572"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Weddell Sea region MPA - phase 1</w:t>
            </w:r>
          </w:p>
        </w:tc>
        <w:tc>
          <w:tcPr>
            <w:tcW w:w="1393" w:type="dxa"/>
            <w:hideMark/>
          </w:tcPr>
          <w:p w14:paraId="1D756FE0"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Domains 3</w:t>
            </w:r>
            <w:r>
              <w:rPr>
                <w:rFonts w:ascii="Arial" w:hAnsi="Arial" w:cs="Arial"/>
                <w:sz w:val="18"/>
                <w:szCs w:val="18"/>
                <w:lang w:val="en-NZ" w:eastAsia="fr-FR"/>
              </w:rPr>
              <w:t xml:space="preserve"> &amp; W of Domain 4</w:t>
            </w:r>
          </w:p>
        </w:tc>
        <w:tc>
          <w:tcPr>
            <w:tcW w:w="1301" w:type="dxa"/>
            <w:hideMark/>
          </w:tcPr>
          <w:p w14:paraId="3D51A8C9"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2,238,245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t xml:space="preserve"> (2019)</w:t>
            </w:r>
          </w:p>
        </w:tc>
        <w:tc>
          <w:tcPr>
            <w:tcW w:w="1417" w:type="dxa"/>
            <w:hideMark/>
          </w:tcPr>
          <w:p w14:paraId="00C4FAA5"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2,238,245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t xml:space="preserve"> (2019)</w:t>
            </w:r>
          </w:p>
        </w:tc>
        <w:tc>
          <w:tcPr>
            <w:tcW w:w="3686" w:type="dxa"/>
            <w:hideMark/>
          </w:tcPr>
          <w:p w14:paraId="1FD03454"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Pr>
                <w:rFonts w:ascii="Arial" w:hAnsi="Arial" w:cs="Arial"/>
                <w:sz w:val="18"/>
                <w:szCs w:val="18"/>
                <w:lang w:val="en-NZ" w:eastAsia="fr-FR"/>
              </w:rPr>
              <w:t xml:space="preserve">Includes </w:t>
            </w:r>
            <w:r w:rsidRPr="00395592">
              <w:rPr>
                <w:rFonts w:ascii="Arial" w:hAnsi="Arial" w:cs="Arial"/>
                <w:sz w:val="18"/>
                <w:szCs w:val="18"/>
                <w:lang w:val="en-NZ" w:eastAsia="fr-FR"/>
              </w:rPr>
              <w:t xml:space="preserve">key </w:t>
            </w:r>
            <w:r>
              <w:rPr>
                <w:rFonts w:ascii="Arial" w:hAnsi="Arial" w:cs="Arial"/>
                <w:sz w:val="18"/>
                <w:szCs w:val="18"/>
                <w:lang w:val="en-NZ" w:eastAsia="fr-FR"/>
              </w:rPr>
              <w:t xml:space="preserve">representative, vulnerable, rare or biodiverse </w:t>
            </w:r>
            <w:r w:rsidRPr="00395592">
              <w:rPr>
                <w:rFonts w:ascii="Arial" w:hAnsi="Arial" w:cs="Arial"/>
                <w:sz w:val="18"/>
                <w:szCs w:val="18"/>
                <w:lang w:val="en-NZ" w:eastAsia="fr-FR"/>
              </w:rPr>
              <w:t>area</w:t>
            </w:r>
            <w:r>
              <w:rPr>
                <w:rFonts w:ascii="Arial" w:hAnsi="Arial" w:cs="Arial"/>
                <w:sz w:val="18"/>
                <w:szCs w:val="18"/>
                <w:lang w:val="en-NZ" w:eastAsia="fr-FR"/>
              </w:rPr>
              <w:t>s. and aims to provide climate change refugia. I</w:t>
            </w:r>
            <w:r w:rsidRPr="00395592">
              <w:rPr>
                <w:rFonts w:ascii="Arial" w:hAnsi="Arial" w:cs="Arial"/>
                <w:sz w:val="18"/>
                <w:szCs w:val="18"/>
                <w:lang w:val="en-NZ" w:eastAsia="fr-FR"/>
              </w:rPr>
              <w:t>ncludes a General Protection Zone, a Special Protection Zone, and a</w:t>
            </w:r>
            <w:r>
              <w:rPr>
                <w:rFonts w:ascii="Arial" w:hAnsi="Arial" w:cs="Arial"/>
                <w:sz w:val="18"/>
                <w:szCs w:val="18"/>
                <w:lang w:val="en-NZ" w:eastAsia="fr-FR"/>
              </w:rPr>
              <w:t xml:space="preserve"> </w:t>
            </w:r>
            <w:r w:rsidRPr="00395592">
              <w:rPr>
                <w:rFonts w:ascii="Arial" w:hAnsi="Arial" w:cs="Arial"/>
                <w:sz w:val="18"/>
                <w:szCs w:val="18"/>
                <w:lang w:val="en-NZ" w:eastAsia="fr-FR"/>
              </w:rPr>
              <w:t xml:space="preserve">Fisheries Research Zone </w:t>
            </w:r>
            <w:r>
              <w:rPr>
                <w:rFonts w:ascii="Arial" w:hAnsi="Arial" w:cs="Arial"/>
                <w:sz w:val="18"/>
                <w:szCs w:val="18"/>
                <w:lang w:val="en-NZ" w:eastAsia="fr-FR"/>
              </w:rPr>
              <w:t>inclusive of</w:t>
            </w:r>
            <w:r w:rsidRPr="00395592">
              <w:rPr>
                <w:rFonts w:ascii="Arial" w:hAnsi="Arial" w:cs="Arial"/>
                <w:sz w:val="18"/>
                <w:szCs w:val="18"/>
                <w:lang w:val="en-NZ" w:eastAsia="fr-FR"/>
              </w:rPr>
              <w:t xml:space="preserve"> a no-fishing </w:t>
            </w:r>
            <w:r>
              <w:rPr>
                <w:rFonts w:ascii="Arial" w:hAnsi="Arial" w:cs="Arial"/>
                <w:sz w:val="18"/>
                <w:szCs w:val="18"/>
                <w:lang w:val="en-NZ" w:eastAsia="fr-FR"/>
              </w:rPr>
              <w:t xml:space="preserve">Scientific </w:t>
            </w:r>
            <w:r w:rsidRPr="00395592">
              <w:rPr>
                <w:rFonts w:ascii="Arial" w:hAnsi="Arial" w:cs="Arial"/>
                <w:sz w:val="18"/>
                <w:szCs w:val="18"/>
                <w:lang w:val="en-NZ" w:eastAsia="fr-FR"/>
              </w:rPr>
              <w:t xml:space="preserve">Reference </w:t>
            </w:r>
            <w:r>
              <w:rPr>
                <w:rFonts w:ascii="Arial" w:hAnsi="Arial" w:cs="Arial"/>
                <w:sz w:val="18"/>
                <w:szCs w:val="18"/>
                <w:lang w:val="en-NZ" w:eastAsia="fr-FR"/>
              </w:rPr>
              <w:t>Area</w:t>
            </w:r>
            <w:r w:rsidRPr="00395592">
              <w:rPr>
                <w:rFonts w:ascii="Arial" w:hAnsi="Arial" w:cs="Arial"/>
                <w:sz w:val="18"/>
                <w:szCs w:val="18"/>
                <w:lang w:val="en-NZ" w:eastAsia="fr-FR"/>
              </w:rPr>
              <w:t>. </w:t>
            </w:r>
          </w:p>
        </w:tc>
        <w:tc>
          <w:tcPr>
            <w:tcW w:w="2758" w:type="dxa"/>
            <w:hideMark/>
          </w:tcPr>
          <w:p w14:paraId="117450B0"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European Union and its Member States, Norway, Uruguay, Australia, the United Kingdom, New Zealand, the USA, Republic of Korea, India &amp; Ukraine</w:t>
            </w:r>
          </w:p>
        </w:tc>
        <w:tc>
          <w:tcPr>
            <w:tcW w:w="0" w:type="auto"/>
            <w:hideMark/>
          </w:tcPr>
          <w:p w14:paraId="36482A92"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Phase 1 of CCAMLR MPA proposal under discussion since 2016</w:t>
            </w:r>
          </w:p>
        </w:tc>
      </w:tr>
      <w:tr w:rsidR="00D41482" w:rsidRPr="00747658" w14:paraId="6E63805F" w14:textId="77777777" w:rsidTr="00D41482">
        <w:trPr>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57F81D9F"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Weddell Sea region MPA - phase 2</w:t>
            </w:r>
          </w:p>
        </w:tc>
        <w:tc>
          <w:tcPr>
            <w:tcW w:w="1393" w:type="dxa"/>
            <w:hideMark/>
          </w:tcPr>
          <w:p w14:paraId="64953819"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Pr>
                <w:rFonts w:ascii="Arial" w:hAnsi="Arial" w:cs="Arial"/>
                <w:sz w:val="18"/>
                <w:szCs w:val="18"/>
                <w:lang w:val="en-NZ" w:eastAsia="fr-FR"/>
              </w:rPr>
              <w:t xml:space="preserve">E of </w:t>
            </w:r>
            <w:r w:rsidRPr="00395592">
              <w:rPr>
                <w:rFonts w:ascii="Arial" w:hAnsi="Arial" w:cs="Arial"/>
                <w:sz w:val="18"/>
                <w:szCs w:val="18"/>
                <w:lang w:val="en-NZ" w:eastAsia="fr-FR"/>
              </w:rPr>
              <w:t>Domain 4</w:t>
            </w:r>
            <w:r>
              <w:rPr>
                <w:rFonts w:ascii="Arial" w:hAnsi="Arial" w:cs="Arial"/>
                <w:sz w:val="18"/>
                <w:szCs w:val="18"/>
                <w:lang w:val="en-NZ" w:eastAsia="fr-FR"/>
              </w:rPr>
              <w:t xml:space="preserve">; MPA planning </w:t>
            </w:r>
            <w:proofErr w:type="gramStart"/>
            <w:r>
              <w:rPr>
                <w:rFonts w:ascii="Arial" w:hAnsi="Arial" w:cs="Arial"/>
                <w:sz w:val="18"/>
                <w:szCs w:val="18"/>
                <w:lang w:val="en-NZ" w:eastAsia="fr-FR"/>
              </w:rPr>
              <w:t>area  extends</w:t>
            </w:r>
            <w:proofErr w:type="gramEnd"/>
            <w:r>
              <w:rPr>
                <w:rFonts w:ascii="Arial" w:hAnsi="Arial" w:cs="Arial"/>
                <w:sz w:val="18"/>
                <w:szCs w:val="18"/>
                <w:lang w:val="en-NZ" w:eastAsia="fr-FR"/>
              </w:rPr>
              <w:t xml:space="preserve"> </w:t>
            </w:r>
            <w:r>
              <w:rPr>
                <w:rFonts w:ascii="Arial" w:hAnsi="Arial" w:cs="Arial"/>
                <w:sz w:val="18"/>
                <w:szCs w:val="18"/>
                <w:lang w:val="en-NZ" w:eastAsia="fr-FR"/>
              </w:rPr>
              <w:lastRenderedPageBreak/>
              <w:t>further E and N</w:t>
            </w:r>
          </w:p>
        </w:tc>
        <w:tc>
          <w:tcPr>
            <w:tcW w:w="1301" w:type="dxa"/>
            <w:hideMark/>
          </w:tcPr>
          <w:p w14:paraId="4B960108"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lastRenderedPageBreak/>
              <w:t>N/A</w:t>
            </w:r>
          </w:p>
        </w:tc>
        <w:tc>
          <w:tcPr>
            <w:tcW w:w="1417" w:type="dxa"/>
            <w:hideMark/>
          </w:tcPr>
          <w:p w14:paraId="54B2639A"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TBD</w:t>
            </w:r>
          </w:p>
        </w:tc>
        <w:tc>
          <w:tcPr>
            <w:tcW w:w="3686" w:type="dxa"/>
            <w:hideMark/>
          </w:tcPr>
          <w:p w14:paraId="5AA3E0A9"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TBD</w:t>
            </w:r>
          </w:p>
        </w:tc>
        <w:tc>
          <w:tcPr>
            <w:tcW w:w="2758" w:type="dxa"/>
            <w:hideMark/>
          </w:tcPr>
          <w:p w14:paraId="5BEEABCE"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Proposal being developed by Norway</w:t>
            </w:r>
          </w:p>
        </w:tc>
        <w:tc>
          <w:tcPr>
            <w:tcW w:w="0" w:type="auto"/>
            <w:hideMark/>
          </w:tcPr>
          <w:p w14:paraId="6E41D3B4" w14:textId="77777777" w:rsidR="00D41482" w:rsidRPr="00395592" w:rsidRDefault="00D41482" w:rsidP="00861D3D">
            <w:pPr>
              <w:spacing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 xml:space="preserve">Phase 2 of proposal under discussion since 2016. </w:t>
            </w:r>
            <w:r>
              <w:rPr>
                <w:rFonts w:ascii="Arial" w:hAnsi="Arial" w:cs="Arial"/>
                <w:sz w:val="18"/>
                <w:szCs w:val="18"/>
                <w:lang w:val="en-NZ" w:eastAsia="fr-FR"/>
              </w:rPr>
              <w:t>Draft p</w:t>
            </w:r>
            <w:r w:rsidRPr="00395592">
              <w:rPr>
                <w:rFonts w:ascii="Arial" w:hAnsi="Arial" w:cs="Arial"/>
                <w:sz w:val="18"/>
                <w:szCs w:val="18"/>
                <w:lang w:val="en-NZ" w:eastAsia="fr-FR"/>
              </w:rPr>
              <w:t>roposal expected in 2023.</w:t>
            </w:r>
          </w:p>
        </w:tc>
      </w:tr>
      <w:tr w:rsidR="00D41482" w:rsidRPr="00747658" w14:paraId="498BB6EF" w14:textId="77777777" w:rsidTr="00D41482">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54" w:type="dxa"/>
            <w:hideMark/>
          </w:tcPr>
          <w:p w14:paraId="7A40B093" w14:textId="77777777" w:rsidR="00D41482" w:rsidRPr="00395592" w:rsidRDefault="00D41482" w:rsidP="00861D3D">
            <w:pPr>
              <w:spacing w:after="60"/>
              <w:rPr>
                <w:rFonts w:ascii="Arial" w:hAnsi="Arial" w:cs="Arial"/>
                <w:sz w:val="18"/>
                <w:szCs w:val="18"/>
                <w:lang w:val="en-NZ" w:eastAsia="fr-FR"/>
              </w:rPr>
            </w:pPr>
            <w:r w:rsidRPr="00395592">
              <w:rPr>
                <w:rFonts w:ascii="Arial" w:hAnsi="Arial" w:cs="Arial"/>
                <w:sz w:val="18"/>
                <w:szCs w:val="18"/>
                <w:lang w:val="en-NZ" w:eastAsia="fr-FR"/>
              </w:rPr>
              <w:t>Domain 1 MPA</w:t>
            </w:r>
          </w:p>
        </w:tc>
        <w:tc>
          <w:tcPr>
            <w:tcW w:w="1393" w:type="dxa"/>
            <w:hideMark/>
          </w:tcPr>
          <w:p w14:paraId="1EC2DF2E"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Domain 1</w:t>
            </w:r>
          </w:p>
        </w:tc>
        <w:tc>
          <w:tcPr>
            <w:tcW w:w="1301" w:type="dxa"/>
            <w:hideMark/>
          </w:tcPr>
          <w:p w14:paraId="34F8B137"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466,000 km</w:t>
            </w:r>
            <w:r w:rsidRPr="00395592">
              <w:rPr>
                <w:rFonts w:ascii="Arial" w:hAnsi="Arial" w:cs="Arial"/>
                <w:sz w:val="18"/>
                <w:szCs w:val="18"/>
                <w:vertAlign w:val="superscript"/>
                <w:lang w:val="en-NZ" w:eastAsia="fr-FR"/>
              </w:rPr>
              <w:t>2</w:t>
            </w:r>
            <w:r w:rsidRPr="00395592">
              <w:rPr>
                <w:rFonts w:ascii="Arial" w:hAnsi="Arial" w:cs="Arial"/>
                <w:sz w:val="18"/>
                <w:szCs w:val="18"/>
                <w:lang w:val="en-NZ" w:eastAsia="fr-FR"/>
              </w:rPr>
              <w:t xml:space="preserve"> (2018)</w:t>
            </w:r>
          </w:p>
        </w:tc>
        <w:tc>
          <w:tcPr>
            <w:tcW w:w="1417" w:type="dxa"/>
            <w:hideMark/>
          </w:tcPr>
          <w:p w14:paraId="43B36C16"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670,000 km</w:t>
            </w:r>
            <w:r w:rsidRPr="00395592">
              <w:rPr>
                <w:rFonts w:ascii="Arial" w:hAnsi="Arial" w:cs="Arial"/>
                <w:sz w:val="18"/>
                <w:szCs w:val="18"/>
                <w:vertAlign w:val="superscript"/>
                <w:lang w:val="en-NZ" w:eastAsia="fr-FR"/>
              </w:rPr>
              <w:t>2</w:t>
            </w:r>
          </w:p>
        </w:tc>
        <w:tc>
          <w:tcPr>
            <w:tcW w:w="3686" w:type="dxa"/>
            <w:hideMark/>
          </w:tcPr>
          <w:p w14:paraId="5546716A"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 xml:space="preserve">Includes </w:t>
            </w:r>
            <w:r>
              <w:rPr>
                <w:rFonts w:ascii="Arial" w:hAnsi="Arial" w:cs="Arial"/>
                <w:sz w:val="18"/>
                <w:szCs w:val="18"/>
                <w:lang w:val="en-NZ" w:eastAsia="fr-FR"/>
              </w:rPr>
              <w:t xml:space="preserve">a </w:t>
            </w:r>
            <w:r w:rsidRPr="00395592">
              <w:rPr>
                <w:rFonts w:ascii="Arial" w:hAnsi="Arial" w:cs="Arial"/>
                <w:sz w:val="18"/>
                <w:szCs w:val="18"/>
                <w:lang w:val="en-NZ" w:eastAsia="fr-FR"/>
              </w:rPr>
              <w:t xml:space="preserve">General Protection Zone </w:t>
            </w:r>
            <w:r w:rsidRPr="00B53E90">
              <w:rPr>
                <w:rFonts w:ascii="Arial" w:hAnsi="Arial" w:cs="Arial"/>
                <w:sz w:val="18"/>
                <w:szCs w:val="18"/>
                <w:lang w:val="en-NZ" w:eastAsia="fr-FR"/>
              </w:rPr>
              <w:t xml:space="preserve">and </w:t>
            </w:r>
            <w:r>
              <w:rPr>
                <w:rFonts w:ascii="Arial" w:hAnsi="Arial" w:cs="Arial"/>
                <w:sz w:val="18"/>
                <w:szCs w:val="18"/>
                <w:lang w:val="en-NZ" w:eastAsia="fr-FR"/>
              </w:rPr>
              <w:t>a</w:t>
            </w:r>
            <w:r w:rsidRPr="00B53E90">
              <w:rPr>
                <w:rFonts w:ascii="Arial" w:hAnsi="Arial" w:cs="Arial"/>
                <w:sz w:val="18"/>
                <w:szCs w:val="18"/>
                <w:lang w:val="en-NZ" w:eastAsia="fr-FR"/>
              </w:rPr>
              <w:t xml:space="preserve"> Krill Fishery Zone</w:t>
            </w:r>
            <w:r>
              <w:rPr>
                <w:rFonts w:ascii="Arial" w:hAnsi="Arial" w:cs="Arial"/>
                <w:sz w:val="18"/>
                <w:szCs w:val="18"/>
                <w:lang w:val="en-NZ" w:eastAsia="fr-FR"/>
              </w:rPr>
              <w:t>. Ove</w:t>
            </w:r>
            <w:r w:rsidRPr="00B53E90">
              <w:rPr>
                <w:rFonts w:ascii="Arial" w:hAnsi="Arial" w:cs="Arial"/>
                <w:sz w:val="18"/>
                <w:szCs w:val="18"/>
                <w:lang w:val="en-NZ" w:eastAsia="fr-FR"/>
              </w:rPr>
              <w:t>r 60% of the MPA is protected as part of the GPZ.</w:t>
            </w:r>
          </w:p>
        </w:tc>
        <w:tc>
          <w:tcPr>
            <w:tcW w:w="2758" w:type="dxa"/>
            <w:hideMark/>
          </w:tcPr>
          <w:p w14:paraId="0A79DF28"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Argentina &amp; Chile</w:t>
            </w:r>
          </w:p>
        </w:tc>
        <w:tc>
          <w:tcPr>
            <w:tcW w:w="0" w:type="auto"/>
            <w:hideMark/>
          </w:tcPr>
          <w:p w14:paraId="0072A760" w14:textId="77777777" w:rsidR="00D41482" w:rsidRPr="00395592" w:rsidRDefault="00D41482" w:rsidP="00861D3D">
            <w:pPr>
              <w:spacing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NZ" w:eastAsia="fr-FR"/>
              </w:rPr>
            </w:pPr>
            <w:r w:rsidRPr="00395592">
              <w:rPr>
                <w:rFonts w:ascii="Arial" w:hAnsi="Arial" w:cs="Arial"/>
                <w:sz w:val="18"/>
                <w:szCs w:val="18"/>
                <w:lang w:val="en-NZ" w:eastAsia="fr-FR"/>
              </w:rPr>
              <w:t>CCAMLR MPA proposal under discussion since 2018.</w:t>
            </w:r>
          </w:p>
        </w:tc>
      </w:tr>
    </w:tbl>
    <w:p w14:paraId="0FF5DD59" w14:textId="77777777" w:rsidR="00D41482" w:rsidRPr="00395592" w:rsidRDefault="00D41482" w:rsidP="00D41482">
      <w:pPr>
        <w:pStyle w:val="ATSHeading2"/>
        <w:outlineLvl w:val="0"/>
        <w:rPr>
          <w:lang w:val="en-NZ"/>
        </w:rPr>
      </w:pPr>
    </w:p>
    <w:p w14:paraId="00A0790A" w14:textId="77777777" w:rsidR="00D41482" w:rsidRPr="00D41482" w:rsidRDefault="00D41482" w:rsidP="00952E9F">
      <w:pPr>
        <w:rPr>
          <w:lang w:val="en-NZ"/>
        </w:rPr>
      </w:pPr>
    </w:p>
    <w:sectPr w:rsidR="00D41482" w:rsidRPr="00D41482" w:rsidSect="00D41482">
      <w:headerReference w:type="default" r:id="rId17"/>
      <w:footerReference w:type="default" r:id="rId18"/>
      <w:type w:val="oddPage"/>
      <w:pgSz w:w="16840" w:h="11907" w:orient="landscape"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4D8D5" w14:textId="77777777" w:rsidR="005449A5" w:rsidRDefault="005449A5">
      <w:r>
        <w:separator/>
      </w:r>
    </w:p>
  </w:endnote>
  <w:endnote w:type="continuationSeparator" w:id="0">
    <w:p w14:paraId="4CD1F33F" w14:textId="77777777" w:rsidR="005449A5" w:rsidRDefault="0054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Heiti TC 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51D5" w14:textId="77777777" w:rsidR="00FA0B9F" w:rsidRDefault="00D41482" w:rsidP="00CF5C82">
    <w:pPr>
      <w:framePr w:wrap="around" w:vAnchor="text" w:hAnchor="margin" w:xAlign="right" w:y="1"/>
    </w:pPr>
    <w:r>
      <w:fldChar w:fldCharType="begin"/>
    </w:r>
    <w:r>
      <w:instrText xml:space="preserve">PAGE  </w:instrText>
    </w:r>
    <w:r>
      <w:fldChar w:fldCharType="end"/>
    </w:r>
  </w:p>
  <w:p w14:paraId="092962A0" w14:textId="77777777" w:rsidR="00FA0B9F" w:rsidRDefault="002A610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6815" w14:textId="77777777" w:rsidR="00FA0B9F" w:rsidRDefault="00D4148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837C392" w14:textId="522AC446" w:rsidR="00FA0B9F" w:rsidRDefault="002A6106" w:rsidP="00D4148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E1FF" w14:textId="77777777" w:rsidR="00D41482" w:rsidRDefault="00D41482" w:rsidP="00E60AB2">
    <w:pPr>
      <w:framePr w:wrap="around" w:vAnchor="text" w:hAnchor="margin" w:xAlign="right" w:y="1"/>
    </w:pPr>
    <w:r>
      <w:fldChar w:fldCharType="begin"/>
    </w:r>
    <w:r>
      <w:instrText xml:space="preserve">PAGE  </w:instrText>
    </w:r>
    <w:r>
      <w:fldChar w:fldCharType="separate"/>
    </w:r>
    <w:r>
      <w:rPr>
        <w:noProof/>
      </w:rPr>
      <w:t>6</w:t>
    </w:r>
    <w:r>
      <w:fldChar w:fldCharType="end"/>
    </w:r>
  </w:p>
  <w:p w14:paraId="2623D87E" w14:textId="77777777" w:rsidR="00D41482" w:rsidRDefault="00D41482" w:rsidP="00E60AB2">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DB62" w14:textId="77777777" w:rsidR="00E311C9" w:rsidRDefault="00D4148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AAF4134" w14:textId="77777777" w:rsidR="00E311C9" w:rsidRDefault="002A610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70B56" w14:textId="77777777" w:rsidR="005449A5" w:rsidRDefault="005449A5">
      <w:r>
        <w:separator/>
      </w:r>
    </w:p>
  </w:footnote>
  <w:footnote w:type="continuationSeparator" w:id="0">
    <w:p w14:paraId="5A55B26B" w14:textId="77777777" w:rsidR="005449A5" w:rsidRDefault="005449A5">
      <w:r>
        <w:continuationSeparator/>
      </w:r>
    </w:p>
  </w:footnote>
  <w:footnote w:id="1">
    <w:p w14:paraId="7D38B827" w14:textId="77777777" w:rsidR="00D41482" w:rsidRPr="00B53E90" w:rsidRDefault="00D41482" w:rsidP="00D41482">
      <w:pPr>
        <w:pStyle w:val="ATSNormal"/>
        <w:spacing w:before="0" w:after="0"/>
        <w:jc w:val="both"/>
        <w:rPr>
          <w:sz w:val="20"/>
          <w:szCs w:val="20"/>
        </w:rPr>
      </w:pPr>
      <w:r w:rsidRPr="00B53E90">
        <w:rPr>
          <w:rStyle w:val="Refdenotaalpie"/>
          <w:sz w:val="20"/>
          <w:szCs w:val="20"/>
        </w:rPr>
        <w:footnoteRef/>
      </w:r>
      <w:r w:rsidRPr="00B53E90">
        <w:rPr>
          <w:sz w:val="20"/>
          <w:szCs w:val="20"/>
        </w:rPr>
        <w:t xml:space="preserve"> There are currently eight EU Member States that are also CCAMLR Members. The Netherlands joined CCAMLR in October 2019 and the UK left the EU on 1 February 2020. </w:t>
      </w:r>
    </w:p>
  </w:footnote>
  <w:footnote w:id="2">
    <w:p w14:paraId="03FDA85B" w14:textId="77777777" w:rsidR="00D41482" w:rsidRPr="00B53E90" w:rsidRDefault="00D41482" w:rsidP="00D41482">
      <w:pPr>
        <w:pStyle w:val="Textonotapie"/>
        <w:rPr>
          <w:sz w:val="20"/>
          <w:szCs w:val="20"/>
          <w:lang w:val="en-US"/>
        </w:rPr>
      </w:pPr>
      <w:r w:rsidRPr="00B53E90">
        <w:rPr>
          <w:rStyle w:val="Refdenotaalpie"/>
          <w:sz w:val="20"/>
          <w:szCs w:val="20"/>
        </w:rPr>
        <w:footnoteRef/>
      </w:r>
      <w:r w:rsidRPr="00B53E90">
        <w:rPr>
          <w:sz w:val="20"/>
          <w:szCs w:val="20"/>
        </w:rPr>
        <w:t xml:space="preserve"> https://www.cbd.int/article/draft-1-global-biodiversity-framework</w:t>
      </w:r>
    </w:p>
  </w:footnote>
  <w:footnote w:id="3">
    <w:p w14:paraId="35306C06" w14:textId="77777777" w:rsidR="00D41482" w:rsidRPr="00B53E90" w:rsidRDefault="00D41482" w:rsidP="00D41482">
      <w:pPr>
        <w:pStyle w:val="Textonotapie"/>
        <w:rPr>
          <w:sz w:val="20"/>
          <w:szCs w:val="20"/>
        </w:rPr>
      </w:pPr>
      <w:r w:rsidRPr="00B53E90">
        <w:rPr>
          <w:rStyle w:val="Refdenotaalpie"/>
          <w:sz w:val="20"/>
          <w:szCs w:val="20"/>
        </w:rPr>
        <w:footnoteRef/>
      </w:r>
      <w:r w:rsidRPr="00B53E90">
        <w:rPr>
          <w:sz w:val="20"/>
          <w:szCs w:val="20"/>
        </w:rPr>
        <w:t xml:space="preserve">  </w:t>
      </w:r>
      <w:r>
        <w:rPr>
          <w:sz w:val="20"/>
          <w:szCs w:val="20"/>
        </w:rPr>
        <w:t>See e.g. Arpi et al. (2022</w:t>
      </w:r>
      <w:r>
        <w:rPr>
          <w:sz w:val="20"/>
          <w:szCs w:val="20"/>
        </w:rPr>
        <w:t>);  Goldsworthy (2022; Roura (2023).</w:t>
      </w:r>
    </w:p>
  </w:footnote>
  <w:footnote w:id="4">
    <w:p w14:paraId="1DACE82A" w14:textId="77777777" w:rsidR="00D41482" w:rsidRPr="00B53E90" w:rsidRDefault="00D41482" w:rsidP="00D41482">
      <w:pPr>
        <w:pStyle w:val="NormalWeb"/>
        <w:shd w:val="clear" w:color="auto" w:fill="FFFFFF"/>
        <w:spacing w:before="0" w:beforeAutospacing="0" w:after="0" w:afterAutospacing="0"/>
        <w:textAlignment w:val="baseline"/>
        <w:rPr>
          <w:sz w:val="20"/>
          <w:szCs w:val="20"/>
          <w:lang w:val="en-US"/>
        </w:rPr>
      </w:pPr>
      <w:r w:rsidRPr="00B53E90">
        <w:rPr>
          <w:rStyle w:val="Refdenotaalpie"/>
          <w:sz w:val="20"/>
          <w:szCs w:val="20"/>
        </w:rPr>
        <w:footnoteRef/>
      </w:r>
      <w:r w:rsidRPr="00B53E90">
        <w:rPr>
          <w:sz w:val="20"/>
          <w:szCs w:val="20"/>
        </w:rPr>
        <w:t xml:space="preserve"> </w:t>
      </w:r>
      <w:r w:rsidRPr="00B53E90">
        <w:rPr>
          <w:sz w:val="20"/>
          <w:szCs w:val="20"/>
          <w:lang w:val="en-GB" w:eastAsia="en-GB"/>
        </w:rPr>
        <w:t>These include the CCAMLR MPA Information Repository (CMIR) (</w:t>
      </w:r>
      <w:hyperlink r:id="rId1" w:history="1">
        <w:r w:rsidRPr="00B53E90">
          <w:rPr>
            <w:sz w:val="20"/>
            <w:szCs w:val="20"/>
            <w:lang w:val="en-GB" w:eastAsia="en-GB"/>
          </w:rPr>
          <w:t>https://cmir.ccamlr.org/</w:t>
        </w:r>
      </w:hyperlink>
      <w:r w:rsidRPr="00B53E90">
        <w:rPr>
          <w:sz w:val="20"/>
          <w:szCs w:val="20"/>
          <w:lang w:val="en-GB" w:eastAsia="en-GB"/>
        </w:rPr>
        <w:t>), the Weddell Sea MPA Project (</w:t>
      </w:r>
      <w:hyperlink r:id="rId2" w:history="1">
        <w:r w:rsidRPr="00B53E90">
          <w:rPr>
            <w:sz w:val="20"/>
            <w:szCs w:val="20"/>
            <w:lang w:val="en-GB" w:eastAsia="en-GB"/>
          </w:rPr>
          <w:t>https://wsmpa.de/en</w:t>
        </w:r>
      </w:hyperlink>
      <w:r w:rsidRPr="00B53E90">
        <w:rPr>
          <w:sz w:val="20"/>
          <w:szCs w:val="20"/>
          <w:lang w:val="en-GB" w:eastAsia="en-GB"/>
        </w:rPr>
        <w:t>) supported by the German Federal Ministry of Food and Agriculture (BMEL) and the Alfred Wegener Institute (AWI); and dedicated website pages by NAPs, think tanks, and civil society organizations.</w:t>
      </w:r>
    </w:p>
  </w:footnote>
  <w:footnote w:id="5">
    <w:p w14:paraId="0D535FC3" w14:textId="77777777" w:rsidR="00D41482" w:rsidRPr="00F40243" w:rsidRDefault="00D41482" w:rsidP="00D41482">
      <w:pPr>
        <w:pStyle w:val="Textonotapie"/>
        <w:rPr>
          <w:sz w:val="20"/>
          <w:szCs w:val="20"/>
          <w:lang w:val="fr-FR"/>
        </w:rPr>
      </w:pPr>
      <w:r w:rsidRPr="00B53E90">
        <w:rPr>
          <w:rStyle w:val="Refdenotaalpie"/>
          <w:sz w:val="20"/>
          <w:szCs w:val="20"/>
        </w:rPr>
        <w:footnoteRef/>
      </w:r>
      <w:r w:rsidRPr="00F40243">
        <w:rPr>
          <w:sz w:val="20"/>
          <w:szCs w:val="20"/>
          <w:lang w:val="fr-FR"/>
        </w:rPr>
        <w:t xml:space="preserve"> Purser</w:t>
      </w:r>
      <w:r>
        <w:rPr>
          <w:sz w:val="20"/>
          <w:szCs w:val="20"/>
          <w:lang w:val="fr-FR"/>
        </w:rPr>
        <w:t xml:space="preserve"> et al. (</w:t>
      </w:r>
      <w:r w:rsidRPr="00F40243">
        <w:rPr>
          <w:sz w:val="20"/>
          <w:szCs w:val="20"/>
          <w:lang w:val="fr-FR"/>
        </w:rPr>
        <w:t>2022</w:t>
      </w:r>
      <w:r>
        <w:rPr>
          <w:sz w:val="20"/>
          <w:szCs w:val="20"/>
          <w:lang w:val="fr-FR"/>
        </w:rPr>
        <w:t>)</w:t>
      </w:r>
      <w:r w:rsidRPr="00F40243">
        <w:rPr>
          <w:sz w:val="20"/>
          <w:szCs w:val="20"/>
          <w:lang w:val="fr-FR"/>
        </w:rPr>
        <w:t>.</w:t>
      </w:r>
    </w:p>
  </w:footnote>
  <w:footnote w:id="6">
    <w:p w14:paraId="528D80C6" w14:textId="77777777" w:rsidR="00D41482" w:rsidRPr="00F40243" w:rsidRDefault="00D41482" w:rsidP="00D41482">
      <w:pPr>
        <w:pStyle w:val="Textonotapie"/>
        <w:rPr>
          <w:sz w:val="20"/>
          <w:szCs w:val="20"/>
          <w:lang w:val="fr-FR"/>
        </w:rPr>
      </w:pPr>
      <w:r w:rsidRPr="00B53E90">
        <w:rPr>
          <w:rStyle w:val="Refdenotaalpie"/>
          <w:sz w:val="20"/>
          <w:szCs w:val="20"/>
        </w:rPr>
        <w:footnoteRef/>
      </w:r>
      <w:r w:rsidRPr="00F40243">
        <w:rPr>
          <w:sz w:val="20"/>
          <w:szCs w:val="20"/>
          <w:lang w:val="fr-FR"/>
        </w:rPr>
        <w:t xml:space="preserve"> SCAR</w:t>
      </w:r>
      <w:r>
        <w:rPr>
          <w:sz w:val="20"/>
          <w:szCs w:val="20"/>
          <w:lang w:val="fr-FR"/>
        </w:rPr>
        <w:t xml:space="preserve"> (</w:t>
      </w:r>
      <w:r w:rsidRPr="00F40243">
        <w:rPr>
          <w:sz w:val="20"/>
          <w:szCs w:val="20"/>
          <w:lang w:val="fr-FR"/>
        </w:rPr>
        <w:t>2021</w:t>
      </w:r>
      <w:r>
        <w:rPr>
          <w:sz w:val="20"/>
          <w:szCs w:val="20"/>
          <w:lang w:val="fr-FR"/>
        </w:rPr>
        <w:t>)</w:t>
      </w:r>
      <w:r w:rsidRPr="00F40243">
        <w:rPr>
          <w:sz w:val="20"/>
          <w:szCs w:val="20"/>
          <w:lang w:val="fr-FR"/>
        </w:rPr>
        <w:t>.</w:t>
      </w:r>
    </w:p>
  </w:footnote>
  <w:footnote w:id="7">
    <w:p w14:paraId="199209F8" w14:textId="77777777" w:rsidR="00D41482" w:rsidRPr="00D41482" w:rsidRDefault="00D41482" w:rsidP="00D41482">
      <w:pPr>
        <w:rPr>
          <w:sz w:val="20"/>
          <w:szCs w:val="20"/>
        </w:rPr>
      </w:pPr>
      <w:r w:rsidRPr="00B53E90">
        <w:rPr>
          <w:rStyle w:val="Refdenotaalpie"/>
          <w:sz w:val="20"/>
          <w:szCs w:val="20"/>
        </w:rPr>
        <w:footnoteRef/>
      </w:r>
      <w:r w:rsidRPr="00F40243">
        <w:rPr>
          <w:sz w:val="20"/>
          <w:szCs w:val="20"/>
          <w:lang w:val="fr-FR"/>
        </w:rPr>
        <w:t xml:space="preserve"> </w:t>
      </w:r>
      <w:r w:rsidRPr="00F40243">
        <w:rPr>
          <w:sz w:val="20"/>
          <w:szCs w:val="20"/>
          <w:lang w:val="fr-FR" w:eastAsia="fr-FR"/>
        </w:rPr>
        <w:t>Aymeric</w:t>
      </w:r>
      <w:r w:rsidRPr="002C6558">
        <w:rPr>
          <w:sz w:val="20"/>
          <w:szCs w:val="20"/>
          <w:lang w:val="fr-FR" w:eastAsia="fr-FR"/>
        </w:rPr>
        <w:t xml:space="preserve"> et al</w:t>
      </w:r>
      <w:r w:rsidRPr="00F40243">
        <w:rPr>
          <w:sz w:val="20"/>
          <w:szCs w:val="20"/>
          <w:lang w:val="fr-FR" w:eastAsia="fr-FR"/>
        </w:rPr>
        <w:t xml:space="preserve">. </w:t>
      </w:r>
      <w:r w:rsidRPr="00D41482">
        <w:rPr>
          <w:sz w:val="20"/>
          <w:szCs w:val="20"/>
          <w:lang w:eastAsia="fr-FR"/>
        </w:rPr>
        <w:t>(2022),</w:t>
      </w:r>
    </w:p>
    <w:p w14:paraId="12952100" w14:textId="77777777" w:rsidR="00D41482" w:rsidRPr="00D41482" w:rsidRDefault="00D41482" w:rsidP="00D41482">
      <w:pPr>
        <w:pStyle w:val="Textonotapie"/>
        <w:rPr>
          <w:sz w:val="20"/>
          <w:szCs w:val="20"/>
        </w:rPr>
      </w:pPr>
    </w:p>
  </w:footnote>
  <w:footnote w:id="8">
    <w:p w14:paraId="7E1FAF6C" w14:textId="77777777" w:rsidR="00D41482" w:rsidRPr="00B53E90" w:rsidRDefault="00D41482" w:rsidP="00D41482">
      <w:pPr>
        <w:pStyle w:val="Textonotapie"/>
        <w:rPr>
          <w:sz w:val="20"/>
          <w:szCs w:val="20"/>
        </w:rPr>
      </w:pPr>
      <w:r w:rsidRPr="00B53E90">
        <w:rPr>
          <w:rStyle w:val="Refdenotaalpie"/>
          <w:sz w:val="20"/>
          <w:szCs w:val="20"/>
        </w:rPr>
        <w:footnoteRef/>
      </w:r>
      <w:r w:rsidRPr="00B53E90">
        <w:rPr>
          <w:sz w:val="20"/>
          <w:szCs w:val="20"/>
        </w:rPr>
        <w:t xml:space="preserve"> The 20</w:t>
      </w:r>
      <w:r>
        <w:rPr>
          <w:sz w:val="20"/>
          <w:szCs w:val="20"/>
        </w:rPr>
        <w:t>0</w:t>
      </w:r>
      <w:r w:rsidRPr="00B53E90">
        <w:rPr>
          <w:sz w:val="20"/>
          <w:szCs w:val="20"/>
        </w:rPr>
        <w:t xml:space="preserve">2 WSSD agreed on the goal of establishing a global network of MPAs by 2012; </w:t>
      </w:r>
      <w:r w:rsidRPr="00B53E90">
        <w:rPr>
          <w:sz w:val="20"/>
          <w:szCs w:val="20"/>
        </w:rPr>
        <w:t>consequently CCAMLR added a MPA agenda item and committed to develop MPAs in the Convention Area.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D3179" w14:paraId="01D549B5" w14:textId="77777777" w:rsidTr="002E12EC">
      <w:trPr>
        <w:trHeight w:val="344"/>
        <w:jc w:val="center"/>
      </w:trPr>
      <w:tc>
        <w:tcPr>
          <w:tcW w:w="5495" w:type="dxa"/>
        </w:tcPr>
        <w:p w14:paraId="20AFCE79" w14:textId="77777777" w:rsidR="00DB7C09" w:rsidRDefault="002A6106" w:rsidP="00F968D4"/>
      </w:tc>
      <w:tc>
        <w:tcPr>
          <w:tcW w:w="4253" w:type="dxa"/>
          <w:gridSpan w:val="2"/>
        </w:tcPr>
        <w:p w14:paraId="1390B540" w14:textId="77777777" w:rsidR="00DB7C09" w:rsidRPr="00BD47E4" w:rsidRDefault="00D41482" w:rsidP="002A07BC">
          <w:pPr>
            <w:jc w:val="right"/>
            <w:rPr>
              <w:b/>
              <w:sz w:val="32"/>
              <w:szCs w:val="32"/>
            </w:rPr>
          </w:pPr>
          <w:bookmarkStart w:id="2" w:name="type"/>
          <w:r w:rsidRPr="00BD47E4">
            <w:rPr>
              <w:b/>
              <w:sz w:val="32"/>
              <w:szCs w:val="32"/>
            </w:rPr>
            <w:t>IP</w:t>
          </w:r>
          <w:bookmarkEnd w:id="2"/>
        </w:p>
      </w:tc>
      <w:tc>
        <w:tcPr>
          <w:tcW w:w="1524" w:type="dxa"/>
          <w:gridSpan w:val="2"/>
        </w:tcPr>
        <w:p w14:paraId="3186220E" w14:textId="4FFD08B1" w:rsidR="00DB7C09" w:rsidRPr="00BD47E4" w:rsidRDefault="00D41482" w:rsidP="00DB7C09">
          <w:pPr>
            <w:rPr>
              <w:b/>
              <w:sz w:val="32"/>
              <w:szCs w:val="32"/>
            </w:rPr>
          </w:pPr>
          <w:bookmarkStart w:id="3" w:name="number"/>
          <w:r w:rsidRPr="00BD47E4">
            <w:rPr>
              <w:b/>
              <w:sz w:val="32"/>
              <w:szCs w:val="32"/>
            </w:rPr>
            <w:t>118</w:t>
          </w:r>
          <w:bookmarkEnd w:id="3"/>
          <w:r w:rsidR="002A2A2D">
            <w:rPr>
              <w:b/>
              <w:sz w:val="32"/>
              <w:szCs w:val="32"/>
            </w:rPr>
            <w:t xml:space="preserve"> rev.1</w:t>
          </w:r>
        </w:p>
      </w:tc>
    </w:tr>
    <w:tr w:rsidR="006D3179" w14:paraId="78F68296" w14:textId="77777777" w:rsidTr="002E12EC">
      <w:trPr>
        <w:trHeight w:val="2165"/>
        <w:jc w:val="center"/>
      </w:trPr>
      <w:tc>
        <w:tcPr>
          <w:tcW w:w="5495" w:type="dxa"/>
        </w:tcPr>
        <w:p w14:paraId="6E795754" w14:textId="77777777" w:rsidR="00490760" w:rsidRPr="00EE4D48" w:rsidRDefault="00D41482" w:rsidP="002A07BC">
          <w:pPr>
            <w:rPr>
              <w:b/>
              <w:sz w:val="28"/>
              <w:szCs w:val="28"/>
            </w:rPr>
          </w:pPr>
          <w:r>
            <w:rPr>
              <w:noProof/>
            </w:rPr>
            <w:drawing>
              <wp:inline distT="0" distB="0" distL="0" distR="0" wp14:anchorId="5844D600" wp14:editId="63D2B2E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8946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01822A9" w14:textId="77777777" w:rsidR="00490760" w:rsidRPr="00FE5146" w:rsidRDefault="00D41482" w:rsidP="00490760">
          <w:pPr>
            <w:jc w:val="right"/>
            <w:rPr>
              <w:sz w:val="144"/>
              <w:szCs w:val="144"/>
            </w:rPr>
          </w:pPr>
          <w:r w:rsidRPr="00FE5146">
            <w:rPr>
              <w:sz w:val="144"/>
              <w:szCs w:val="144"/>
            </w:rPr>
            <w:t>ENG</w:t>
          </w:r>
        </w:p>
      </w:tc>
    </w:tr>
    <w:tr w:rsidR="006D3179" w14:paraId="1C8DB1CF" w14:textId="77777777" w:rsidTr="002E12EC">
      <w:trPr>
        <w:trHeight w:val="409"/>
        <w:jc w:val="center"/>
      </w:trPr>
      <w:tc>
        <w:tcPr>
          <w:tcW w:w="8500" w:type="dxa"/>
          <w:gridSpan w:val="2"/>
        </w:tcPr>
        <w:p w14:paraId="23FCA27D" w14:textId="77777777" w:rsidR="00BD47E4" w:rsidRDefault="00D41482" w:rsidP="002C30DA">
          <w:pPr>
            <w:jc w:val="right"/>
          </w:pPr>
          <w:r>
            <w:t>Agenda Item:</w:t>
          </w:r>
        </w:p>
      </w:tc>
      <w:tc>
        <w:tcPr>
          <w:tcW w:w="2382" w:type="dxa"/>
          <w:gridSpan w:val="2"/>
        </w:tcPr>
        <w:p w14:paraId="2DF261C3" w14:textId="77777777" w:rsidR="00BD47E4" w:rsidRDefault="00D41482" w:rsidP="002C30DA">
          <w:pPr>
            <w:jc w:val="right"/>
          </w:pPr>
          <w:bookmarkStart w:id="4" w:name="agenda"/>
          <w:r>
            <w:t>CEP 9d</w:t>
          </w:r>
          <w:bookmarkEnd w:id="4"/>
        </w:p>
      </w:tc>
      <w:tc>
        <w:tcPr>
          <w:tcW w:w="390" w:type="dxa"/>
        </w:tcPr>
        <w:p w14:paraId="469D5333" w14:textId="77777777" w:rsidR="00BD47E4" w:rsidRDefault="002A6106" w:rsidP="00387A65">
          <w:pPr>
            <w:jc w:val="right"/>
          </w:pPr>
        </w:p>
      </w:tc>
    </w:tr>
    <w:tr w:rsidR="006D3179" w14:paraId="648CE0AF" w14:textId="77777777" w:rsidTr="002E12EC">
      <w:trPr>
        <w:trHeight w:val="397"/>
        <w:jc w:val="center"/>
      </w:trPr>
      <w:tc>
        <w:tcPr>
          <w:tcW w:w="8500" w:type="dxa"/>
          <w:gridSpan w:val="2"/>
        </w:tcPr>
        <w:p w14:paraId="02EB035B" w14:textId="77777777" w:rsidR="00BD47E4" w:rsidRDefault="00D41482" w:rsidP="002C30DA">
          <w:pPr>
            <w:jc w:val="right"/>
          </w:pPr>
          <w:r>
            <w:t>Presented by:</w:t>
          </w:r>
        </w:p>
      </w:tc>
      <w:tc>
        <w:tcPr>
          <w:tcW w:w="2382" w:type="dxa"/>
          <w:gridSpan w:val="2"/>
        </w:tcPr>
        <w:p w14:paraId="0CEC7388" w14:textId="77777777" w:rsidR="00BD47E4" w:rsidRDefault="00D41482" w:rsidP="002C30DA">
          <w:pPr>
            <w:jc w:val="right"/>
          </w:pPr>
          <w:bookmarkStart w:id="5" w:name="party"/>
          <w:r>
            <w:t>ASOC</w:t>
          </w:r>
          <w:bookmarkEnd w:id="5"/>
        </w:p>
      </w:tc>
      <w:tc>
        <w:tcPr>
          <w:tcW w:w="390" w:type="dxa"/>
        </w:tcPr>
        <w:p w14:paraId="6618E818" w14:textId="77777777" w:rsidR="00BD47E4" w:rsidRDefault="002A6106" w:rsidP="00387A65">
          <w:pPr>
            <w:jc w:val="right"/>
          </w:pPr>
        </w:p>
      </w:tc>
    </w:tr>
    <w:tr w:rsidR="006D3179" w14:paraId="3363A444" w14:textId="77777777" w:rsidTr="002E12EC">
      <w:trPr>
        <w:trHeight w:val="409"/>
        <w:jc w:val="center"/>
      </w:trPr>
      <w:tc>
        <w:tcPr>
          <w:tcW w:w="8500" w:type="dxa"/>
          <w:gridSpan w:val="2"/>
        </w:tcPr>
        <w:p w14:paraId="0B9493C9" w14:textId="77777777" w:rsidR="00BD47E4" w:rsidRDefault="00D41482" w:rsidP="002C30DA">
          <w:pPr>
            <w:jc w:val="right"/>
          </w:pPr>
          <w:r>
            <w:t>Original:</w:t>
          </w:r>
        </w:p>
      </w:tc>
      <w:tc>
        <w:tcPr>
          <w:tcW w:w="2382" w:type="dxa"/>
          <w:gridSpan w:val="2"/>
        </w:tcPr>
        <w:p w14:paraId="5DF6434F" w14:textId="77777777" w:rsidR="00BD47E4" w:rsidRDefault="00D41482" w:rsidP="002C30DA">
          <w:pPr>
            <w:jc w:val="right"/>
          </w:pPr>
          <w:bookmarkStart w:id="6" w:name="language"/>
          <w:r>
            <w:t>English</w:t>
          </w:r>
          <w:bookmarkEnd w:id="6"/>
        </w:p>
      </w:tc>
      <w:tc>
        <w:tcPr>
          <w:tcW w:w="390" w:type="dxa"/>
        </w:tcPr>
        <w:p w14:paraId="4B811DDE" w14:textId="77777777" w:rsidR="00BD47E4" w:rsidRDefault="002A6106" w:rsidP="00387A65">
          <w:pPr>
            <w:jc w:val="right"/>
          </w:pPr>
        </w:p>
      </w:tc>
    </w:tr>
    <w:tr w:rsidR="006D3179" w14:paraId="762F29E1" w14:textId="77777777" w:rsidTr="002E12EC">
      <w:trPr>
        <w:trHeight w:val="409"/>
        <w:jc w:val="center"/>
      </w:trPr>
      <w:tc>
        <w:tcPr>
          <w:tcW w:w="8500" w:type="dxa"/>
          <w:gridSpan w:val="2"/>
        </w:tcPr>
        <w:p w14:paraId="10A19DA5" w14:textId="77777777" w:rsidR="0097629D" w:rsidRDefault="00D41482" w:rsidP="002C30DA">
          <w:pPr>
            <w:jc w:val="right"/>
          </w:pPr>
          <w:r>
            <w:t>Submitted:</w:t>
          </w:r>
        </w:p>
      </w:tc>
      <w:tc>
        <w:tcPr>
          <w:tcW w:w="2382" w:type="dxa"/>
          <w:gridSpan w:val="2"/>
        </w:tcPr>
        <w:p w14:paraId="23298DB9" w14:textId="77777777" w:rsidR="0097629D" w:rsidRDefault="00D41482" w:rsidP="0097629D">
          <w:pPr>
            <w:jc w:val="right"/>
          </w:pPr>
          <w:bookmarkStart w:id="7" w:name="date_submission"/>
          <w:r>
            <w:t>28 Apr 2023</w:t>
          </w:r>
          <w:bookmarkEnd w:id="7"/>
        </w:p>
      </w:tc>
      <w:tc>
        <w:tcPr>
          <w:tcW w:w="390" w:type="dxa"/>
        </w:tcPr>
        <w:p w14:paraId="0C2EB053" w14:textId="77777777" w:rsidR="0097629D" w:rsidRDefault="002A6106" w:rsidP="00387A65">
          <w:pPr>
            <w:jc w:val="right"/>
          </w:pPr>
        </w:p>
      </w:tc>
    </w:tr>
  </w:tbl>
  <w:p w14:paraId="0A6692C1" w14:textId="77777777" w:rsidR="00AE5DD0" w:rsidRDefault="002A61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jc w:val="center"/>
      <w:tblLook w:val="01E0" w:firstRow="1" w:lastRow="1" w:firstColumn="1" w:lastColumn="1" w:noHBand="0" w:noVBand="0"/>
    </w:tblPr>
    <w:tblGrid>
      <w:gridCol w:w="9072"/>
      <w:gridCol w:w="1560"/>
    </w:tblGrid>
    <w:tr w:rsidR="00D41482" w14:paraId="0D0C9B26" w14:textId="77777777" w:rsidTr="002A2A2D">
      <w:trPr>
        <w:trHeight w:val="354"/>
        <w:jc w:val="center"/>
      </w:trPr>
      <w:tc>
        <w:tcPr>
          <w:tcW w:w="9072" w:type="dxa"/>
        </w:tcPr>
        <w:p w14:paraId="2099CBCE" w14:textId="77777777" w:rsidR="00D41482" w:rsidRPr="00BD47E4" w:rsidRDefault="00D41482" w:rsidP="00E60AB2">
          <w:pPr>
            <w:jc w:val="right"/>
            <w:rPr>
              <w:b/>
              <w:sz w:val="32"/>
              <w:szCs w:val="32"/>
            </w:rPr>
          </w:pPr>
          <w:r>
            <w:rPr>
              <w:b/>
              <w:sz w:val="32"/>
              <w:szCs w:val="32"/>
            </w:rPr>
            <w:t>IP</w:t>
          </w:r>
        </w:p>
      </w:tc>
      <w:tc>
        <w:tcPr>
          <w:tcW w:w="1560" w:type="dxa"/>
        </w:tcPr>
        <w:p w14:paraId="472C6432" w14:textId="15513444" w:rsidR="00D41482" w:rsidRPr="00BD47E4" w:rsidRDefault="00D41482" w:rsidP="002A2A2D">
          <w:pPr>
            <w:tabs>
              <w:tab w:val="left" w:pos="1110"/>
            </w:tabs>
            <w:rPr>
              <w:b/>
              <w:sz w:val="32"/>
              <w:szCs w:val="32"/>
            </w:rPr>
          </w:pPr>
          <w:r>
            <w:rPr>
              <w:b/>
              <w:sz w:val="32"/>
              <w:szCs w:val="32"/>
            </w:rPr>
            <w:t>118</w:t>
          </w:r>
          <w:r w:rsidR="002A2A2D">
            <w:rPr>
              <w:b/>
              <w:sz w:val="32"/>
              <w:szCs w:val="32"/>
            </w:rPr>
            <w:t xml:space="preserve"> rev.1</w:t>
          </w:r>
        </w:p>
      </w:tc>
    </w:tr>
  </w:tbl>
  <w:p w14:paraId="37A8B122" w14:textId="77777777" w:rsidR="00D41482" w:rsidRDefault="00D414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D3179" w14:paraId="7D722995" w14:textId="77777777">
      <w:trPr>
        <w:trHeight w:val="354"/>
        <w:jc w:val="center"/>
      </w:trPr>
      <w:tc>
        <w:tcPr>
          <w:tcW w:w="9694" w:type="dxa"/>
        </w:tcPr>
        <w:p w14:paraId="09B9A9AD" w14:textId="1358B7A9" w:rsidR="00AE5DD0" w:rsidRPr="00BD47E4" w:rsidRDefault="00D41482" w:rsidP="00C26F2D">
          <w:pPr>
            <w:jc w:val="right"/>
            <w:rPr>
              <w:b/>
              <w:sz w:val="32"/>
              <w:szCs w:val="32"/>
            </w:rPr>
          </w:pPr>
          <w:r>
            <w:rPr>
              <w:b/>
              <w:sz w:val="32"/>
              <w:szCs w:val="32"/>
            </w:rPr>
            <w:t>IP</w:t>
          </w:r>
        </w:p>
      </w:tc>
      <w:tc>
        <w:tcPr>
          <w:tcW w:w="1332" w:type="dxa"/>
        </w:tcPr>
        <w:p w14:paraId="32AEF823" w14:textId="67FCE300" w:rsidR="00AE5DD0" w:rsidRPr="00BD47E4" w:rsidRDefault="00D41482" w:rsidP="00080F4C">
          <w:pPr>
            <w:rPr>
              <w:b/>
              <w:sz w:val="32"/>
              <w:szCs w:val="32"/>
            </w:rPr>
          </w:pPr>
          <w:r>
            <w:rPr>
              <w:b/>
              <w:sz w:val="32"/>
              <w:szCs w:val="32"/>
            </w:rPr>
            <w:t>118</w:t>
          </w:r>
        </w:p>
      </w:tc>
    </w:tr>
  </w:tbl>
  <w:p w14:paraId="1FB2354A" w14:textId="77777777" w:rsidR="00AE5DD0" w:rsidRDefault="002A61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AE5A77"/>
    <w:multiLevelType w:val="hybridMultilevel"/>
    <w:tmpl w:val="BBAAEEC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F3C2F6B6">
      <w:start w:val="1"/>
      <w:numFmt w:val="bullet"/>
      <w:pStyle w:val="ATSBullet1"/>
      <w:lvlText w:val=""/>
      <w:lvlJc w:val="left"/>
      <w:pPr>
        <w:tabs>
          <w:tab w:val="num" w:pos="360"/>
        </w:tabs>
        <w:ind w:left="360" w:hanging="360"/>
      </w:pPr>
      <w:rPr>
        <w:rFonts w:ascii="Symbol" w:hAnsi="Symbol" w:hint="default"/>
        <w:color w:val="auto"/>
      </w:rPr>
    </w:lvl>
    <w:lvl w:ilvl="1" w:tplc="3286B8E2" w:tentative="1">
      <w:start w:val="1"/>
      <w:numFmt w:val="bullet"/>
      <w:lvlText w:val="o"/>
      <w:lvlJc w:val="left"/>
      <w:pPr>
        <w:tabs>
          <w:tab w:val="num" w:pos="1440"/>
        </w:tabs>
        <w:ind w:left="1440" w:hanging="360"/>
      </w:pPr>
      <w:rPr>
        <w:rFonts w:ascii="Courier New" w:hAnsi="Courier New" w:cs="Courier New" w:hint="default"/>
      </w:rPr>
    </w:lvl>
    <w:lvl w:ilvl="2" w:tplc="44E4443A" w:tentative="1">
      <w:start w:val="1"/>
      <w:numFmt w:val="bullet"/>
      <w:lvlText w:val=""/>
      <w:lvlJc w:val="left"/>
      <w:pPr>
        <w:tabs>
          <w:tab w:val="num" w:pos="2160"/>
        </w:tabs>
        <w:ind w:left="2160" w:hanging="360"/>
      </w:pPr>
      <w:rPr>
        <w:rFonts w:ascii="Wingdings" w:hAnsi="Wingdings" w:hint="default"/>
      </w:rPr>
    </w:lvl>
    <w:lvl w:ilvl="3" w:tplc="F54E66C0" w:tentative="1">
      <w:start w:val="1"/>
      <w:numFmt w:val="bullet"/>
      <w:lvlText w:val=""/>
      <w:lvlJc w:val="left"/>
      <w:pPr>
        <w:tabs>
          <w:tab w:val="num" w:pos="2880"/>
        </w:tabs>
        <w:ind w:left="2880" w:hanging="360"/>
      </w:pPr>
      <w:rPr>
        <w:rFonts w:ascii="Symbol" w:hAnsi="Symbol" w:hint="default"/>
      </w:rPr>
    </w:lvl>
    <w:lvl w:ilvl="4" w:tplc="48729114" w:tentative="1">
      <w:start w:val="1"/>
      <w:numFmt w:val="bullet"/>
      <w:lvlText w:val="o"/>
      <w:lvlJc w:val="left"/>
      <w:pPr>
        <w:tabs>
          <w:tab w:val="num" w:pos="3600"/>
        </w:tabs>
        <w:ind w:left="3600" w:hanging="360"/>
      </w:pPr>
      <w:rPr>
        <w:rFonts w:ascii="Courier New" w:hAnsi="Courier New" w:cs="Courier New" w:hint="default"/>
      </w:rPr>
    </w:lvl>
    <w:lvl w:ilvl="5" w:tplc="1DB27DF0" w:tentative="1">
      <w:start w:val="1"/>
      <w:numFmt w:val="bullet"/>
      <w:lvlText w:val=""/>
      <w:lvlJc w:val="left"/>
      <w:pPr>
        <w:tabs>
          <w:tab w:val="num" w:pos="4320"/>
        </w:tabs>
        <w:ind w:left="4320" w:hanging="360"/>
      </w:pPr>
      <w:rPr>
        <w:rFonts w:ascii="Wingdings" w:hAnsi="Wingdings" w:hint="default"/>
      </w:rPr>
    </w:lvl>
    <w:lvl w:ilvl="6" w:tplc="F5D6C936" w:tentative="1">
      <w:start w:val="1"/>
      <w:numFmt w:val="bullet"/>
      <w:lvlText w:val=""/>
      <w:lvlJc w:val="left"/>
      <w:pPr>
        <w:tabs>
          <w:tab w:val="num" w:pos="5040"/>
        </w:tabs>
        <w:ind w:left="5040" w:hanging="360"/>
      </w:pPr>
      <w:rPr>
        <w:rFonts w:ascii="Symbol" w:hAnsi="Symbol" w:hint="default"/>
      </w:rPr>
    </w:lvl>
    <w:lvl w:ilvl="7" w:tplc="90465222" w:tentative="1">
      <w:start w:val="1"/>
      <w:numFmt w:val="bullet"/>
      <w:lvlText w:val="o"/>
      <w:lvlJc w:val="left"/>
      <w:pPr>
        <w:tabs>
          <w:tab w:val="num" w:pos="5760"/>
        </w:tabs>
        <w:ind w:left="5760" w:hanging="360"/>
      </w:pPr>
      <w:rPr>
        <w:rFonts w:ascii="Courier New" w:hAnsi="Courier New" w:cs="Courier New" w:hint="default"/>
      </w:rPr>
    </w:lvl>
    <w:lvl w:ilvl="8" w:tplc="769E2B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D1C4FA40">
      <w:start w:val="1"/>
      <w:numFmt w:val="decimal"/>
      <w:lvlText w:val="%1)"/>
      <w:lvlJc w:val="left"/>
      <w:pPr>
        <w:tabs>
          <w:tab w:val="num" w:pos="340"/>
        </w:tabs>
        <w:ind w:left="340" w:hanging="340"/>
      </w:pPr>
      <w:rPr>
        <w:rFonts w:hint="default"/>
      </w:rPr>
    </w:lvl>
    <w:lvl w:ilvl="1" w:tplc="EE9A3CA0" w:tentative="1">
      <w:start w:val="1"/>
      <w:numFmt w:val="lowerLetter"/>
      <w:lvlText w:val="%2."/>
      <w:lvlJc w:val="left"/>
      <w:pPr>
        <w:tabs>
          <w:tab w:val="num" w:pos="1440"/>
        </w:tabs>
        <w:ind w:left="1440" w:hanging="360"/>
      </w:pPr>
    </w:lvl>
    <w:lvl w:ilvl="2" w:tplc="444C88D2" w:tentative="1">
      <w:start w:val="1"/>
      <w:numFmt w:val="lowerRoman"/>
      <w:lvlText w:val="%3."/>
      <w:lvlJc w:val="right"/>
      <w:pPr>
        <w:tabs>
          <w:tab w:val="num" w:pos="2160"/>
        </w:tabs>
        <w:ind w:left="2160" w:hanging="180"/>
      </w:pPr>
    </w:lvl>
    <w:lvl w:ilvl="3" w:tplc="614ABD90" w:tentative="1">
      <w:start w:val="1"/>
      <w:numFmt w:val="decimal"/>
      <w:lvlText w:val="%4."/>
      <w:lvlJc w:val="left"/>
      <w:pPr>
        <w:tabs>
          <w:tab w:val="num" w:pos="2880"/>
        </w:tabs>
        <w:ind w:left="2880" w:hanging="360"/>
      </w:pPr>
    </w:lvl>
    <w:lvl w:ilvl="4" w:tplc="C6AE8B36" w:tentative="1">
      <w:start w:val="1"/>
      <w:numFmt w:val="lowerLetter"/>
      <w:lvlText w:val="%5."/>
      <w:lvlJc w:val="left"/>
      <w:pPr>
        <w:tabs>
          <w:tab w:val="num" w:pos="3600"/>
        </w:tabs>
        <w:ind w:left="3600" w:hanging="360"/>
      </w:pPr>
    </w:lvl>
    <w:lvl w:ilvl="5" w:tplc="F83EFBF8" w:tentative="1">
      <w:start w:val="1"/>
      <w:numFmt w:val="lowerRoman"/>
      <w:lvlText w:val="%6."/>
      <w:lvlJc w:val="right"/>
      <w:pPr>
        <w:tabs>
          <w:tab w:val="num" w:pos="4320"/>
        </w:tabs>
        <w:ind w:left="4320" w:hanging="180"/>
      </w:pPr>
    </w:lvl>
    <w:lvl w:ilvl="6" w:tplc="E43213D4" w:tentative="1">
      <w:start w:val="1"/>
      <w:numFmt w:val="decimal"/>
      <w:lvlText w:val="%7."/>
      <w:lvlJc w:val="left"/>
      <w:pPr>
        <w:tabs>
          <w:tab w:val="num" w:pos="5040"/>
        </w:tabs>
        <w:ind w:left="5040" w:hanging="360"/>
      </w:pPr>
    </w:lvl>
    <w:lvl w:ilvl="7" w:tplc="1390F05A" w:tentative="1">
      <w:start w:val="1"/>
      <w:numFmt w:val="lowerLetter"/>
      <w:lvlText w:val="%8."/>
      <w:lvlJc w:val="left"/>
      <w:pPr>
        <w:tabs>
          <w:tab w:val="num" w:pos="5760"/>
        </w:tabs>
        <w:ind w:left="5760" w:hanging="360"/>
      </w:pPr>
    </w:lvl>
    <w:lvl w:ilvl="8" w:tplc="4C18CAC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F2EE5E46">
      <w:start w:val="1"/>
      <w:numFmt w:val="decimal"/>
      <w:lvlText w:val="%1."/>
      <w:lvlJc w:val="left"/>
      <w:pPr>
        <w:tabs>
          <w:tab w:val="num" w:pos="1057"/>
        </w:tabs>
        <w:ind w:left="1057" w:hanging="360"/>
      </w:pPr>
      <w:rPr>
        <w:rFonts w:hint="default"/>
      </w:rPr>
    </w:lvl>
    <w:lvl w:ilvl="1" w:tplc="3C34E02A" w:tentative="1">
      <w:start w:val="1"/>
      <w:numFmt w:val="lowerLetter"/>
      <w:lvlText w:val="%2."/>
      <w:lvlJc w:val="left"/>
      <w:pPr>
        <w:tabs>
          <w:tab w:val="num" w:pos="2137"/>
        </w:tabs>
        <w:ind w:left="2137" w:hanging="360"/>
      </w:pPr>
    </w:lvl>
    <w:lvl w:ilvl="2" w:tplc="5CEC2F12" w:tentative="1">
      <w:start w:val="1"/>
      <w:numFmt w:val="lowerRoman"/>
      <w:lvlText w:val="%3."/>
      <w:lvlJc w:val="right"/>
      <w:pPr>
        <w:tabs>
          <w:tab w:val="num" w:pos="2857"/>
        </w:tabs>
        <w:ind w:left="2857" w:hanging="180"/>
      </w:pPr>
    </w:lvl>
    <w:lvl w:ilvl="3" w:tplc="3200AE86" w:tentative="1">
      <w:start w:val="1"/>
      <w:numFmt w:val="decimal"/>
      <w:lvlText w:val="%4."/>
      <w:lvlJc w:val="left"/>
      <w:pPr>
        <w:tabs>
          <w:tab w:val="num" w:pos="3577"/>
        </w:tabs>
        <w:ind w:left="3577" w:hanging="360"/>
      </w:pPr>
    </w:lvl>
    <w:lvl w:ilvl="4" w:tplc="CD5CCCD8" w:tentative="1">
      <w:start w:val="1"/>
      <w:numFmt w:val="lowerLetter"/>
      <w:lvlText w:val="%5."/>
      <w:lvlJc w:val="left"/>
      <w:pPr>
        <w:tabs>
          <w:tab w:val="num" w:pos="4297"/>
        </w:tabs>
        <w:ind w:left="4297" w:hanging="360"/>
      </w:pPr>
    </w:lvl>
    <w:lvl w:ilvl="5" w:tplc="F47282B0" w:tentative="1">
      <w:start w:val="1"/>
      <w:numFmt w:val="lowerRoman"/>
      <w:lvlText w:val="%6."/>
      <w:lvlJc w:val="right"/>
      <w:pPr>
        <w:tabs>
          <w:tab w:val="num" w:pos="5017"/>
        </w:tabs>
        <w:ind w:left="5017" w:hanging="180"/>
      </w:pPr>
    </w:lvl>
    <w:lvl w:ilvl="6" w:tplc="1B3412EC" w:tentative="1">
      <w:start w:val="1"/>
      <w:numFmt w:val="decimal"/>
      <w:lvlText w:val="%7."/>
      <w:lvlJc w:val="left"/>
      <w:pPr>
        <w:tabs>
          <w:tab w:val="num" w:pos="5737"/>
        </w:tabs>
        <w:ind w:left="5737" w:hanging="360"/>
      </w:pPr>
    </w:lvl>
    <w:lvl w:ilvl="7" w:tplc="6EDE9BF2" w:tentative="1">
      <w:start w:val="1"/>
      <w:numFmt w:val="lowerLetter"/>
      <w:lvlText w:val="%8."/>
      <w:lvlJc w:val="left"/>
      <w:pPr>
        <w:tabs>
          <w:tab w:val="num" w:pos="6457"/>
        </w:tabs>
        <w:ind w:left="6457" w:hanging="360"/>
      </w:pPr>
    </w:lvl>
    <w:lvl w:ilvl="8" w:tplc="1EC26A7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A0C157C">
      <w:start w:val="1"/>
      <w:numFmt w:val="decimal"/>
      <w:pStyle w:val="ATSNumber1"/>
      <w:lvlText w:val="%1)"/>
      <w:lvlJc w:val="left"/>
      <w:pPr>
        <w:tabs>
          <w:tab w:val="num" w:pos="720"/>
        </w:tabs>
        <w:ind w:left="720" w:hanging="360"/>
      </w:pPr>
    </w:lvl>
    <w:lvl w:ilvl="1" w:tplc="85E066F8" w:tentative="1">
      <w:start w:val="1"/>
      <w:numFmt w:val="lowerLetter"/>
      <w:lvlText w:val="%2."/>
      <w:lvlJc w:val="left"/>
      <w:pPr>
        <w:tabs>
          <w:tab w:val="num" w:pos="1440"/>
        </w:tabs>
        <w:ind w:left="1440" w:hanging="360"/>
      </w:pPr>
    </w:lvl>
    <w:lvl w:ilvl="2" w:tplc="D92CF048" w:tentative="1">
      <w:start w:val="1"/>
      <w:numFmt w:val="lowerRoman"/>
      <w:lvlText w:val="%3."/>
      <w:lvlJc w:val="right"/>
      <w:pPr>
        <w:tabs>
          <w:tab w:val="num" w:pos="2160"/>
        </w:tabs>
        <w:ind w:left="2160" w:hanging="180"/>
      </w:pPr>
    </w:lvl>
    <w:lvl w:ilvl="3" w:tplc="BC0E10DC" w:tentative="1">
      <w:start w:val="1"/>
      <w:numFmt w:val="decimal"/>
      <w:lvlText w:val="%4."/>
      <w:lvlJc w:val="left"/>
      <w:pPr>
        <w:tabs>
          <w:tab w:val="num" w:pos="2880"/>
        </w:tabs>
        <w:ind w:left="2880" w:hanging="360"/>
      </w:pPr>
    </w:lvl>
    <w:lvl w:ilvl="4" w:tplc="24D44C5E" w:tentative="1">
      <w:start w:val="1"/>
      <w:numFmt w:val="lowerLetter"/>
      <w:lvlText w:val="%5."/>
      <w:lvlJc w:val="left"/>
      <w:pPr>
        <w:tabs>
          <w:tab w:val="num" w:pos="3600"/>
        </w:tabs>
        <w:ind w:left="3600" w:hanging="360"/>
      </w:pPr>
    </w:lvl>
    <w:lvl w:ilvl="5" w:tplc="28C80BC0" w:tentative="1">
      <w:start w:val="1"/>
      <w:numFmt w:val="lowerRoman"/>
      <w:lvlText w:val="%6."/>
      <w:lvlJc w:val="right"/>
      <w:pPr>
        <w:tabs>
          <w:tab w:val="num" w:pos="4320"/>
        </w:tabs>
        <w:ind w:left="4320" w:hanging="180"/>
      </w:pPr>
    </w:lvl>
    <w:lvl w:ilvl="6" w:tplc="160E6BB4" w:tentative="1">
      <w:start w:val="1"/>
      <w:numFmt w:val="decimal"/>
      <w:lvlText w:val="%7."/>
      <w:lvlJc w:val="left"/>
      <w:pPr>
        <w:tabs>
          <w:tab w:val="num" w:pos="5040"/>
        </w:tabs>
        <w:ind w:left="5040" w:hanging="360"/>
      </w:pPr>
    </w:lvl>
    <w:lvl w:ilvl="7" w:tplc="659CA12C" w:tentative="1">
      <w:start w:val="1"/>
      <w:numFmt w:val="lowerLetter"/>
      <w:lvlText w:val="%8."/>
      <w:lvlJc w:val="left"/>
      <w:pPr>
        <w:tabs>
          <w:tab w:val="num" w:pos="5760"/>
        </w:tabs>
        <w:ind w:left="5760" w:hanging="360"/>
      </w:pPr>
    </w:lvl>
    <w:lvl w:ilvl="8" w:tplc="905A751E" w:tentative="1">
      <w:start w:val="1"/>
      <w:numFmt w:val="lowerRoman"/>
      <w:lvlText w:val="%9."/>
      <w:lvlJc w:val="right"/>
      <w:pPr>
        <w:tabs>
          <w:tab w:val="num" w:pos="6480"/>
        </w:tabs>
        <w:ind w:left="6480" w:hanging="180"/>
      </w:pPr>
    </w:lvl>
  </w:abstractNum>
  <w:abstractNum w:abstractNumId="16" w15:restartNumberingAfterBreak="0">
    <w:nsid w:val="73781666"/>
    <w:multiLevelType w:val="hybridMultilevel"/>
    <w:tmpl w:val="BD5CF1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3D2161"/>
    <w:multiLevelType w:val="hybridMultilevel"/>
    <w:tmpl w:val="B0868D9E"/>
    <w:lvl w:ilvl="0" w:tplc="B1B614D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5802870" w:tentative="1">
      <w:start w:val="1"/>
      <w:numFmt w:val="bullet"/>
      <w:lvlText w:val="o"/>
      <w:lvlJc w:val="left"/>
      <w:pPr>
        <w:tabs>
          <w:tab w:val="num" w:pos="2517"/>
        </w:tabs>
        <w:ind w:left="2517" w:hanging="360"/>
      </w:pPr>
      <w:rPr>
        <w:rFonts w:ascii="Courier New" w:hAnsi="Courier New" w:cs="Courier New" w:hint="default"/>
      </w:rPr>
    </w:lvl>
    <w:lvl w:ilvl="2" w:tplc="CD107224" w:tentative="1">
      <w:start w:val="1"/>
      <w:numFmt w:val="bullet"/>
      <w:lvlText w:val=""/>
      <w:lvlJc w:val="left"/>
      <w:pPr>
        <w:tabs>
          <w:tab w:val="num" w:pos="3237"/>
        </w:tabs>
        <w:ind w:left="3237" w:hanging="360"/>
      </w:pPr>
      <w:rPr>
        <w:rFonts w:ascii="Wingdings" w:hAnsi="Wingdings" w:hint="default"/>
      </w:rPr>
    </w:lvl>
    <w:lvl w:ilvl="3" w:tplc="305A6334" w:tentative="1">
      <w:start w:val="1"/>
      <w:numFmt w:val="bullet"/>
      <w:lvlText w:val=""/>
      <w:lvlJc w:val="left"/>
      <w:pPr>
        <w:tabs>
          <w:tab w:val="num" w:pos="3957"/>
        </w:tabs>
        <w:ind w:left="3957" w:hanging="360"/>
      </w:pPr>
      <w:rPr>
        <w:rFonts w:ascii="Symbol" w:hAnsi="Symbol" w:hint="default"/>
      </w:rPr>
    </w:lvl>
    <w:lvl w:ilvl="4" w:tplc="19A8C4DA" w:tentative="1">
      <w:start w:val="1"/>
      <w:numFmt w:val="bullet"/>
      <w:lvlText w:val="o"/>
      <w:lvlJc w:val="left"/>
      <w:pPr>
        <w:tabs>
          <w:tab w:val="num" w:pos="4677"/>
        </w:tabs>
        <w:ind w:left="4677" w:hanging="360"/>
      </w:pPr>
      <w:rPr>
        <w:rFonts w:ascii="Courier New" w:hAnsi="Courier New" w:cs="Courier New" w:hint="default"/>
      </w:rPr>
    </w:lvl>
    <w:lvl w:ilvl="5" w:tplc="846466D8" w:tentative="1">
      <w:start w:val="1"/>
      <w:numFmt w:val="bullet"/>
      <w:lvlText w:val=""/>
      <w:lvlJc w:val="left"/>
      <w:pPr>
        <w:tabs>
          <w:tab w:val="num" w:pos="5397"/>
        </w:tabs>
        <w:ind w:left="5397" w:hanging="360"/>
      </w:pPr>
      <w:rPr>
        <w:rFonts w:ascii="Wingdings" w:hAnsi="Wingdings" w:hint="default"/>
      </w:rPr>
    </w:lvl>
    <w:lvl w:ilvl="6" w:tplc="F9AA9D78" w:tentative="1">
      <w:start w:val="1"/>
      <w:numFmt w:val="bullet"/>
      <w:lvlText w:val=""/>
      <w:lvlJc w:val="left"/>
      <w:pPr>
        <w:tabs>
          <w:tab w:val="num" w:pos="6117"/>
        </w:tabs>
        <w:ind w:left="6117" w:hanging="360"/>
      </w:pPr>
      <w:rPr>
        <w:rFonts w:ascii="Symbol" w:hAnsi="Symbol" w:hint="default"/>
      </w:rPr>
    </w:lvl>
    <w:lvl w:ilvl="7" w:tplc="7E1EAF38" w:tentative="1">
      <w:start w:val="1"/>
      <w:numFmt w:val="bullet"/>
      <w:lvlText w:val="o"/>
      <w:lvlJc w:val="left"/>
      <w:pPr>
        <w:tabs>
          <w:tab w:val="num" w:pos="6837"/>
        </w:tabs>
        <w:ind w:left="6837" w:hanging="360"/>
      </w:pPr>
      <w:rPr>
        <w:rFonts w:ascii="Courier New" w:hAnsi="Courier New" w:cs="Courier New" w:hint="default"/>
      </w:rPr>
    </w:lvl>
    <w:lvl w:ilvl="8" w:tplc="81B8E27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5ACE17AC">
      <w:start w:val="1"/>
      <w:numFmt w:val="decimal"/>
      <w:pStyle w:val="ATSNumber2"/>
      <w:lvlText w:val="%1."/>
      <w:lvlJc w:val="left"/>
      <w:pPr>
        <w:tabs>
          <w:tab w:val="num" w:pos="720"/>
        </w:tabs>
        <w:ind w:left="720" w:hanging="360"/>
      </w:pPr>
      <w:rPr>
        <w:rFonts w:hint="default"/>
      </w:rPr>
    </w:lvl>
    <w:lvl w:ilvl="1" w:tplc="682AAD6A" w:tentative="1">
      <w:start w:val="1"/>
      <w:numFmt w:val="lowerLetter"/>
      <w:lvlText w:val="%2."/>
      <w:lvlJc w:val="left"/>
      <w:pPr>
        <w:tabs>
          <w:tab w:val="num" w:pos="1440"/>
        </w:tabs>
        <w:ind w:left="1440" w:hanging="360"/>
      </w:pPr>
    </w:lvl>
    <w:lvl w:ilvl="2" w:tplc="3892913C" w:tentative="1">
      <w:start w:val="1"/>
      <w:numFmt w:val="lowerRoman"/>
      <w:lvlText w:val="%3."/>
      <w:lvlJc w:val="right"/>
      <w:pPr>
        <w:tabs>
          <w:tab w:val="num" w:pos="2160"/>
        </w:tabs>
        <w:ind w:left="2160" w:hanging="180"/>
      </w:pPr>
    </w:lvl>
    <w:lvl w:ilvl="3" w:tplc="5462A4E0" w:tentative="1">
      <w:start w:val="1"/>
      <w:numFmt w:val="decimal"/>
      <w:lvlText w:val="%4."/>
      <w:lvlJc w:val="left"/>
      <w:pPr>
        <w:tabs>
          <w:tab w:val="num" w:pos="2880"/>
        </w:tabs>
        <w:ind w:left="2880" w:hanging="360"/>
      </w:pPr>
    </w:lvl>
    <w:lvl w:ilvl="4" w:tplc="BAE6B4DA" w:tentative="1">
      <w:start w:val="1"/>
      <w:numFmt w:val="lowerLetter"/>
      <w:lvlText w:val="%5."/>
      <w:lvlJc w:val="left"/>
      <w:pPr>
        <w:tabs>
          <w:tab w:val="num" w:pos="3600"/>
        </w:tabs>
        <w:ind w:left="3600" w:hanging="360"/>
      </w:pPr>
    </w:lvl>
    <w:lvl w:ilvl="5" w:tplc="957051FC" w:tentative="1">
      <w:start w:val="1"/>
      <w:numFmt w:val="lowerRoman"/>
      <w:lvlText w:val="%6."/>
      <w:lvlJc w:val="right"/>
      <w:pPr>
        <w:tabs>
          <w:tab w:val="num" w:pos="4320"/>
        </w:tabs>
        <w:ind w:left="4320" w:hanging="180"/>
      </w:pPr>
    </w:lvl>
    <w:lvl w:ilvl="6" w:tplc="81669502" w:tentative="1">
      <w:start w:val="1"/>
      <w:numFmt w:val="decimal"/>
      <w:lvlText w:val="%7."/>
      <w:lvlJc w:val="left"/>
      <w:pPr>
        <w:tabs>
          <w:tab w:val="num" w:pos="5040"/>
        </w:tabs>
        <w:ind w:left="5040" w:hanging="360"/>
      </w:pPr>
    </w:lvl>
    <w:lvl w:ilvl="7" w:tplc="0F4E6332" w:tentative="1">
      <w:start w:val="1"/>
      <w:numFmt w:val="lowerLetter"/>
      <w:lvlText w:val="%8."/>
      <w:lvlJc w:val="left"/>
      <w:pPr>
        <w:tabs>
          <w:tab w:val="num" w:pos="5760"/>
        </w:tabs>
        <w:ind w:left="5760" w:hanging="360"/>
      </w:pPr>
    </w:lvl>
    <w:lvl w:ilvl="8" w:tplc="D1AC6E5A" w:tentative="1">
      <w:start w:val="1"/>
      <w:numFmt w:val="lowerRoman"/>
      <w:lvlText w:val="%9."/>
      <w:lvlJc w:val="right"/>
      <w:pPr>
        <w:tabs>
          <w:tab w:val="num" w:pos="6480"/>
        </w:tabs>
        <w:ind w:left="6480" w:hanging="180"/>
      </w:pPr>
    </w:lvl>
  </w:abstractNum>
  <w:num w:numId="1" w16cid:durableId="13264335">
    <w:abstractNumId w:val="9"/>
  </w:num>
  <w:num w:numId="2" w16cid:durableId="263153218">
    <w:abstractNumId w:val="7"/>
  </w:num>
  <w:num w:numId="3" w16cid:durableId="119810513">
    <w:abstractNumId w:val="6"/>
  </w:num>
  <w:num w:numId="4" w16cid:durableId="1197309814">
    <w:abstractNumId w:val="5"/>
  </w:num>
  <w:num w:numId="5" w16cid:durableId="93862966">
    <w:abstractNumId w:val="4"/>
  </w:num>
  <w:num w:numId="6" w16cid:durableId="1062603385">
    <w:abstractNumId w:val="8"/>
  </w:num>
  <w:num w:numId="7" w16cid:durableId="1110322816">
    <w:abstractNumId w:val="3"/>
  </w:num>
  <w:num w:numId="8" w16cid:durableId="198276920">
    <w:abstractNumId w:val="2"/>
  </w:num>
  <w:num w:numId="9" w16cid:durableId="1080365849">
    <w:abstractNumId w:val="1"/>
  </w:num>
  <w:num w:numId="10" w16cid:durableId="1441149090">
    <w:abstractNumId w:val="0"/>
  </w:num>
  <w:num w:numId="11" w16cid:durableId="1907179612">
    <w:abstractNumId w:val="12"/>
  </w:num>
  <w:num w:numId="12" w16cid:durableId="618996293">
    <w:abstractNumId w:val="17"/>
  </w:num>
  <w:num w:numId="13" w16cid:durableId="1683513916">
    <w:abstractNumId w:val="15"/>
  </w:num>
  <w:num w:numId="14" w16cid:durableId="1046565999">
    <w:abstractNumId w:val="13"/>
  </w:num>
  <w:num w:numId="15" w16cid:durableId="921571209">
    <w:abstractNumId w:val="14"/>
  </w:num>
  <w:num w:numId="16" w16cid:durableId="90665257">
    <w:abstractNumId w:val="10"/>
  </w:num>
  <w:num w:numId="17" w16cid:durableId="417363903">
    <w:abstractNumId w:val="12"/>
  </w:num>
  <w:num w:numId="18" w16cid:durableId="1860925140">
    <w:abstractNumId w:val="17"/>
  </w:num>
  <w:num w:numId="19" w16cid:durableId="2100444837">
    <w:abstractNumId w:val="15"/>
  </w:num>
  <w:num w:numId="20" w16cid:durableId="1535266684">
    <w:abstractNumId w:val="18"/>
  </w:num>
  <w:num w:numId="21" w16cid:durableId="118688047">
    <w:abstractNumId w:val="11"/>
  </w:num>
  <w:num w:numId="22" w16cid:durableId="19061845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79"/>
    <w:rsid w:val="000501A5"/>
    <w:rsid w:val="002A2A2D"/>
    <w:rsid w:val="002A4B68"/>
    <w:rsid w:val="002A6106"/>
    <w:rsid w:val="00332ACD"/>
    <w:rsid w:val="005449A5"/>
    <w:rsid w:val="006D3179"/>
    <w:rsid w:val="00A279CA"/>
    <w:rsid w:val="00A46E1D"/>
    <w:rsid w:val="00BD027B"/>
    <w:rsid w:val="00BF1F19"/>
    <w:rsid w:val="00C31A2C"/>
    <w:rsid w:val="00D41482"/>
    <w:rsid w:val="00D5327B"/>
    <w:rsid w:val="00E900DC"/>
    <w:rsid w:val="00F804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BD237"/>
  <w15:chartTrackingRefBased/>
  <w15:docId w15:val="{29AE3AFC-9773-4A40-91E3-BCC5AF0B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footnote reference"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link w:val="Textonotapie"/>
    <w:rsid w:val="00D41482"/>
    <w:rPr>
      <w:sz w:val="22"/>
      <w:szCs w:val="22"/>
      <w:lang w:val="en-GB" w:eastAsia="en-US"/>
    </w:rPr>
  </w:style>
  <w:style w:type="character" w:customStyle="1" w:styleId="ATSNormalChar">
    <w:name w:val="ATS Normal Char"/>
    <w:link w:val="ATSNormal"/>
    <w:locked/>
    <w:rsid w:val="00D41482"/>
    <w:rPr>
      <w:sz w:val="22"/>
      <w:szCs w:val="24"/>
      <w:lang w:val="en-GB" w:eastAsia="en-GB"/>
    </w:rPr>
  </w:style>
  <w:style w:type="table" w:customStyle="1" w:styleId="PlainTable11">
    <w:name w:val="Plain Table 11"/>
    <w:basedOn w:val="Tablanormal"/>
    <w:uiPriority w:val="41"/>
    <w:rsid w:val="00D41482"/>
    <w:rPr>
      <w:sz w:val="22"/>
      <w:szCs w:val="22"/>
      <w:lang w:val="en-GB"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n">
    <w:name w:val="Revision"/>
    <w:hidden/>
    <w:uiPriority w:val="99"/>
    <w:semiHidden/>
    <w:rsid w:val="00D5327B"/>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ell.com/current-biology/fulltext/S0960-9822(21)01698-5"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0784-021-09561-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98/rsos.21170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smpa.de/en" TargetMode="External"/><Relationship Id="rId1" Type="http://schemas.openxmlformats.org/officeDocument/2006/relationships/hyperlink" Target="https://cmir.ccaml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859C7-CA32-4749-822C-8196CDC7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2792</Words>
  <Characters>15749</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2</cp:revision>
  <cp:lastPrinted>2008-01-22T18:20:00Z</cp:lastPrinted>
  <dcterms:created xsi:type="dcterms:W3CDTF">2023-05-22T20:32:00Z</dcterms:created>
  <dcterms:modified xsi:type="dcterms:W3CDTF">2023-05-22T20:32:00Z</dcterms:modified>
</cp:coreProperties>
</file>