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F13DB" w14:textId="77777777" w:rsidR="00C26F2D" w:rsidRPr="00BF077B" w:rsidRDefault="00461CBF" w:rsidP="00BF077B">
      <w:pPr>
        <w:pStyle w:val="ATSNormal"/>
        <w:rPr>
          <w:rStyle w:val="Ttulodellibro"/>
        </w:rPr>
      </w:pPr>
    </w:p>
    <w:p w14:paraId="4B19655E" w14:textId="77777777" w:rsidR="002F0A13" w:rsidRDefault="00461CBF" w:rsidP="004B4A60">
      <w:pPr>
        <w:rPr>
          <w:b/>
          <w:u w:val="single"/>
          <w:lang w:val="es-ES_tradnl"/>
        </w:rPr>
      </w:pPr>
    </w:p>
    <w:p w14:paraId="28529274" w14:textId="77777777" w:rsidR="002F0A13" w:rsidRDefault="00461CBF" w:rsidP="004B4A60">
      <w:pPr>
        <w:rPr>
          <w:b/>
          <w:u w:val="single"/>
          <w:lang w:val="es-ES_tradnl"/>
        </w:rPr>
      </w:pPr>
    </w:p>
    <w:p w14:paraId="02C934AD" w14:textId="77777777" w:rsidR="002F0A13" w:rsidRDefault="00461CBF" w:rsidP="004B4A60">
      <w:pPr>
        <w:rPr>
          <w:b/>
          <w:u w:val="single"/>
          <w:lang w:val="es-ES_tradnl"/>
        </w:rPr>
      </w:pPr>
    </w:p>
    <w:p w14:paraId="7BF67DBA" w14:textId="77777777" w:rsidR="002F0A13" w:rsidRDefault="00461CBF" w:rsidP="004B4A60">
      <w:pPr>
        <w:rPr>
          <w:b/>
          <w:u w:val="single"/>
          <w:lang w:val="es-ES_tradnl"/>
        </w:rPr>
      </w:pPr>
    </w:p>
    <w:p w14:paraId="3A424135" w14:textId="77777777" w:rsidR="00C26F2D" w:rsidRDefault="00461CBF" w:rsidP="004B4A60">
      <w:pPr>
        <w:rPr>
          <w:b/>
          <w:u w:val="single"/>
          <w:lang w:val="es-ES_tradnl"/>
        </w:rPr>
      </w:pPr>
    </w:p>
    <w:p w14:paraId="1ACC69BE" w14:textId="77777777" w:rsidR="004B4A60" w:rsidRPr="0057246E" w:rsidRDefault="00461CBF" w:rsidP="001B789F">
      <w:pPr>
        <w:pStyle w:val="ATSTitle"/>
      </w:pPr>
      <w:bookmarkStart w:id="0" w:name="name"/>
      <w:r>
        <w:t>Diversity and inclusion in the Australian Antarctic program</w:t>
      </w:r>
      <w:bookmarkEnd w:id="0"/>
    </w:p>
    <w:p w14:paraId="2F016F8C" w14:textId="77777777" w:rsidR="004B4A60" w:rsidRPr="0057246E" w:rsidRDefault="00461CBF" w:rsidP="00F75424">
      <w:pPr>
        <w:jc w:val="center"/>
      </w:pPr>
    </w:p>
    <w:p w14:paraId="6521194F" w14:textId="77777777" w:rsidR="004B4A60" w:rsidRPr="002F0A13" w:rsidRDefault="00461CBF" w:rsidP="002F0A13"/>
    <w:p w14:paraId="41D4E888" w14:textId="77777777" w:rsidR="004B4A60" w:rsidRDefault="00461CBF" w:rsidP="00F75424">
      <w:pPr>
        <w:jc w:val="center"/>
      </w:pPr>
      <w:bookmarkStart w:id="1" w:name="memo"/>
      <w:bookmarkEnd w:id="1"/>
    </w:p>
    <w:p w14:paraId="1FE97469" w14:textId="77777777" w:rsidR="0097629D" w:rsidRDefault="00461CBF" w:rsidP="00F75424">
      <w:pPr>
        <w:jc w:val="center"/>
      </w:pPr>
    </w:p>
    <w:p w14:paraId="5A23B32A" w14:textId="77777777" w:rsidR="0097629D" w:rsidRDefault="00461CBF" w:rsidP="00F75424">
      <w:pPr>
        <w:jc w:val="center"/>
      </w:pPr>
    </w:p>
    <w:p w14:paraId="269D35FD" w14:textId="77777777" w:rsidR="0097629D" w:rsidRDefault="00461CBF" w:rsidP="00F75424">
      <w:pPr>
        <w:jc w:val="center"/>
      </w:pPr>
    </w:p>
    <w:p w14:paraId="782CFBAE" w14:textId="77777777" w:rsidR="0097629D" w:rsidRPr="00C26F2D" w:rsidRDefault="00461CBF" w:rsidP="00F75424">
      <w:pPr>
        <w:jc w:val="center"/>
      </w:pPr>
    </w:p>
    <w:p w14:paraId="70C03B11" w14:textId="77777777" w:rsidR="004B4A60" w:rsidRPr="0057246E" w:rsidRDefault="00461CBF" w:rsidP="004B4A60"/>
    <w:p w14:paraId="19A6FAEE" w14:textId="77777777" w:rsidR="00C26F2D" w:rsidRDefault="00461CBF"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5F54AC3" w14:textId="77777777" w:rsidR="004B4A60" w:rsidRDefault="00461CBF" w:rsidP="00952E9F"/>
    <w:p w14:paraId="6A5A0147" w14:textId="77777777" w:rsidR="00461CBF" w:rsidRPr="001076DC" w:rsidRDefault="00461CBF" w:rsidP="00461CBF">
      <w:pPr>
        <w:pStyle w:val="ATSHeading1"/>
      </w:pPr>
      <w:r w:rsidRPr="001076DC">
        <w:t>Diversity and inclusion in the Australian Antarctic program</w:t>
      </w:r>
    </w:p>
    <w:p w14:paraId="19F001D2" w14:textId="77777777" w:rsidR="00461CBF" w:rsidRPr="00DE77E5" w:rsidRDefault="00461CBF" w:rsidP="00461CBF">
      <w:pPr>
        <w:pStyle w:val="ATSHeading2"/>
      </w:pPr>
      <w:r w:rsidRPr="00DE77E5">
        <w:t>Sum</w:t>
      </w:r>
      <w:r>
        <w:t>mary</w:t>
      </w:r>
    </w:p>
    <w:p w14:paraId="2782A6E3" w14:textId="77777777" w:rsidR="00461CBF" w:rsidRDefault="00461CBF" w:rsidP="00461CBF">
      <w:pPr>
        <w:pStyle w:val="ATSNormal"/>
      </w:pPr>
      <w:r w:rsidRPr="0014159E">
        <w:t>The Australian Government has a steadfast and ongoing commitment to be at the forefront of efforts to promote gender equalit</w:t>
      </w:r>
      <w:r>
        <w:t xml:space="preserve">y and social inclusion, in Australia, Antarctica, and in our international relations. Ensuring diversity and inclusion is centred in our policy development and decision making, strengthens our thinking and reflects Australia’s modern society. </w:t>
      </w:r>
    </w:p>
    <w:p w14:paraId="5A4924E2" w14:textId="77777777" w:rsidR="00461CBF" w:rsidRPr="00B77410" w:rsidRDefault="00461CBF" w:rsidP="00461CBF">
      <w:pPr>
        <w:pStyle w:val="ATSNormal"/>
      </w:pPr>
      <w:r w:rsidRPr="00B77410">
        <w:t xml:space="preserve">Recalling </w:t>
      </w:r>
      <w:r>
        <w:t xml:space="preserve">priority item 13 in the ATCM’s Multi-Year Strategic Work Plan </w:t>
      </w:r>
      <w:proofErr w:type="gramStart"/>
      <w:r>
        <w:t>encouraging</w:t>
      </w:r>
      <w:proofErr w:type="gramEnd"/>
      <w:r>
        <w:t xml:space="preserve"> Parties</w:t>
      </w:r>
      <w:r w:rsidRPr="00B77410">
        <w:t xml:space="preserve"> to “address equality, diversity and inclusion issues, by promoting full participation of underrepresented groups in Antarctic science and operations activities </w:t>
      </w:r>
      <w:r w:rsidRPr="00CA2D2F">
        <w:t xml:space="preserve">across all Antarctic issues </w:t>
      </w:r>
      <w:r w:rsidRPr="00B77410">
        <w:t>including science</w:t>
      </w:r>
      <w:r w:rsidRPr="00CA2D2F">
        <w:t>, operations, policy and law”</w:t>
      </w:r>
      <w:r>
        <w:t xml:space="preserve">, Australia provides this update on ongoing work to improve diversity and inclusion in the Australian Antarctic Program. </w:t>
      </w:r>
    </w:p>
    <w:p w14:paraId="4318EAD0" w14:textId="77777777" w:rsidR="00461CBF" w:rsidRDefault="00461CBF" w:rsidP="00461CBF">
      <w:pPr>
        <w:pStyle w:val="ATSNormal"/>
      </w:pPr>
      <w:r>
        <w:t>As the manager of the Australian Antarctic program (AAP)</w:t>
      </w:r>
      <w:r w:rsidRPr="002828D5">
        <w:t xml:space="preserve"> </w:t>
      </w:r>
      <w:r>
        <w:t>t</w:t>
      </w:r>
      <w:r w:rsidRPr="002828D5">
        <w:t>he Australian Antarctic Division (AAD)</w:t>
      </w:r>
      <w:r>
        <w:t xml:space="preserve"> of the D</w:t>
      </w:r>
      <w:r w:rsidRPr="00270332">
        <w:t>epartment</w:t>
      </w:r>
      <w:r>
        <w:t xml:space="preserve"> of Climate Change, Energy, the Environment and Water (DCCEEW)</w:t>
      </w:r>
      <w:r w:rsidRPr="002828D5">
        <w:t xml:space="preserve"> is committed to increasing diversity </w:t>
      </w:r>
      <w:r>
        <w:t xml:space="preserve">and inclusion </w:t>
      </w:r>
      <w:r w:rsidRPr="002828D5">
        <w:t xml:space="preserve">and ensuring that </w:t>
      </w:r>
      <w:r>
        <w:t xml:space="preserve">Australia’s Antarctic workforce in all locations, from employees to </w:t>
      </w:r>
      <w:r w:rsidRPr="002828D5">
        <w:t>expeditioners feel</w:t>
      </w:r>
      <w:r>
        <w:t xml:space="preserve"> safe, </w:t>
      </w:r>
      <w:r w:rsidRPr="002828D5">
        <w:t xml:space="preserve">welcome and respected.  </w:t>
      </w:r>
      <w:r>
        <w:t>AAD is committed to prioritising action, informed by research and evidence, and consistent with Australia’s commitment to safety, diversity and inclusion</w:t>
      </w:r>
      <w:r w:rsidRPr="002828D5">
        <w:t>.</w:t>
      </w:r>
      <w:r>
        <w:t xml:space="preserve"> </w:t>
      </w:r>
    </w:p>
    <w:p w14:paraId="2DF4F8F1" w14:textId="77777777" w:rsidR="00461CBF" w:rsidRDefault="00461CBF" w:rsidP="00461CBF">
      <w:pPr>
        <w:pStyle w:val="ATSHeading2"/>
      </w:pPr>
      <w:r>
        <w:t>Background</w:t>
      </w:r>
    </w:p>
    <w:p w14:paraId="29FF050D" w14:textId="77777777" w:rsidR="00461CBF" w:rsidRDefault="00461CBF" w:rsidP="00461CBF">
      <w:pPr>
        <w:pStyle w:val="ATSNormal"/>
      </w:pPr>
      <w:r>
        <w:t xml:space="preserve">The </w:t>
      </w:r>
      <w:r w:rsidRPr="002828D5">
        <w:t>Australian Antarctic Division</w:t>
      </w:r>
      <w:r>
        <w:t xml:space="preserve"> of DCCEEW</w:t>
      </w:r>
      <w:r w:rsidRPr="002828D5">
        <w:t xml:space="preserve"> </w:t>
      </w:r>
      <w:r>
        <w:t xml:space="preserve">has an important role to play in delivering world class science and stewardship of Antarctica. The Australian Antarctic workforce brings together people from a wide range of Australian and international organisations, located in head office, on Antarctic research stations, in the field, and on Australian Antarctic vessels. As with other Antarctic programs, our Antarctic workplaces are also personal, living and social places. Australia seeks to ensure that all employees and expeditioners are safe, welcome and respected, and free from any discrimination, and is committed to increasing diversity across all aspects of the AAP. </w:t>
      </w:r>
    </w:p>
    <w:p w14:paraId="377192D9" w14:textId="77777777" w:rsidR="00461CBF" w:rsidRDefault="00461CBF" w:rsidP="00461CBF">
      <w:pPr>
        <w:pStyle w:val="ATSNormal"/>
      </w:pPr>
      <w:r>
        <w:t xml:space="preserve">As advised in 2022, Professor Meredith Nash from the University of Tasmania was engaged to undertake research into barriers and challenges for women in the AAP. </w:t>
      </w:r>
    </w:p>
    <w:p w14:paraId="1B1B617B" w14:textId="77777777" w:rsidR="00461CBF" w:rsidRDefault="00461CBF" w:rsidP="00461CBF">
      <w:pPr>
        <w:pStyle w:val="ATSNormal"/>
      </w:pPr>
      <w:r>
        <w:t>Following the release of this research, a workplace culture consultant (Russell Performance Co.)</w:t>
      </w:r>
      <w:r w:rsidRPr="00270332">
        <w:t xml:space="preserve"> </w:t>
      </w:r>
      <w:r>
        <w:t>was</w:t>
      </w:r>
      <w:r w:rsidRPr="00270332">
        <w:t xml:space="preserve"> appointed by </w:t>
      </w:r>
      <w:r>
        <w:t>DCCEEW</w:t>
      </w:r>
      <w:r w:rsidRPr="00270332">
        <w:t xml:space="preserve"> to advise and provide recommendations </w:t>
      </w:r>
      <w:r>
        <w:t>on organisational culture</w:t>
      </w:r>
      <w:r w:rsidRPr="00270332">
        <w:t xml:space="preserve">, </w:t>
      </w:r>
      <w:r>
        <w:t>and on</w:t>
      </w:r>
      <w:r w:rsidRPr="00270332">
        <w:t xml:space="preserve"> enhancing existing integrity processes and systems</w:t>
      </w:r>
      <w:r>
        <w:t xml:space="preserve">. The </w:t>
      </w:r>
      <w:hyperlink r:id="rId11" w:history="1">
        <w:r w:rsidRPr="0064098C">
          <w:rPr>
            <w:rStyle w:val="Hipervnculo"/>
          </w:rPr>
          <w:t>Russell Review</w:t>
        </w:r>
      </w:hyperlink>
      <w:r>
        <w:t xml:space="preserve"> and </w:t>
      </w:r>
      <w:hyperlink r:id="rId12" w:history="1">
        <w:r w:rsidRPr="001344D8">
          <w:rPr>
            <w:rStyle w:val="Hipervnculo"/>
          </w:rPr>
          <w:t>DCCEEW</w:t>
        </w:r>
        <w:r>
          <w:rPr>
            <w:rStyle w:val="Hipervnculo"/>
          </w:rPr>
          <w:t>’s</w:t>
        </w:r>
        <w:r w:rsidRPr="001344D8">
          <w:rPr>
            <w:rStyle w:val="Hipervnculo"/>
          </w:rPr>
          <w:t xml:space="preserve"> response plan</w:t>
        </w:r>
      </w:hyperlink>
      <w:r>
        <w:t xml:space="preserve"> for implementing recommendations were published in early April 2023.</w:t>
      </w:r>
    </w:p>
    <w:p w14:paraId="04776C93" w14:textId="77777777" w:rsidR="00461CBF" w:rsidRDefault="00461CBF" w:rsidP="00461CBF">
      <w:pPr>
        <w:pStyle w:val="ATSNormal"/>
      </w:pPr>
      <w:r>
        <w:t xml:space="preserve">The Department is now focusing on implementing the Russell Review recommendations, and have committed to actions, which include: </w:t>
      </w:r>
    </w:p>
    <w:p w14:paraId="748D026A" w14:textId="77777777" w:rsidR="00461CBF" w:rsidRDefault="00461CBF" w:rsidP="00461CBF">
      <w:pPr>
        <w:pStyle w:val="ATSBullet1"/>
        <w:numPr>
          <w:ilvl w:val="0"/>
          <w:numId w:val="11"/>
        </w:numPr>
      </w:pPr>
      <w:r>
        <w:t xml:space="preserve">A new Respect and Equality Reform Council to guide and oversee </w:t>
      </w:r>
      <w:proofErr w:type="gramStart"/>
      <w:r>
        <w:t>changes</w:t>
      </w:r>
      <w:proofErr w:type="gramEnd"/>
    </w:p>
    <w:p w14:paraId="60A2937E" w14:textId="77777777" w:rsidR="00461CBF" w:rsidRDefault="00461CBF" w:rsidP="00461CBF">
      <w:pPr>
        <w:pStyle w:val="ATSBullet1"/>
        <w:numPr>
          <w:ilvl w:val="0"/>
          <w:numId w:val="11"/>
        </w:numPr>
      </w:pPr>
      <w:r>
        <w:t xml:space="preserve">Reinforcing the obligation to prevent unacceptable behaviour and workplace </w:t>
      </w:r>
      <w:proofErr w:type="gramStart"/>
      <w:r>
        <w:t>harm</w:t>
      </w:r>
      <w:proofErr w:type="gramEnd"/>
    </w:p>
    <w:p w14:paraId="580133B2" w14:textId="77777777" w:rsidR="00461CBF" w:rsidRDefault="00461CBF" w:rsidP="00461CBF">
      <w:pPr>
        <w:pStyle w:val="ATSBullet1"/>
        <w:numPr>
          <w:ilvl w:val="0"/>
          <w:numId w:val="11"/>
        </w:numPr>
      </w:pPr>
      <w:r>
        <w:t>Creating a safe reporting culture, ensuring support and no adverse consequences</w:t>
      </w:r>
    </w:p>
    <w:p w14:paraId="41291539" w14:textId="77777777" w:rsidR="00461CBF" w:rsidRDefault="00461CBF" w:rsidP="00461CBF">
      <w:pPr>
        <w:pStyle w:val="ATSBullet1"/>
        <w:numPr>
          <w:ilvl w:val="0"/>
          <w:numId w:val="11"/>
        </w:numPr>
      </w:pPr>
      <w:r>
        <w:t>Facilities to support “Independent Safe Space”</w:t>
      </w:r>
    </w:p>
    <w:p w14:paraId="601FF237" w14:textId="77777777" w:rsidR="00461CBF" w:rsidRDefault="00461CBF" w:rsidP="00461CBF">
      <w:pPr>
        <w:pStyle w:val="ATSBullet1"/>
        <w:numPr>
          <w:ilvl w:val="0"/>
          <w:numId w:val="11"/>
        </w:numPr>
      </w:pPr>
      <w:r>
        <w:t xml:space="preserve">Additional resources to provide advice, support and incident </w:t>
      </w:r>
      <w:proofErr w:type="gramStart"/>
      <w:r>
        <w:t>response</w:t>
      </w:r>
      <w:proofErr w:type="gramEnd"/>
    </w:p>
    <w:p w14:paraId="449BFEE6" w14:textId="77777777" w:rsidR="00461CBF" w:rsidRDefault="00461CBF" w:rsidP="00461CBF">
      <w:pPr>
        <w:pStyle w:val="ATSBullet1"/>
        <w:numPr>
          <w:ilvl w:val="0"/>
          <w:numId w:val="11"/>
        </w:numPr>
      </w:pPr>
      <w:r>
        <w:t>Raising awareness of the nature and impacts of bullying, harassment and discrimination</w:t>
      </w:r>
    </w:p>
    <w:p w14:paraId="2F8E8C02" w14:textId="77777777" w:rsidR="00461CBF" w:rsidRDefault="00461CBF" w:rsidP="00461CBF">
      <w:pPr>
        <w:pStyle w:val="ATSBullet1"/>
        <w:numPr>
          <w:ilvl w:val="0"/>
          <w:numId w:val="11"/>
        </w:numPr>
      </w:pPr>
      <w:r>
        <w:t xml:space="preserve">Training for all staff in unconscious bias and bystander obligations </w:t>
      </w:r>
    </w:p>
    <w:p w14:paraId="0A9DE306" w14:textId="77777777" w:rsidR="00461CBF" w:rsidRDefault="00461CBF" w:rsidP="00461CBF">
      <w:pPr>
        <w:pStyle w:val="ATSBullet1"/>
        <w:numPr>
          <w:ilvl w:val="0"/>
          <w:numId w:val="11"/>
        </w:numPr>
      </w:pPr>
      <w:r>
        <w:lastRenderedPageBreak/>
        <w:t xml:space="preserve">Training for all leaders to address unacceptable behaviour and provide </w:t>
      </w:r>
      <w:proofErr w:type="gramStart"/>
      <w:r>
        <w:t>support</w:t>
      </w:r>
      <w:proofErr w:type="gramEnd"/>
    </w:p>
    <w:p w14:paraId="661B1CCB" w14:textId="77777777" w:rsidR="00461CBF" w:rsidRDefault="00461CBF" w:rsidP="00461CBF">
      <w:pPr>
        <w:pStyle w:val="ATSBullet1"/>
        <w:numPr>
          <w:ilvl w:val="0"/>
          <w:numId w:val="11"/>
        </w:numPr>
      </w:pPr>
      <w:r>
        <w:t xml:space="preserve">Breaking down barriers to progression based on gender or </w:t>
      </w:r>
      <w:proofErr w:type="gramStart"/>
      <w:r>
        <w:t>background</w:t>
      </w:r>
      <w:proofErr w:type="gramEnd"/>
      <w:r>
        <w:t xml:space="preserve"> </w:t>
      </w:r>
    </w:p>
    <w:p w14:paraId="392C79C1" w14:textId="77777777" w:rsidR="00461CBF" w:rsidRDefault="00461CBF" w:rsidP="00461CBF">
      <w:pPr>
        <w:pStyle w:val="ATSBullet1"/>
        <w:numPr>
          <w:ilvl w:val="0"/>
          <w:numId w:val="11"/>
        </w:numPr>
      </w:pPr>
      <w:r>
        <w:t xml:space="preserve">Antarctic workplace facilities and equipment designed for safety, inclusion and </w:t>
      </w:r>
      <w:proofErr w:type="gramStart"/>
      <w:r>
        <w:t>respect</w:t>
      </w:r>
      <w:proofErr w:type="gramEnd"/>
      <w:r w:rsidRPr="00934450">
        <w:t xml:space="preserve"> </w:t>
      </w:r>
    </w:p>
    <w:p w14:paraId="7A47AB10" w14:textId="77777777" w:rsidR="00461CBF" w:rsidRDefault="00461CBF" w:rsidP="00461CBF">
      <w:pPr>
        <w:pStyle w:val="ATSBullet1"/>
        <w:numPr>
          <w:ilvl w:val="0"/>
          <w:numId w:val="11"/>
        </w:numPr>
      </w:pPr>
      <w:r>
        <w:t>International collaboration to prevent workplace harm in Antarctica.</w:t>
      </w:r>
    </w:p>
    <w:p w14:paraId="2A7A8FBB" w14:textId="77777777" w:rsidR="00461CBF" w:rsidRDefault="00461CBF" w:rsidP="00461CBF">
      <w:pPr>
        <w:pStyle w:val="ATSNormal"/>
        <w:rPr>
          <w:rStyle w:val="eop"/>
          <w:color w:val="000000"/>
          <w:shd w:val="clear" w:color="auto" w:fill="FFFFFF"/>
        </w:rPr>
      </w:pPr>
      <w:r w:rsidRPr="005F5283">
        <w:t xml:space="preserve">Additionally, Australia </w:t>
      </w:r>
      <w:r>
        <w:t>is</w:t>
      </w:r>
      <w:r w:rsidRPr="005F5283">
        <w:t xml:space="preserve"> </w:t>
      </w:r>
      <w:r>
        <w:t>convening</w:t>
      </w:r>
      <w:r w:rsidRPr="005F5283">
        <w:t xml:space="preserve"> </w:t>
      </w:r>
      <w:proofErr w:type="spellStart"/>
      <w:r w:rsidRPr="005F5283">
        <w:t>eGroup</w:t>
      </w:r>
      <w:proofErr w:type="spellEnd"/>
      <w:r w:rsidRPr="005F5283">
        <w:t xml:space="preserve"> discussion on the development of a Code of Conduct for </w:t>
      </w:r>
      <w:r>
        <w:t xml:space="preserve">meetings of </w:t>
      </w:r>
      <w:r w:rsidRPr="005F5283">
        <w:t xml:space="preserve">the </w:t>
      </w:r>
      <w:r w:rsidRPr="005F5283">
        <w:rPr>
          <w:color w:val="000000"/>
          <w:shd w:val="clear" w:color="auto" w:fill="FFFFFF"/>
        </w:rPr>
        <w:t>Commission for the Conservation of Antarctic Marine Living Resources (CCAMLR)</w:t>
      </w:r>
      <w:r>
        <w:rPr>
          <w:color w:val="000000"/>
          <w:shd w:val="clear" w:color="auto" w:fill="FFFFFF"/>
        </w:rPr>
        <w:t xml:space="preserve">, which will assist CCAMLR </w:t>
      </w:r>
      <w:r>
        <w:rPr>
          <w:rStyle w:val="normaltextrun"/>
          <w:color w:val="000000"/>
          <w:shd w:val="clear" w:color="auto" w:fill="FFFFFF"/>
        </w:rPr>
        <w:t>in</w:t>
      </w:r>
      <w:r w:rsidRPr="005F5283">
        <w:rPr>
          <w:rStyle w:val="normaltextrun"/>
          <w:color w:val="000000"/>
          <w:shd w:val="clear" w:color="auto" w:fill="FFFFFF"/>
        </w:rPr>
        <w:t xml:space="preserve"> enabling events at which everyone can participate in an inclusive, respectful and safe environment.</w:t>
      </w:r>
      <w:r w:rsidRPr="005F5283">
        <w:rPr>
          <w:rStyle w:val="eop"/>
          <w:color w:val="000000"/>
          <w:shd w:val="clear" w:color="auto" w:fill="FFFFFF"/>
        </w:rPr>
        <w:t> </w:t>
      </w:r>
      <w:r w:rsidRPr="005F5283">
        <w:rPr>
          <w:rStyle w:val="normaltextrun"/>
          <w:color w:val="000000"/>
          <w:shd w:val="clear" w:color="auto" w:fill="FFFFFF"/>
        </w:rPr>
        <w:t>The Code of Conduct</w:t>
      </w:r>
      <w:r>
        <w:rPr>
          <w:rStyle w:val="normaltextrun"/>
          <w:color w:val="000000"/>
          <w:shd w:val="clear" w:color="auto" w:fill="FFFFFF"/>
        </w:rPr>
        <w:t xml:space="preserve"> (the Code)</w:t>
      </w:r>
      <w:r w:rsidRPr="005F5283">
        <w:rPr>
          <w:rStyle w:val="normaltextrun"/>
          <w:color w:val="000000"/>
          <w:shd w:val="clear" w:color="auto" w:fill="FFFFFF"/>
        </w:rPr>
        <w:t xml:space="preserve"> </w:t>
      </w:r>
      <w:r>
        <w:rPr>
          <w:rStyle w:val="normaltextrun"/>
          <w:color w:val="000000"/>
          <w:shd w:val="clear" w:color="auto" w:fill="FFFFFF"/>
        </w:rPr>
        <w:t xml:space="preserve">will identify </w:t>
      </w:r>
      <w:r w:rsidRPr="005F5283">
        <w:rPr>
          <w:rStyle w:val="normaltextrun"/>
          <w:color w:val="000000"/>
          <w:shd w:val="clear" w:color="auto" w:fill="FFFFFF"/>
        </w:rPr>
        <w:t>behaviours expected from all attendees of CCAMLR events, define unacceptable behaviours, and specif</w:t>
      </w:r>
      <w:r>
        <w:rPr>
          <w:rStyle w:val="normaltextrun"/>
          <w:color w:val="000000"/>
          <w:shd w:val="clear" w:color="auto" w:fill="FFFFFF"/>
        </w:rPr>
        <w:t>y</w:t>
      </w:r>
      <w:r w:rsidRPr="005F5283">
        <w:rPr>
          <w:rStyle w:val="normaltextrun"/>
          <w:color w:val="000000"/>
          <w:shd w:val="clear" w:color="auto" w:fill="FFFFFF"/>
        </w:rPr>
        <w:t xml:space="preserve"> actions to be taken if there are breaches, or allegations of breaches, of the Code.</w:t>
      </w:r>
      <w:r w:rsidRPr="005F5283">
        <w:rPr>
          <w:rStyle w:val="eop"/>
          <w:color w:val="000000"/>
          <w:shd w:val="clear" w:color="auto" w:fill="FFFFFF"/>
        </w:rPr>
        <w:t> </w:t>
      </w:r>
      <w:r>
        <w:rPr>
          <w:rStyle w:val="eop"/>
          <w:color w:val="000000"/>
          <w:shd w:val="clear" w:color="auto" w:fill="FFFFFF"/>
        </w:rPr>
        <w:t xml:space="preserve">Australia looks forward to engaging with CCAMLR Members on the development of the Code ahead of CCAMLR-42. </w:t>
      </w:r>
    </w:p>
    <w:p w14:paraId="3AE8C9C8" w14:textId="77777777" w:rsidR="00461CBF" w:rsidRPr="005F5283" w:rsidRDefault="00461CBF" w:rsidP="00461CBF">
      <w:pPr>
        <w:pStyle w:val="ATSNormal"/>
      </w:pPr>
      <w:r>
        <w:t xml:space="preserve">In sharing this information with Parties, Australia aims to encourage the practice of respect, safety and non-discrimination across Antarctic national programs through encouraging reflection and openness in breaking biases and challenging behaviours that exclude or harm individuals. </w:t>
      </w:r>
    </w:p>
    <w:p w14:paraId="0F91D720" w14:textId="77777777" w:rsidR="00461CBF" w:rsidRPr="00B81734" w:rsidRDefault="00461CBF" w:rsidP="00461CBF">
      <w:pPr>
        <w:rPr>
          <w:lang w:val="en-US"/>
        </w:rPr>
      </w:pPr>
    </w:p>
    <w:p w14:paraId="48DD3C2A" w14:textId="77777777" w:rsidR="00461CBF" w:rsidRPr="00461CBF" w:rsidRDefault="00461CBF" w:rsidP="00952E9F">
      <w:pPr>
        <w:rPr>
          <w:lang w:val="en-US"/>
        </w:rPr>
      </w:pPr>
    </w:p>
    <w:sectPr w:rsidR="00461CBF" w:rsidRPr="00461CBF" w:rsidSect="00283F0F">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F26B3" w14:textId="77777777" w:rsidR="00000000" w:rsidRDefault="00461CBF">
      <w:r>
        <w:separator/>
      </w:r>
    </w:p>
  </w:endnote>
  <w:endnote w:type="continuationSeparator" w:id="0">
    <w:p w14:paraId="50C3FE90" w14:textId="77777777" w:rsidR="00000000" w:rsidRDefault="00461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8D20" w14:textId="77777777" w:rsidR="00FA0B9F" w:rsidRDefault="00461CBF" w:rsidP="00CF5C82">
    <w:pPr>
      <w:framePr w:wrap="around" w:vAnchor="text" w:hAnchor="margin" w:xAlign="right" w:y="1"/>
    </w:pPr>
    <w:r>
      <w:fldChar w:fldCharType="begin"/>
    </w:r>
    <w:r>
      <w:instrText xml:space="preserve">PAGE  </w:instrText>
    </w:r>
    <w:r>
      <w:fldChar w:fldCharType="separate"/>
    </w:r>
    <w:r>
      <w:fldChar w:fldCharType="end"/>
    </w:r>
  </w:p>
  <w:p w14:paraId="6518CBA8" w14:textId="77777777" w:rsidR="00FA0B9F" w:rsidRDefault="00461CB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840C0" w14:textId="77777777" w:rsidR="00FA0B9F" w:rsidRDefault="00461CB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1B8E908" w14:textId="26B64F13" w:rsidR="00FA0B9F" w:rsidRDefault="00461CBF"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CF884" w14:textId="77777777" w:rsidR="00E311C9" w:rsidRDefault="00461CB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1E69262" w14:textId="77777777" w:rsidR="00E311C9" w:rsidRDefault="00461CB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1ED90" w14:textId="77777777" w:rsidR="00000000" w:rsidRDefault="00461CBF">
      <w:r>
        <w:separator/>
      </w:r>
    </w:p>
  </w:footnote>
  <w:footnote w:type="continuationSeparator" w:id="0">
    <w:p w14:paraId="50F2D3E1" w14:textId="77777777" w:rsidR="00000000" w:rsidRDefault="00461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BB2A61" w14:paraId="18DC7520" w14:textId="77777777" w:rsidTr="002E12EC">
      <w:trPr>
        <w:trHeight w:val="344"/>
        <w:jc w:val="center"/>
      </w:trPr>
      <w:tc>
        <w:tcPr>
          <w:tcW w:w="5495" w:type="dxa"/>
        </w:tcPr>
        <w:p w14:paraId="04CC6908" w14:textId="77777777" w:rsidR="00DB7C09" w:rsidRDefault="00461CBF" w:rsidP="00F968D4"/>
      </w:tc>
      <w:tc>
        <w:tcPr>
          <w:tcW w:w="4253" w:type="dxa"/>
          <w:gridSpan w:val="2"/>
        </w:tcPr>
        <w:p w14:paraId="30E5FC19" w14:textId="77777777" w:rsidR="00DB7C09" w:rsidRPr="00BD47E4" w:rsidRDefault="00461CBF" w:rsidP="002A07BC">
          <w:pPr>
            <w:jc w:val="right"/>
            <w:rPr>
              <w:b/>
              <w:sz w:val="32"/>
              <w:szCs w:val="32"/>
            </w:rPr>
          </w:pPr>
          <w:bookmarkStart w:id="2" w:name="type"/>
          <w:r w:rsidRPr="00BD47E4">
            <w:rPr>
              <w:b/>
              <w:sz w:val="32"/>
              <w:szCs w:val="32"/>
            </w:rPr>
            <w:t>IP</w:t>
          </w:r>
          <w:bookmarkEnd w:id="2"/>
        </w:p>
      </w:tc>
      <w:tc>
        <w:tcPr>
          <w:tcW w:w="1524" w:type="dxa"/>
          <w:gridSpan w:val="2"/>
        </w:tcPr>
        <w:p w14:paraId="02051AA9" w14:textId="77777777" w:rsidR="00DB7C09" w:rsidRPr="00BD47E4" w:rsidRDefault="00461CBF" w:rsidP="00DB7C09">
          <w:pPr>
            <w:rPr>
              <w:b/>
              <w:sz w:val="32"/>
              <w:szCs w:val="32"/>
            </w:rPr>
          </w:pPr>
          <w:bookmarkStart w:id="3" w:name="number"/>
          <w:r w:rsidRPr="00BD47E4">
            <w:rPr>
              <w:b/>
              <w:sz w:val="32"/>
              <w:szCs w:val="32"/>
            </w:rPr>
            <w:t>144</w:t>
          </w:r>
          <w:bookmarkEnd w:id="3"/>
        </w:p>
      </w:tc>
    </w:tr>
    <w:tr w:rsidR="00BB2A61" w14:paraId="03419E1E" w14:textId="77777777" w:rsidTr="002E12EC">
      <w:trPr>
        <w:trHeight w:val="2165"/>
        <w:jc w:val="center"/>
      </w:trPr>
      <w:tc>
        <w:tcPr>
          <w:tcW w:w="5495" w:type="dxa"/>
        </w:tcPr>
        <w:p w14:paraId="5C861B27" w14:textId="77777777" w:rsidR="00490760" w:rsidRPr="00EE4D48" w:rsidRDefault="00461CBF" w:rsidP="002A07BC">
          <w:pPr>
            <w:rPr>
              <w:b/>
              <w:sz w:val="28"/>
              <w:szCs w:val="28"/>
            </w:rPr>
          </w:pPr>
          <w:r>
            <w:rPr>
              <w:noProof/>
            </w:rPr>
            <w:drawing>
              <wp:inline distT="0" distB="0" distL="0" distR="0" wp14:anchorId="2059A9E9" wp14:editId="2AD82657">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7024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FCC7F70" w14:textId="77777777" w:rsidR="00490760" w:rsidRPr="00FE5146" w:rsidRDefault="00461CBF" w:rsidP="00490760">
          <w:pPr>
            <w:jc w:val="right"/>
            <w:rPr>
              <w:sz w:val="144"/>
              <w:szCs w:val="144"/>
            </w:rPr>
          </w:pPr>
          <w:r w:rsidRPr="00FE5146">
            <w:rPr>
              <w:sz w:val="144"/>
              <w:szCs w:val="144"/>
            </w:rPr>
            <w:t>ENG</w:t>
          </w:r>
        </w:p>
      </w:tc>
    </w:tr>
    <w:tr w:rsidR="00BB2A61" w14:paraId="40D77B1B" w14:textId="77777777" w:rsidTr="002E12EC">
      <w:trPr>
        <w:trHeight w:val="409"/>
        <w:jc w:val="center"/>
      </w:trPr>
      <w:tc>
        <w:tcPr>
          <w:tcW w:w="8500" w:type="dxa"/>
          <w:gridSpan w:val="2"/>
        </w:tcPr>
        <w:p w14:paraId="075BA1BE" w14:textId="77777777" w:rsidR="00BD47E4" w:rsidRDefault="00461CBF" w:rsidP="002C30DA">
          <w:pPr>
            <w:jc w:val="right"/>
          </w:pPr>
          <w:r>
            <w:t>Agenda Item:</w:t>
          </w:r>
        </w:p>
      </w:tc>
      <w:tc>
        <w:tcPr>
          <w:tcW w:w="2382" w:type="dxa"/>
          <w:gridSpan w:val="2"/>
        </w:tcPr>
        <w:p w14:paraId="6158BC62" w14:textId="77777777" w:rsidR="00BD47E4" w:rsidRDefault="00461CBF" w:rsidP="002C30DA">
          <w:pPr>
            <w:jc w:val="right"/>
          </w:pPr>
          <w:bookmarkStart w:id="4" w:name="agenda"/>
          <w:r>
            <w:t>ATCM 15</w:t>
          </w:r>
          <w:bookmarkEnd w:id="4"/>
        </w:p>
      </w:tc>
      <w:tc>
        <w:tcPr>
          <w:tcW w:w="390" w:type="dxa"/>
        </w:tcPr>
        <w:p w14:paraId="243FDB94" w14:textId="77777777" w:rsidR="00BD47E4" w:rsidRDefault="00461CBF" w:rsidP="00387A65">
          <w:pPr>
            <w:jc w:val="right"/>
          </w:pPr>
        </w:p>
      </w:tc>
    </w:tr>
    <w:tr w:rsidR="00BB2A61" w14:paraId="7639DFD1" w14:textId="77777777" w:rsidTr="002E12EC">
      <w:trPr>
        <w:trHeight w:val="397"/>
        <w:jc w:val="center"/>
      </w:trPr>
      <w:tc>
        <w:tcPr>
          <w:tcW w:w="8500" w:type="dxa"/>
          <w:gridSpan w:val="2"/>
        </w:tcPr>
        <w:p w14:paraId="259A9972" w14:textId="77777777" w:rsidR="00BD47E4" w:rsidRDefault="00461CBF" w:rsidP="002C30DA">
          <w:pPr>
            <w:jc w:val="right"/>
          </w:pPr>
          <w:r>
            <w:t>Presented by:</w:t>
          </w:r>
        </w:p>
      </w:tc>
      <w:tc>
        <w:tcPr>
          <w:tcW w:w="2382" w:type="dxa"/>
          <w:gridSpan w:val="2"/>
        </w:tcPr>
        <w:p w14:paraId="36FD6DB3" w14:textId="77777777" w:rsidR="00BD47E4" w:rsidRDefault="00461CBF" w:rsidP="002C30DA">
          <w:pPr>
            <w:jc w:val="right"/>
          </w:pPr>
          <w:bookmarkStart w:id="5" w:name="party"/>
          <w:r>
            <w:t>Australia</w:t>
          </w:r>
          <w:bookmarkEnd w:id="5"/>
        </w:p>
      </w:tc>
      <w:tc>
        <w:tcPr>
          <w:tcW w:w="390" w:type="dxa"/>
        </w:tcPr>
        <w:p w14:paraId="33664A37" w14:textId="77777777" w:rsidR="00BD47E4" w:rsidRDefault="00461CBF" w:rsidP="00387A65">
          <w:pPr>
            <w:jc w:val="right"/>
          </w:pPr>
        </w:p>
      </w:tc>
    </w:tr>
    <w:tr w:rsidR="00BB2A61" w14:paraId="3EAF3E24" w14:textId="77777777" w:rsidTr="002E12EC">
      <w:trPr>
        <w:trHeight w:val="409"/>
        <w:jc w:val="center"/>
      </w:trPr>
      <w:tc>
        <w:tcPr>
          <w:tcW w:w="8500" w:type="dxa"/>
          <w:gridSpan w:val="2"/>
        </w:tcPr>
        <w:p w14:paraId="254C4BD7" w14:textId="77777777" w:rsidR="00BD47E4" w:rsidRDefault="00461CBF" w:rsidP="002C30DA">
          <w:pPr>
            <w:jc w:val="right"/>
          </w:pPr>
          <w:r>
            <w:t>Original:</w:t>
          </w:r>
        </w:p>
      </w:tc>
      <w:tc>
        <w:tcPr>
          <w:tcW w:w="2382" w:type="dxa"/>
          <w:gridSpan w:val="2"/>
        </w:tcPr>
        <w:p w14:paraId="7B0634C5" w14:textId="77777777" w:rsidR="00BD47E4" w:rsidRDefault="00461CBF" w:rsidP="002C30DA">
          <w:pPr>
            <w:jc w:val="right"/>
          </w:pPr>
          <w:bookmarkStart w:id="6" w:name="language"/>
          <w:r>
            <w:t>English</w:t>
          </w:r>
          <w:bookmarkEnd w:id="6"/>
        </w:p>
      </w:tc>
      <w:tc>
        <w:tcPr>
          <w:tcW w:w="390" w:type="dxa"/>
        </w:tcPr>
        <w:p w14:paraId="38235637" w14:textId="77777777" w:rsidR="00BD47E4" w:rsidRDefault="00461CBF" w:rsidP="00387A65">
          <w:pPr>
            <w:jc w:val="right"/>
          </w:pPr>
        </w:p>
      </w:tc>
    </w:tr>
    <w:tr w:rsidR="00BB2A61" w14:paraId="7DB7048A" w14:textId="77777777" w:rsidTr="002E12EC">
      <w:trPr>
        <w:trHeight w:val="409"/>
        <w:jc w:val="center"/>
      </w:trPr>
      <w:tc>
        <w:tcPr>
          <w:tcW w:w="8500" w:type="dxa"/>
          <w:gridSpan w:val="2"/>
        </w:tcPr>
        <w:p w14:paraId="63EFD3D3" w14:textId="77777777" w:rsidR="0097629D" w:rsidRDefault="00461CBF" w:rsidP="002C30DA">
          <w:pPr>
            <w:jc w:val="right"/>
          </w:pPr>
          <w:r>
            <w:t>Submitted:</w:t>
          </w:r>
        </w:p>
      </w:tc>
      <w:tc>
        <w:tcPr>
          <w:tcW w:w="2382" w:type="dxa"/>
          <w:gridSpan w:val="2"/>
        </w:tcPr>
        <w:p w14:paraId="029E4350" w14:textId="77777777" w:rsidR="0097629D" w:rsidRDefault="00461CBF" w:rsidP="0097629D">
          <w:pPr>
            <w:jc w:val="right"/>
          </w:pPr>
          <w:bookmarkStart w:id="7" w:name="date_submission"/>
          <w:r>
            <w:t>29 Apr 2023</w:t>
          </w:r>
          <w:bookmarkEnd w:id="7"/>
        </w:p>
      </w:tc>
      <w:tc>
        <w:tcPr>
          <w:tcW w:w="390" w:type="dxa"/>
        </w:tcPr>
        <w:p w14:paraId="0C88F8A2" w14:textId="77777777" w:rsidR="0097629D" w:rsidRDefault="00461CBF" w:rsidP="00387A65">
          <w:pPr>
            <w:jc w:val="right"/>
          </w:pPr>
        </w:p>
      </w:tc>
    </w:tr>
  </w:tbl>
  <w:p w14:paraId="713620F9" w14:textId="77777777" w:rsidR="00AE5DD0" w:rsidRDefault="00461CB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B2A61" w14:paraId="71100476" w14:textId="77777777">
      <w:trPr>
        <w:trHeight w:val="354"/>
        <w:jc w:val="center"/>
      </w:trPr>
      <w:tc>
        <w:tcPr>
          <w:tcW w:w="9694" w:type="dxa"/>
        </w:tcPr>
        <w:p w14:paraId="67783519" w14:textId="23D9FCEC" w:rsidR="00AE5DD0" w:rsidRPr="00BD47E4" w:rsidRDefault="00461CBF" w:rsidP="00C26F2D">
          <w:pPr>
            <w:jc w:val="right"/>
            <w:rPr>
              <w:b/>
              <w:sz w:val="32"/>
              <w:szCs w:val="32"/>
            </w:rPr>
          </w:pPr>
          <w:r>
            <w:rPr>
              <w:b/>
              <w:sz w:val="32"/>
              <w:szCs w:val="32"/>
            </w:rPr>
            <w:t>IP</w:t>
          </w:r>
        </w:p>
      </w:tc>
      <w:tc>
        <w:tcPr>
          <w:tcW w:w="1332" w:type="dxa"/>
        </w:tcPr>
        <w:p w14:paraId="0999EC6F" w14:textId="64A4F0CA" w:rsidR="00AE5DD0" w:rsidRPr="00BD47E4" w:rsidRDefault="00461CBF" w:rsidP="00080F4C">
          <w:pPr>
            <w:rPr>
              <w:b/>
              <w:sz w:val="32"/>
              <w:szCs w:val="32"/>
            </w:rPr>
          </w:pPr>
          <w:r>
            <w:rPr>
              <w:b/>
              <w:sz w:val="32"/>
              <w:szCs w:val="32"/>
            </w:rPr>
            <w:t>144</w:t>
          </w:r>
        </w:p>
      </w:tc>
    </w:tr>
  </w:tbl>
  <w:p w14:paraId="0E880E2B" w14:textId="77777777" w:rsidR="00AE5DD0" w:rsidRDefault="00461C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D4BEF95C">
      <w:start w:val="1"/>
      <w:numFmt w:val="bullet"/>
      <w:pStyle w:val="ATSBullet1"/>
      <w:lvlText w:val=""/>
      <w:lvlJc w:val="left"/>
      <w:pPr>
        <w:tabs>
          <w:tab w:val="num" w:pos="360"/>
        </w:tabs>
        <w:ind w:left="360" w:hanging="360"/>
      </w:pPr>
      <w:rPr>
        <w:rFonts w:ascii="Symbol" w:hAnsi="Symbol" w:hint="default"/>
        <w:color w:val="auto"/>
      </w:rPr>
    </w:lvl>
    <w:lvl w:ilvl="1" w:tplc="C570F6F2" w:tentative="1">
      <w:start w:val="1"/>
      <w:numFmt w:val="bullet"/>
      <w:lvlText w:val="o"/>
      <w:lvlJc w:val="left"/>
      <w:pPr>
        <w:tabs>
          <w:tab w:val="num" w:pos="1440"/>
        </w:tabs>
        <w:ind w:left="1440" w:hanging="360"/>
      </w:pPr>
      <w:rPr>
        <w:rFonts w:ascii="Courier New" w:hAnsi="Courier New" w:cs="Courier New" w:hint="default"/>
      </w:rPr>
    </w:lvl>
    <w:lvl w:ilvl="2" w:tplc="2752E73C" w:tentative="1">
      <w:start w:val="1"/>
      <w:numFmt w:val="bullet"/>
      <w:lvlText w:val=""/>
      <w:lvlJc w:val="left"/>
      <w:pPr>
        <w:tabs>
          <w:tab w:val="num" w:pos="2160"/>
        </w:tabs>
        <w:ind w:left="2160" w:hanging="360"/>
      </w:pPr>
      <w:rPr>
        <w:rFonts w:ascii="Wingdings" w:hAnsi="Wingdings" w:hint="default"/>
      </w:rPr>
    </w:lvl>
    <w:lvl w:ilvl="3" w:tplc="82D0FDA6" w:tentative="1">
      <w:start w:val="1"/>
      <w:numFmt w:val="bullet"/>
      <w:lvlText w:val=""/>
      <w:lvlJc w:val="left"/>
      <w:pPr>
        <w:tabs>
          <w:tab w:val="num" w:pos="2880"/>
        </w:tabs>
        <w:ind w:left="2880" w:hanging="360"/>
      </w:pPr>
      <w:rPr>
        <w:rFonts w:ascii="Symbol" w:hAnsi="Symbol" w:hint="default"/>
      </w:rPr>
    </w:lvl>
    <w:lvl w:ilvl="4" w:tplc="87F67372" w:tentative="1">
      <w:start w:val="1"/>
      <w:numFmt w:val="bullet"/>
      <w:lvlText w:val="o"/>
      <w:lvlJc w:val="left"/>
      <w:pPr>
        <w:tabs>
          <w:tab w:val="num" w:pos="3600"/>
        </w:tabs>
        <w:ind w:left="3600" w:hanging="360"/>
      </w:pPr>
      <w:rPr>
        <w:rFonts w:ascii="Courier New" w:hAnsi="Courier New" w:cs="Courier New" w:hint="default"/>
      </w:rPr>
    </w:lvl>
    <w:lvl w:ilvl="5" w:tplc="44BE7C96" w:tentative="1">
      <w:start w:val="1"/>
      <w:numFmt w:val="bullet"/>
      <w:lvlText w:val=""/>
      <w:lvlJc w:val="left"/>
      <w:pPr>
        <w:tabs>
          <w:tab w:val="num" w:pos="4320"/>
        </w:tabs>
        <w:ind w:left="4320" w:hanging="360"/>
      </w:pPr>
      <w:rPr>
        <w:rFonts w:ascii="Wingdings" w:hAnsi="Wingdings" w:hint="default"/>
      </w:rPr>
    </w:lvl>
    <w:lvl w:ilvl="6" w:tplc="F572C494" w:tentative="1">
      <w:start w:val="1"/>
      <w:numFmt w:val="bullet"/>
      <w:lvlText w:val=""/>
      <w:lvlJc w:val="left"/>
      <w:pPr>
        <w:tabs>
          <w:tab w:val="num" w:pos="5040"/>
        </w:tabs>
        <w:ind w:left="5040" w:hanging="360"/>
      </w:pPr>
      <w:rPr>
        <w:rFonts w:ascii="Symbol" w:hAnsi="Symbol" w:hint="default"/>
      </w:rPr>
    </w:lvl>
    <w:lvl w:ilvl="7" w:tplc="1BBEA85A" w:tentative="1">
      <w:start w:val="1"/>
      <w:numFmt w:val="bullet"/>
      <w:lvlText w:val="o"/>
      <w:lvlJc w:val="left"/>
      <w:pPr>
        <w:tabs>
          <w:tab w:val="num" w:pos="5760"/>
        </w:tabs>
        <w:ind w:left="5760" w:hanging="360"/>
      </w:pPr>
      <w:rPr>
        <w:rFonts w:ascii="Courier New" w:hAnsi="Courier New" w:cs="Courier New" w:hint="default"/>
      </w:rPr>
    </w:lvl>
    <w:lvl w:ilvl="8" w:tplc="2348D49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DEA48E6">
      <w:start w:val="1"/>
      <w:numFmt w:val="decimal"/>
      <w:lvlText w:val="%1)"/>
      <w:lvlJc w:val="left"/>
      <w:pPr>
        <w:tabs>
          <w:tab w:val="num" w:pos="340"/>
        </w:tabs>
        <w:ind w:left="340" w:hanging="340"/>
      </w:pPr>
      <w:rPr>
        <w:rFonts w:hint="default"/>
      </w:rPr>
    </w:lvl>
    <w:lvl w:ilvl="1" w:tplc="F1481216" w:tentative="1">
      <w:start w:val="1"/>
      <w:numFmt w:val="lowerLetter"/>
      <w:lvlText w:val="%2."/>
      <w:lvlJc w:val="left"/>
      <w:pPr>
        <w:tabs>
          <w:tab w:val="num" w:pos="1440"/>
        </w:tabs>
        <w:ind w:left="1440" w:hanging="360"/>
      </w:pPr>
    </w:lvl>
    <w:lvl w:ilvl="2" w:tplc="16180792" w:tentative="1">
      <w:start w:val="1"/>
      <w:numFmt w:val="lowerRoman"/>
      <w:lvlText w:val="%3."/>
      <w:lvlJc w:val="right"/>
      <w:pPr>
        <w:tabs>
          <w:tab w:val="num" w:pos="2160"/>
        </w:tabs>
        <w:ind w:left="2160" w:hanging="180"/>
      </w:pPr>
    </w:lvl>
    <w:lvl w:ilvl="3" w:tplc="B6A21140" w:tentative="1">
      <w:start w:val="1"/>
      <w:numFmt w:val="decimal"/>
      <w:lvlText w:val="%4."/>
      <w:lvlJc w:val="left"/>
      <w:pPr>
        <w:tabs>
          <w:tab w:val="num" w:pos="2880"/>
        </w:tabs>
        <w:ind w:left="2880" w:hanging="360"/>
      </w:pPr>
    </w:lvl>
    <w:lvl w:ilvl="4" w:tplc="2D70A9AE" w:tentative="1">
      <w:start w:val="1"/>
      <w:numFmt w:val="lowerLetter"/>
      <w:lvlText w:val="%5."/>
      <w:lvlJc w:val="left"/>
      <w:pPr>
        <w:tabs>
          <w:tab w:val="num" w:pos="3600"/>
        </w:tabs>
        <w:ind w:left="3600" w:hanging="360"/>
      </w:pPr>
    </w:lvl>
    <w:lvl w:ilvl="5" w:tplc="0D3AEA90" w:tentative="1">
      <w:start w:val="1"/>
      <w:numFmt w:val="lowerRoman"/>
      <w:lvlText w:val="%6."/>
      <w:lvlJc w:val="right"/>
      <w:pPr>
        <w:tabs>
          <w:tab w:val="num" w:pos="4320"/>
        </w:tabs>
        <w:ind w:left="4320" w:hanging="180"/>
      </w:pPr>
    </w:lvl>
    <w:lvl w:ilvl="6" w:tplc="31DAD6D6" w:tentative="1">
      <w:start w:val="1"/>
      <w:numFmt w:val="decimal"/>
      <w:lvlText w:val="%7."/>
      <w:lvlJc w:val="left"/>
      <w:pPr>
        <w:tabs>
          <w:tab w:val="num" w:pos="5040"/>
        </w:tabs>
        <w:ind w:left="5040" w:hanging="360"/>
      </w:pPr>
    </w:lvl>
    <w:lvl w:ilvl="7" w:tplc="82BAB84A" w:tentative="1">
      <w:start w:val="1"/>
      <w:numFmt w:val="lowerLetter"/>
      <w:lvlText w:val="%8."/>
      <w:lvlJc w:val="left"/>
      <w:pPr>
        <w:tabs>
          <w:tab w:val="num" w:pos="5760"/>
        </w:tabs>
        <w:ind w:left="5760" w:hanging="360"/>
      </w:pPr>
    </w:lvl>
    <w:lvl w:ilvl="8" w:tplc="9FAAE9B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5C6A75A">
      <w:start w:val="1"/>
      <w:numFmt w:val="decimal"/>
      <w:lvlText w:val="%1."/>
      <w:lvlJc w:val="left"/>
      <w:pPr>
        <w:tabs>
          <w:tab w:val="num" w:pos="1057"/>
        </w:tabs>
        <w:ind w:left="1057" w:hanging="360"/>
      </w:pPr>
      <w:rPr>
        <w:rFonts w:hint="default"/>
      </w:rPr>
    </w:lvl>
    <w:lvl w:ilvl="1" w:tplc="AE3E108E" w:tentative="1">
      <w:start w:val="1"/>
      <w:numFmt w:val="lowerLetter"/>
      <w:lvlText w:val="%2."/>
      <w:lvlJc w:val="left"/>
      <w:pPr>
        <w:tabs>
          <w:tab w:val="num" w:pos="2137"/>
        </w:tabs>
        <w:ind w:left="2137" w:hanging="360"/>
      </w:pPr>
    </w:lvl>
    <w:lvl w:ilvl="2" w:tplc="9BA0F652" w:tentative="1">
      <w:start w:val="1"/>
      <w:numFmt w:val="lowerRoman"/>
      <w:lvlText w:val="%3."/>
      <w:lvlJc w:val="right"/>
      <w:pPr>
        <w:tabs>
          <w:tab w:val="num" w:pos="2857"/>
        </w:tabs>
        <w:ind w:left="2857" w:hanging="180"/>
      </w:pPr>
    </w:lvl>
    <w:lvl w:ilvl="3" w:tplc="36747D0C" w:tentative="1">
      <w:start w:val="1"/>
      <w:numFmt w:val="decimal"/>
      <w:lvlText w:val="%4."/>
      <w:lvlJc w:val="left"/>
      <w:pPr>
        <w:tabs>
          <w:tab w:val="num" w:pos="3577"/>
        </w:tabs>
        <w:ind w:left="3577" w:hanging="360"/>
      </w:pPr>
    </w:lvl>
    <w:lvl w:ilvl="4" w:tplc="9C5CEA36" w:tentative="1">
      <w:start w:val="1"/>
      <w:numFmt w:val="lowerLetter"/>
      <w:lvlText w:val="%5."/>
      <w:lvlJc w:val="left"/>
      <w:pPr>
        <w:tabs>
          <w:tab w:val="num" w:pos="4297"/>
        </w:tabs>
        <w:ind w:left="4297" w:hanging="360"/>
      </w:pPr>
    </w:lvl>
    <w:lvl w:ilvl="5" w:tplc="DB8E9920" w:tentative="1">
      <w:start w:val="1"/>
      <w:numFmt w:val="lowerRoman"/>
      <w:lvlText w:val="%6."/>
      <w:lvlJc w:val="right"/>
      <w:pPr>
        <w:tabs>
          <w:tab w:val="num" w:pos="5017"/>
        </w:tabs>
        <w:ind w:left="5017" w:hanging="180"/>
      </w:pPr>
    </w:lvl>
    <w:lvl w:ilvl="6" w:tplc="F5BA8888" w:tentative="1">
      <w:start w:val="1"/>
      <w:numFmt w:val="decimal"/>
      <w:lvlText w:val="%7."/>
      <w:lvlJc w:val="left"/>
      <w:pPr>
        <w:tabs>
          <w:tab w:val="num" w:pos="5737"/>
        </w:tabs>
        <w:ind w:left="5737" w:hanging="360"/>
      </w:pPr>
    </w:lvl>
    <w:lvl w:ilvl="7" w:tplc="4844D75E" w:tentative="1">
      <w:start w:val="1"/>
      <w:numFmt w:val="lowerLetter"/>
      <w:lvlText w:val="%8."/>
      <w:lvlJc w:val="left"/>
      <w:pPr>
        <w:tabs>
          <w:tab w:val="num" w:pos="6457"/>
        </w:tabs>
        <w:ind w:left="6457" w:hanging="360"/>
      </w:pPr>
    </w:lvl>
    <w:lvl w:ilvl="8" w:tplc="C9E8707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89AF110">
      <w:start w:val="1"/>
      <w:numFmt w:val="decimal"/>
      <w:pStyle w:val="ATSNumber1"/>
      <w:lvlText w:val="%1)"/>
      <w:lvlJc w:val="left"/>
      <w:pPr>
        <w:tabs>
          <w:tab w:val="num" w:pos="720"/>
        </w:tabs>
        <w:ind w:left="720" w:hanging="360"/>
      </w:pPr>
    </w:lvl>
    <w:lvl w:ilvl="1" w:tplc="95C63E24" w:tentative="1">
      <w:start w:val="1"/>
      <w:numFmt w:val="lowerLetter"/>
      <w:lvlText w:val="%2."/>
      <w:lvlJc w:val="left"/>
      <w:pPr>
        <w:tabs>
          <w:tab w:val="num" w:pos="1440"/>
        </w:tabs>
        <w:ind w:left="1440" w:hanging="360"/>
      </w:pPr>
    </w:lvl>
    <w:lvl w:ilvl="2" w:tplc="65747EAA" w:tentative="1">
      <w:start w:val="1"/>
      <w:numFmt w:val="lowerRoman"/>
      <w:lvlText w:val="%3."/>
      <w:lvlJc w:val="right"/>
      <w:pPr>
        <w:tabs>
          <w:tab w:val="num" w:pos="2160"/>
        </w:tabs>
        <w:ind w:left="2160" w:hanging="180"/>
      </w:pPr>
    </w:lvl>
    <w:lvl w:ilvl="3" w:tplc="C7664A78" w:tentative="1">
      <w:start w:val="1"/>
      <w:numFmt w:val="decimal"/>
      <w:lvlText w:val="%4."/>
      <w:lvlJc w:val="left"/>
      <w:pPr>
        <w:tabs>
          <w:tab w:val="num" w:pos="2880"/>
        </w:tabs>
        <w:ind w:left="2880" w:hanging="360"/>
      </w:pPr>
    </w:lvl>
    <w:lvl w:ilvl="4" w:tplc="317CA728" w:tentative="1">
      <w:start w:val="1"/>
      <w:numFmt w:val="lowerLetter"/>
      <w:lvlText w:val="%5."/>
      <w:lvlJc w:val="left"/>
      <w:pPr>
        <w:tabs>
          <w:tab w:val="num" w:pos="3600"/>
        </w:tabs>
        <w:ind w:left="3600" w:hanging="360"/>
      </w:pPr>
    </w:lvl>
    <w:lvl w:ilvl="5" w:tplc="13CE264C" w:tentative="1">
      <w:start w:val="1"/>
      <w:numFmt w:val="lowerRoman"/>
      <w:lvlText w:val="%6."/>
      <w:lvlJc w:val="right"/>
      <w:pPr>
        <w:tabs>
          <w:tab w:val="num" w:pos="4320"/>
        </w:tabs>
        <w:ind w:left="4320" w:hanging="180"/>
      </w:pPr>
    </w:lvl>
    <w:lvl w:ilvl="6" w:tplc="A802F012" w:tentative="1">
      <w:start w:val="1"/>
      <w:numFmt w:val="decimal"/>
      <w:lvlText w:val="%7."/>
      <w:lvlJc w:val="left"/>
      <w:pPr>
        <w:tabs>
          <w:tab w:val="num" w:pos="5040"/>
        </w:tabs>
        <w:ind w:left="5040" w:hanging="360"/>
      </w:pPr>
    </w:lvl>
    <w:lvl w:ilvl="7" w:tplc="8D28BF98" w:tentative="1">
      <w:start w:val="1"/>
      <w:numFmt w:val="lowerLetter"/>
      <w:lvlText w:val="%8."/>
      <w:lvlJc w:val="left"/>
      <w:pPr>
        <w:tabs>
          <w:tab w:val="num" w:pos="5760"/>
        </w:tabs>
        <w:ind w:left="5760" w:hanging="360"/>
      </w:pPr>
    </w:lvl>
    <w:lvl w:ilvl="8" w:tplc="B888CC7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B82C42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5C4ECBE" w:tentative="1">
      <w:start w:val="1"/>
      <w:numFmt w:val="bullet"/>
      <w:lvlText w:val="o"/>
      <w:lvlJc w:val="left"/>
      <w:pPr>
        <w:tabs>
          <w:tab w:val="num" w:pos="2517"/>
        </w:tabs>
        <w:ind w:left="2517" w:hanging="360"/>
      </w:pPr>
      <w:rPr>
        <w:rFonts w:ascii="Courier New" w:hAnsi="Courier New" w:cs="Courier New" w:hint="default"/>
      </w:rPr>
    </w:lvl>
    <w:lvl w:ilvl="2" w:tplc="DC765944" w:tentative="1">
      <w:start w:val="1"/>
      <w:numFmt w:val="bullet"/>
      <w:lvlText w:val=""/>
      <w:lvlJc w:val="left"/>
      <w:pPr>
        <w:tabs>
          <w:tab w:val="num" w:pos="3237"/>
        </w:tabs>
        <w:ind w:left="3237" w:hanging="360"/>
      </w:pPr>
      <w:rPr>
        <w:rFonts w:ascii="Wingdings" w:hAnsi="Wingdings" w:hint="default"/>
      </w:rPr>
    </w:lvl>
    <w:lvl w:ilvl="3" w:tplc="E4B0DB82" w:tentative="1">
      <w:start w:val="1"/>
      <w:numFmt w:val="bullet"/>
      <w:lvlText w:val=""/>
      <w:lvlJc w:val="left"/>
      <w:pPr>
        <w:tabs>
          <w:tab w:val="num" w:pos="3957"/>
        </w:tabs>
        <w:ind w:left="3957" w:hanging="360"/>
      </w:pPr>
      <w:rPr>
        <w:rFonts w:ascii="Symbol" w:hAnsi="Symbol" w:hint="default"/>
      </w:rPr>
    </w:lvl>
    <w:lvl w:ilvl="4" w:tplc="876CD2C4" w:tentative="1">
      <w:start w:val="1"/>
      <w:numFmt w:val="bullet"/>
      <w:lvlText w:val="o"/>
      <w:lvlJc w:val="left"/>
      <w:pPr>
        <w:tabs>
          <w:tab w:val="num" w:pos="4677"/>
        </w:tabs>
        <w:ind w:left="4677" w:hanging="360"/>
      </w:pPr>
      <w:rPr>
        <w:rFonts w:ascii="Courier New" w:hAnsi="Courier New" w:cs="Courier New" w:hint="default"/>
      </w:rPr>
    </w:lvl>
    <w:lvl w:ilvl="5" w:tplc="46382D7A" w:tentative="1">
      <w:start w:val="1"/>
      <w:numFmt w:val="bullet"/>
      <w:lvlText w:val=""/>
      <w:lvlJc w:val="left"/>
      <w:pPr>
        <w:tabs>
          <w:tab w:val="num" w:pos="5397"/>
        </w:tabs>
        <w:ind w:left="5397" w:hanging="360"/>
      </w:pPr>
      <w:rPr>
        <w:rFonts w:ascii="Wingdings" w:hAnsi="Wingdings" w:hint="default"/>
      </w:rPr>
    </w:lvl>
    <w:lvl w:ilvl="6" w:tplc="1A0CA608" w:tentative="1">
      <w:start w:val="1"/>
      <w:numFmt w:val="bullet"/>
      <w:lvlText w:val=""/>
      <w:lvlJc w:val="left"/>
      <w:pPr>
        <w:tabs>
          <w:tab w:val="num" w:pos="6117"/>
        </w:tabs>
        <w:ind w:left="6117" w:hanging="360"/>
      </w:pPr>
      <w:rPr>
        <w:rFonts w:ascii="Symbol" w:hAnsi="Symbol" w:hint="default"/>
      </w:rPr>
    </w:lvl>
    <w:lvl w:ilvl="7" w:tplc="3092CF16" w:tentative="1">
      <w:start w:val="1"/>
      <w:numFmt w:val="bullet"/>
      <w:lvlText w:val="o"/>
      <w:lvlJc w:val="left"/>
      <w:pPr>
        <w:tabs>
          <w:tab w:val="num" w:pos="6837"/>
        </w:tabs>
        <w:ind w:left="6837" w:hanging="360"/>
      </w:pPr>
      <w:rPr>
        <w:rFonts w:ascii="Courier New" w:hAnsi="Courier New" w:cs="Courier New" w:hint="default"/>
      </w:rPr>
    </w:lvl>
    <w:lvl w:ilvl="8" w:tplc="3250786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D0A2F7C">
      <w:start w:val="1"/>
      <w:numFmt w:val="decimal"/>
      <w:pStyle w:val="ATSNumber2"/>
      <w:lvlText w:val="%1."/>
      <w:lvlJc w:val="left"/>
      <w:pPr>
        <w:tabs>
          <w:tab w:val="num" w:pos="720"/>
        </w:tabs>
        <w:ind w:left="720" w:hanging="360"/>
      </w:pPr>
      <w:rPr>
        <w:rFonts w:hint="default"/>
      </w:rPr>
    </w:lvl>
    <w:lvl w:ilvl="1" w:tplc="08C819B0" w:tentative="1">
      <w:start w:val="1"/>
      <w:numFmt w:val="lowerLetter"/>
      <w:lvlText w:val="%2."/>
      <w:lvlJc w:val="left"/>
      <w:pPr>
        <w:tabs>
          <w:tab w:val="num" w:pos="1440"/>
        </w:tabs>
        <w:ind w:left="1440" w:hanging="360"/>
      </w:pPr>
    </w:lvl>
    <w:lvl w:ilvl="2" w:tplc="C152E8B4" w:tentative="1">
      <w:start w:val="1"/>
      <w:numFmt w:val="lowerRoman"/>
      <w:lvlText w:val="%3."/>
      <w:lvlJc w:val="right"/>
      <w:pPr>
        <w:tabs>
          <w:tab w:val="num" w:pos="2160"/>
        </w:tabs>
        <w:ind w:left="2160" w:hanging="180"/>
      </w:pPr>
    </w:lvl>
    <w:lvl w:ilvl="3" w:tplc="F3AA745C" w:tentative="1">
      <w:start w:val="1"/>
      <w:numFmt w:val="decimal"/>
      <w:lvlText w:val="%4."/>
      <w:lvlJc w:val="left"/>
      <w:pPr>
        <w:tabs>
          <w:tab w:val="num" w:pos="2880"/>
        </w:tabs>
        <w:ind w:left="2880" w:hanging="360"/>
      </w:pPr>
    </w:lvl>
    <w:lvl w:ilvl="4" w:tplc="627496A2" w:tentative="1">
      <w:start w:val="1"/>
      <w:numFmt w:val="lowerLetter"/>
      <w:lvlText w:val="%5."/>
      <w:lvlJc w:val="left"/>
      <w:pPr>
        <w:tabs>
          <w:tab w:val="num" w:pos="3600"/>
        </w:tabs>
        <w:ind w:left="3600" w:hanging="360"/>
      </w:pPr>
    </w:lvl>
    <w:lvl w:ilvl="5" w:tplc="6B20147C" w:tentative="1">
      <w:start w:val="1"/>
      <w:numFmt w:val="lowerRoman"/>
      <w:lvlText w:val="%6."/>
      <w:lvlJc w:val="right"/>
      <w:pPr>
        <w:tabs>
          <w:tab w:val="num" w:pos="4320"/>
        </w:tabs>
        <w:ind w:left="4320" w:hanging="180"/>
      </w:pPr>
    </w:lvl>
    <w:lvl w:ilvl="6" w:tplc="2A98714C" w:tentative="1">
      <w:start w:val="1"/>
      <w:numFmt w:val="decimal"/>
      <w:lvlText w:val="%7."/>
      <w:lvlJc w:val="left"/>
      <w:pPr>
        <w:tabs>
          <w:tab w:val="num" w:pos="5040"/>
        </w:tabs>
        <w:ind w:left="5040" w:hanging="360"/>
      </w:pPr>
    </w:lvl>
    <w:lvl w:ilvl="7" w:tplc="D234C33A" w:tentative="1">
      <w:start w:val="1"/>
      <w:numFmt w:val="lowerLetter"/>
      <w:lvlText w:val="%8."/>
      <w:lvlJc w:val="left"/>
      <w:pPr>
        <w:tabs>
          <w:tab w:val="num" w:pos="5760"/>
        </w:tabs>
        <w:ind w:left="5760" w:hanging="360"/>
      </w:pPr>
    </w:lvl>
    <w:lvl w:ilvl="8" w:tplc="347A9C9C" w:tentative="1">
      <w:start w:val="1"/>
      <w:numFmt w:val="lowerRoman"/>
      <w:lvlText w:val="%9."/>
      <w:lvlJc w:val="right"/>
      <w:pPr>
        <w:tabs>
          <w:tab w:val="num" w:pos="6480"/>
        </w:tabs>
        <w:ind w:left="6480" w:hanging="180"/>
      </w:pPr>
    </w:lvl>
  </w:abstractNum>
  <w:num w:numId="1" w16cid:durableId="1091121542">
    <w:abstractNumId w:val="9"/>
  </w:num>
  <w:num w:numId="2" w16cid:durableId="1671326162">
    <w:abstractNumId w:val="7"/>
  </w:num>
  <w:num w:numId="3" w16cid:durableId="1398473094">
    <w:abstractNumId w:val="6"/>
  </w:num>
  <w:num w:numId="4" w16cid:durableId="1168864457">
    <w:abstractNumId w:val="5"/>
  </w:num>
  <w:num w:numId="5" w16cid:durableId="414013784">
    <w:abstractNumId w:val="4"/>
  </w:num>
  <w:num w:numId="6" w16cid:durableId="883717987">
    <w:abstractNumId w:val="8"/>
  </w:num>
  <w:num w:numId="7" w16cid:durableId="688917632">
    <w:abstractNumId w:val="3"/>
  </w:num>
  <w:num w:numId="8" w16cid:durableId="573512297">
    <w:abstractNumId w:val="2"/>
  </w:num>
  <w:num w:numId="9" w16cid:durableId="1206714929">
    <w:abstractNumId w:val="1"/>
  </w:num>
  <w:num w:numId="10" w16cid:durableId="1330669640">
    <w:abstractNumId w:val="0"/>
  </w:num>
  <w:num w:numId="11" w16cid:durableId="675569929">
    <w:abstractNumId w:val="11"/>
  </w:num>
  <w:num w:numId="12" w16cid:durableId="93133814">
    <w:abstractNumId w:val="15"/>
  </w:num>
  <w:num w:numId="13" w16cid:durableId="392892015">
    <w:abstractNumId w:val="14"/>
  </w:num>
  <w:num w:numId="14" w16cid:durableId="1224098199">
    <w:abstractNumId w:val="12"/>
  </w:num>
  <w:num w:numId="15" w16cid:durableId="1475676321">
    <w:abstractNumId w:val="13"/>
  </w:num>
  <w:num w:numId="16" w16cid:durableId="2054038947">
    <w:abstractNumId w:val="10"/>
  </w:num>
  <w:num w:numId="17" w16cid:durableId="58485814">
    <w:abstractNumId w:val="11"/>
  </w:num>
  <w:num w:numId="18" w16cid:durableId="662314346">
    <w:abstractNumId w:val="15"/>
  </w:num>
  <w:num w:numId="19" w16cid:durableId="1181702409">
    <w:abstractNumId w:val="14"/>
  </w:num>
  <w:num w:numId="20" w16cid:durableId="20336795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A61"/>
    <w:rsid w:val="00461CBF"/>
    <w:rsid w:val="00BB2A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44BD3"/>
  <w15:chartTrackingRefBased/>
  <w15:docId w15:val="{FC134D60-44CE-4355-A3EC-A4DD1887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461CBF"/>
    <w:rPr>
      <w:rFonts w:ascii="Arial" w:hAnsi="Arial"/>
      <w:b/>
      <w:i/>
      <w:sz w:val="24"/>
      <w:szCs w:val="22"/>
      <w:lang w:val="en-GB" w:eastAsia="en-GB"/>
    </w:rPr>
  </w:style>
  <w:style w:type="character" w:customStyle="1" w:styleId="ATSNormalChar">
    <w:name w:val="ATS Normal Char"/>
    <w:link w:val="ATSNormal"/>
    <w:locked/>
    <w:rsid w:val="00461CBF"/>
    <w:rPr>
      <w:sz w:val="22"/>
      <w:szCs w:val="24"/>
      <w:lang w:val="en-GB" w:eastAsia="en-GB"/>
    </w:rPr>
  </w:style>
  <w:style w:type="character" w:customStyle="1" w:styleId="normaltextrun">
    <w:name w:val="normaltextrun"/>
    <w:basedOn w:val="Fuentedeprrafopredeter"/>
    <w:rsid w:val="00461CBF"/>
  </w:style>
  <w:style w:type="character" w:customStyle="1" w:styleId="eop">
    <w:name w:val="eop"/>
    <w:basedOn w:val="Fuentedeprrafopredeter"/>
    <w:rsid w:val="00461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izzline.antarctica.gov.au/site/assets/files/14014/department_response_to_the_russell_review.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izzline.antarctica.gov.au/site/assets/files/14014/an_independent_review_of_workplace_culture_and_change_at_the_aad.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640</Words>
  <Characters>4201</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2023-05-03T22:21:00Z</dcterms:modified>
</cp:coreProperties>
</file>