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02394" w14:textId="77777777" w:rsidR="00C26F2D" w:rsidRPr="00BF077B" w:rsidRDefault="00855B17" w:rsidP="00BF077B">
      <w:pPr>
        <w:pStyle w:val="ATSNormal"/>
        <w:rPr>
          <w:rStyle w:val="Ttulodellibro"/>
        </w:rPr>
      </w:pPr>
    </w:p>
    <w:p w14:paraId="5991ACEC" w14:textId="77777777" w:rsidR="002F0A13" w:rsidRDefault="00855B17" w:rsidP="004B4A60">
      <w:pPr>
        <w:rPr>
          <w:b/>
          <w:u w:val="single"/>
          <w:lang w:val="es-ES_tradnl"/>
        </w:rPr>
      </w:pPr>
    </w:p>
    <w:p w14:paraId="44A3B080" w14:textId="77777777" w:rsidR="002F0A13" w:rsidRDefault="00855B17" w:rsidP="004B4A60">
      <w:pPr>
        <w:rPr>
          <w:b/>
          <w:u w:val="single"/>
          <w:lang w:val="es-ES_tradnl"/>
        </w:rPr>
      </w:pPr>
    </w:p>
    <w:p w14:paraId="56B70560" w14:textId="77777777" w:rsidR="002F0A13" w:rsidRDefault="00855B17" w:rsidP="004B4A60">
      <w:pPr>
        <w:rPr>
          <w:b/>
          <w:u w:val="single"/>
          <w:lang w:val="es-ES_tradnl"/>
        </w:rPr>
      </w:pPr>
    </w:p>
    <w:p w14:paraId="46561CC6" w14:textId="77777777" w:rsidR="002F0A13" w:rsidRDefault="00855B17" w:rsidP="004B4A60">
      <w:pPr>
        <w:rPr>
          <w:b/>
          <w:u w:val="single"/>
          <w:lang w:val="es-ES_tradnl"/>
        </w:rPr>
      </w:pPr>
    </w:p>
    <w:p w14:paraId="709ABD28" w14:textId="77777777" w:rsidR="00C26F2D" w:rsidRDefault="00855B17" w:rsidP="004B4A60">
      <w:pPr>
        <w:rPr>
          <w:b/>
          <w:u w:val="single"/>
          <w:lang w:val="es-ES_tradnl"/>
        </w:rPr>
      </w:pPr>
    </w:p>
    <w:p w14:paraId="7B579094" w14:textId="18A7B927" w:rsidR="004B4A60" w:rsidRPr="0057246E" w:rsidRDefault="00430489" w:rsidP="001B789F">
      <w:pPr>
        <w:pStyle w:val="ATSTitle"/>
      </w:pPr>
      <w:bookmarkStart w:id="0" w:name="name"/>
      <w:r>
        <w:t xml:space="preserve">Suggested guidelines for the </w:t>
      </w:r>
      <w:r>
        <w:br/>
        <w:t>de-designation of Antarctic Specially Protected Areas (ASPA)</w:t>
      </w:r>
      <w:bookmarkEnd w:id="0"/>
    </w:p>
    <w:p w14:paraId="69527114" w14:textId="77777777" w:rsidR="004B4A60" w:rsidRPr="0057246E" w:rsidRDefault="00855B17" w:rsidP="00F75424">
      <w:pPr>
        <w:jc w:val="center"/>
      </w:pPr>
    </w:p>
    <w:p w14:paraId="1AC8FB16" w14:textId="77777777" w:rsidR="004B4A60" w:rsidRPr="002F0A13" w:rsidRDefault="00855B17" w:rsidP="002F0A13"/>
    <w:p w14:paraId="2B554745" w14:textId="77777777" w:rsidR="004B4A60" w:rsidRDefault="00855B17" w:rsidP="00F75424">
      <w:pPr>
        <w:jc w:val="center"/>
      </w:pPr>
      <w:bookmarkStart w:id="1" w:name="memo"/>
      <w:bookmarkEnd w:id="1"/>
    </w:p>
    <w:p w14:paraId="019BF876" w14:textId="77777777" w:rsidR="0097629D" w:rsidRDefault="00855B17" w:rsidP="00F75424">
      <w:pPr>
        <w:jc w:val="center"/>
      </w:pPr>
    </w:p>
    <w:p w14:paraId="57978AE7" w14:textId="77777777" w:rsidR="0097629D" w:rsidRDefault="00855B17" w:rsidP="00F75424">
      <w:pPr>
        <w:jc w:val="center"/>
      </w:pPr>
    </w:p>
    <w:p w14:paraId="6BB8970F" w14:textId="77777777" w:rsidR="0097629D" w:rsidRDefault="00855B17" w:rsidP="00F75424">
      <w:pPr>
        <w:jc w:val="center"/>
      </w:pPr>
    </w:p>
    <w:p w14:paraId="23880945" w14:textId="77777777" w:rsidR="0097629D" w:rsidRPr="00C26F2D" w:rsidRDefault="00855B17" w:rsidP="00F75424">
      <w:pPr>
        <w:jc w:val="center"/>
      </w:pPr>
    </w:p>
    <w:p w14:paraId="34D8686B" w14:textId="77777777" w:rsidR="004B4A60" w:rsidRPr="0057246E" w:rsidRDefault="00855B17" w:rsidP="004B4A60"/>
    <w:p w14:paraId="6D2AAE3B" w14:textId="77777777" w:rsidR="00C26F2D" w:rsidRDefault="00855B17" w:rsidP="00952E9F">
      <w:pPr>
        <w:sectPr w:rsidR="00C26F2D" w:rsidSect="000E1D5C">
          <w:headerReference w:type="even" r:id="rId8"/>
          <w:headerReference w:type="default" r:id="rId9"/>
          <w:footerReference w:type="even" r:id="rId10"/>
          <w:footerReference w:type="default" r:id="rId11"/>
          <w:headerReference w:type="first" r:id="rId12"/>
          <w:footerReference w:type="first" r:id="rId13"/>
          <w:pgSz w:w="11907" w:h="16840" w:code="9"/>
          <w:pgMar w:top="1134" w:right="1134" w:bottom="1134" w:left="1134" w:header="709" w:footer="709" w:gutter="0"/>
          <w:cols w:space="708"/>
          <w:docGrid w:linePitch="360"/>
        </w:sectPr>
      </w:pPr>
    </w:p>
    <w:p w14:paraId="196AF3B7" w14:textId="6BF6317C" w:rsidR="004B4A60" w:rsidRDefault="00855B17" w:rsidP="00952E9F"/>
    <w:p w14:paraId="5ED55656" w14:textId="5379F09A" w:rsidR="00430489" w:rsidRDefault="00430489" w:rsidP="00952E9F"/>
    <w:p w14:paraId="6CE35EBC" w14:textId="77777777" w:rsidR="00430489" w:rsidRPr="009066FA" w:rsidRDefault="00430489" w:rsidP="00430489">
      <w:pPr>
        <w:pStyle w:val="Ttulo1"/>
      </w:pPr>
      <w:r w:rsidRPr="009066FA">
        <w:t>Suggested guidelines for</w:t>
      </w:r>
      <w:r>
        <w:t xml:space="preserve"> the</w:t>
      </w:r>
      <w:r w:rsidRPr="009066FA">
        <w:t xml:space="preserve"> de-designation of Antarctic Specially Protected Areas (ASPA)</w:t>
      </w:r>
    </w:p>
    <w:p w14:paraId="69B632F4" w14:textId="77777777" w:rsidR="00430489" w:rsidRPr="009066FA" w:rsidRDefault="00430489" w:rsidP="00430489"/>
    <w:p w14:paraId="0DCDA0C5" w14:textId="19EE23D6" w:rsidR="00430489" w:rsidRPr="00E32EE8" w:rsidRDefault="00430489" w:rsidP="00430489">
      <w:pPr>
        <w:jc w:val="center"/>
      </w:pPr>
      <w:r w:rsidRPr="009066FA">
        <w:t>Working Paper submitted by Norway</w:t>
      </w:r>
      <w:r w:rsidRPr="00E32EE8">
        <w:t xml:space="preserve">, Australia, China, New Zealand, </w:t>
      </w:r>
      <w:r>
        <w:br/>
      </w:r>
      <w:r w:rsidRPr="00E32EE8">
        <w:t>the United Kingdom,</w:t>
      </w:r>
      <w:r>
        <w:t xml:space="preserve"> and</w:t>
      </w:r>
      <w:r w:rsidRPr="00E32EE8">
        <w:t xml:space="preserve"> </w:t>
      </w:r>
      <w:r>
        <w:t>the United States</w:t>
      </w:r>
    </w:p>
    <w:p w14:paraId="249D6F26" w14:textId="77777777" w:rsidR="00430489" w:rsidRPr="00E32EE8" w:rsidRDefault="00430489" w:rsidP="00430489"/>
    <w:p w14:paraId="46BDC684" w14:textId="77777777" w:rsidR="00430489" w:rsidRPr="00E32EE8" w:rsidRDefault="00430489" w:rsidP="00430489">
      <w:pPr>
        <w:pStyle w:val="Ttulo2"/>
      </w:pPr>
      <w:r w:rsidRPr="00E32EE8">
        <w:t>Summary</w:t>
      </w:r>
    </w:p>
    <w:p w14:paraId="79759B41" w14:textId="77777777" w:rsidR="00430489" w:rsidRPr="00B164CC" w:rsidRDefault="00430489" w:rsidP="00430489">
      <w:r w:rsidRPr="00E32EE8">
        <w:t xml:space="preserve">This Working Paper with its attachment puts forward a proposal for guidelines for the de-designation of Antarctic Specially Protected Areas (ASPAs). </w:t>
      </w:r>
      <w:bookmarkStart w:id="8" w:name="_Hlk43713999"/>
      <w:r w:rsidRPr="00E32EE8">
        <w:t xml:space="preserve">Norway, Australia, China, </w:t>
      </w:r>
      <w:r w:rsidRPr="00A6200E">
        <w:t xml:space="preserve">New Zealand, </w:t>
      </w:r>
      <w:r w:rsidRPr="0091493B">
        <w:t>the United Kingdom</w:t>
      </w:r>
      <w:r>
        <w:t xml:space="preserve"> and the United States</w:t>
      </w:r>
      <w:bookmarkEnd w:id="8"/>
      <w:r w:rsidRPr="00A6200E">
        <w:t xml:space="preserve"> pr</w:t>
      </w:r>
      <w:r w:rsidRPr="00B164CC">
        <w:t>opose that the CEP endorse</w:t>
      </w:r>
      <w:r>
        <w:t>s</w:t>
      </w:r>
      <w:r w:rsidRPr="00B164CC">
        <w:t xml:space="preserve"> the</w:t>
      </w:r>
      <w:r>
        <w:t>se</w:t>
      </w:r>
      <w:r w:rsidRPr="00B164CC">
        <w:t xml:space="preserve"> guidelines for ASPA de-designation</w:t>
      </w:r>
      <w:r>
        <w:t xml:space="preserve"> for use and guidance by Members and the Committee. It is also suggested that these guidelines be included as part of the package of guidance material to be considered in the upcoming </w:t>
      </w:r>
      <w:r w:rsidRPr="008B46C6">
        <w:t xml:space="preserve">programme of work to review and rationalise </w:t>
      </w:r>
      <w:r>
        <w:t>the</w:t>
      </w:r>
      <w:r w:rsidRPr="008B46C6">
        <w:t xml:space="preserve"> existing protected area guidance materials. </w:t>
      </w:r>
    </w:p>
    <w:p w14:paraId="2FD1FCA2" w14:textId="77777777" w:rsidR="00430489" w:rsidRPr="009066FA" w:rsidRDefault="00430489" w:rsidP="00430489"/>
    <w:p w14:paraId="25D59B9C" w14:textId="77777777" w:rsidR="00430489" w:rsidRPr="009066FA" w:rsidRDefault="00430489" w:rsidP="00430489">
      <w:pPr>
        <w:pStyle w:val="Ttulo2"/>
      </w:pPr>
      <w:r w:rsidRPr="009066FA">
        <w:t>1.</w:t>
      </w:r>
      <w:r>
        <w:t xml:space="preserve"> </w:t>
      </w:r>
      <w:r w:rsidRPr="009066FA">
        <w:t>Background</w:t>
      </w:r>
    </w:p>
    <w:p w14:paraId="0EBF7176" w14:textId="77777777" w:rsidR="00430489" w:rsidRDefault="00430489" w:rsidP="00430489">
      <w:r>
        <w:t xml:space="preserve">The Protocol does not include provisions that </w:t>
      </w:r>
      <w:r w:rsidRPr="00092A25">
        <w:t>expressly address</w:t>
      </w:r>
      <w:r>
        <w:t xml:space="preserve"> de-designation of ASPAs, but nor does it actively disallow such a process. </w:t>
      </w:r>
      <w:r w:rsidRPr="00BE60D6">
        <w:t xml:space="preserve">Annex V to the Protocol requires that each ASPA must have a </w:t>
      </w:r>
      <w:r>
        <w:t>m</w:t>
      </w:r>
      <w:r w:rsidRPr="00BE60D6">
        <w:t xml:space="preserve">anagement </w:t>
      </w:r>
      <w:r>
        <w:t>p</w:t>
      </w:r>
      <w:r w:rsidRPr="00BE60D6">
        <w:t xml:space="preserve">lan identifying a period of designation, if any (Article 5.3(d)). Management </w:t>
      </w:r>
      <w:r>
        <w:t>p</w:t>
      </w:r>
      <w:r w:rsidRPr="00BE60D6">
        <w:t xml:space="preserve">lans must undergo periodic review (Article 6.3), and can be amended or revoked (Article 6.4). While these provisions </w:t>
      </w:r>
      <w:r>
        <w:t>indicate</w:t>
      </w:r>
      <w:r w:rsidRPr="00BE60D6">
        <w:t xml:space="preserve"> the option for ASPAs to be time-limited or de-designated, Annex V does not outline a de-designation procedure. Still, as of today all ASPAs have been designated for an “indefinite” period</w:t>
      </w:r>
      <w:r>
        <w:t>.</w:t>
      </w:r>
    </w:p>
    <w:p w14:paraId="617081C6" w14:textId="77777777" w:rsidR="00430489" w:rsidRDefault="00430489" w:rsidP="00430489"/>
    <w:p w14:paraId="342F74D4" w14:textId="77777777" w:rsidR="00430489" w:rsidRDefault="00430489" w:rsidP="00430489">
      <w:r w:rsidRPr="009066FA">
        <w:t xml:space="preserve">In recent years, the </w:t>
      </w:r>
      <w:r>
        <w:t>Committee</w:t>
      </w:r>
      <w:r w:rsidRPr="009066FA">
        <w:t xml:space="preserve"> has been asked to consider proposals to de-designate ASPAs</w:t>
      </w:r>
      <w:r>
        <w:t xml:space="preserve"> including the </w:t>
      </w:r>
      <w:r w:rsidRPr="009066FA">
        <w:t xml:space="preserve">following: </w:t>
      </w:r>
    </w:p>
    <w:p w14:paraId="1BA1B213" w14:textId="77777777" w:rsidR="00430489" w:rsidRPr="009066FA" w:rsidRDefault="00430489" w:rsidP="00430489"/>
    <w:p w14:paraId="25393A34" w14:textId="77777777" w:rsidR="00430489" w:rsidRPr="005F7B8F" w:rsidRDefault="00430489" w:rsidP="00430489">
      <w:pPr>
        <w:pStyle w:val="Prrafodelista"/>
        <w:numPr>
          <w:ilvl w:val="0"/>
          <w:numId w:val="22"/>
        </w:numPr>
        <w:spacing w:after="160" w:line="259" w:lineRule="auto"/>
        <w:contextualSpacing/>
      </w:pPr>
      <w:r w:rsidRPr="005F7B8F">
        <w:t>ASPA 107: Emperor Island, Dion Island – refer to discussion reflected in para. 133-137 of the final report from CEP XIX</w:t>
      </w:r>
    </w:p>
    <w:p w14:paraId="1F7A9251" w14:textId="77777777" w:rsidR="00430489" w:rsidRPr="005F7B8F" w:rsidRDefault="00430489" w:rsidP="00430489">
      <w:pPr>
        <w:pStyle w:val="Prrafodelista"/>
        <w:numPr>
          <w:ilvl w:val="0"/>
          <w:numId w:val="22"/>
        </w:numPr>
        <w:spacing w:after="160" w:line="259" w:lineRule="auto"/>
        <w:contextualSpacing/>
      </w:pPr>
      <w:r w:rsidRPr="005F7B8F">
        <w:t>ASPA 118: Summit of Mount Melbourne, Victoria Land – amalgamated into ASPA 175 (Measure 13 (2014))</w:t>
      </w:r>
    </w:p>
    <w:p w14:paraId="3C4BF475" w14:textId="77777777" w:rsidR="00430489" w:rsidRPr="005F7B8F" w:rsidRDefault="00430489" w:rsidP="00430489">
      <w:pPr>
        <w:pStyle w:val="Prrafodelista"/>
        <w:numPr>
          <w:ilvl w:val="0"/>
          <w:numId w:val="22"/>
        </w:numPr>
        <w:spacing w:after="160" w:line="259" w:lineRule="auto"/>
        <w:contextualSpacing/>
      </w:pPr>
      <w:r w:rsidRPr="005F7B8F">
        <w:t xml:space="preserve">ASPA 130: Tramway Ridge, Mount Erebus, Ross Island – amalgamated into ASPA 175 (Measure 13 (2014)) </w:t>
      </w:r>
    </w:p>
    <w:p w14:paraId="48EE0DD6" w14:textId="77777777" w:rsidR="00430489" w:rsidRPr="005F7B8F" w:rsidRDefault="00430489" w:rsidP="00430489">
      <w:pPr>
        <w:pStyle w:val="Prrafodelista"/>
        <w:numPr>
          <w:ilvl w:val="0"/>
          <w:numId w:val="22"/>
        </w:numPr>
        <w:spacing w:after="160" w:line="259" w:lineRule="auto"/>
        <w:contextualSpacing/>
      </w:pPr>
      <w:r w:rsidRPr="005F7B8F">
        <w:t>ASPA 114: Northern Coronation Island, South Orkney Islands – the values were no longer there (Measure 16 (2014))</w:t>
      </w:r>
    </w:p>
    <w:p w14:paraId="6F95A2B5" w14:textId="77777777" w:rsidR="00430489" w:rsidRPr="005F7B8F" w:rsidRDefault="00430489" w:rsidP="00430489">
      <w:pPr>
        <w:pStyle w:val="Prrafodelista"/>
        <w:numPr>
          <w:ilvl w:val="0"/>
          <w:numId w:val="22"/>
        </w:numPr>
        <w:spacing w:after="160" w:line="259" w:lineRule="auto"/>
        <w:contextualSpacing/>
      </w:pPr>
      <w:r w:rsidRPr="005F7B8F">
        <w:t xml:space="preserve">ASPA 144: Chile Bay (Discovery Bay), Greenwich Island, South Shetland Islands – pending. </w:t>
      </w:r>
    </w:p>
    <w:p w14:paraId="5A8FDD08" w14:textId="77777777" w:rsidR="00430489" w:rsidRDefault="00430489" w:rsidP="00430489">
      <w:r w:rsidRPr="009066FA">
        <w:t xml:space="preserve">The Committee has agreed on the importance of the Antarctic protected area system being dynamic but has also recognised that de-designations should not be taken lightly, and that rigorous consideration is required. </w:t>
      </w:r>
    </w:p>
    <w:p w14:paraId="5C1F6FAB" w14:textId="77777777" w:rsidR="00430489" w:rsidRDefault="00430489" w:rsidP="00430489"/>
    <w:p w14:paraId="3D0BE550" w14:textId="6847A370" w:rsidR="00430489" w:rsidRDefault="00430489" w:rsidP="00430489">
      <w:r>
        <w:t>T</w:t>
      </w:r>
      <w:r w:rsidRPr="009066FA">
        <w:t xml:space="preserve">he Committee </w:t>
      </w:r>
      <w:r>
        <w:t xml:space="preserve">has </w:t>
      </w:r>
      <w:r w:rsidRPr="009066FA">
        <w:t xml:space="preserve">welcomed Norway’s stated intention to develop suggested guidance/criteria for </w:t>
      </w:r>
      <w:r>
        <w:t>de-designating</w:t>
      </w:r>
      <w:r w:rsidRPr="009066FA">
        <w:t xml:space="preserve"> ASPAs, </w:t>
      </w:r>
      <w:r>
        <w:t xml:space="preserve">first raised as a potential need at the meeting of the Committee in 2014, and </w:t>
      </w:r>
      <w:r w:rsidRPr="009066FA">
        <w:t xml:space="preserve">as </w:t>
      </w:r>
      <w:r>
        <w:t xml:space="preserve">subsequently </w:t>
      </w:r>
      <w:r w:rsidRPr="009066FA">
        <w:t xml:space="preserve">reflected in the </w:t>
      </w:r>
      <w:r>
        <w:t>Five-Year Work Plan</w:t>
      </w:r>
      <w:r w:rsidRPr="009066FA">
        <w:t xml:space="preserve"> adopted by CEP XX</w:t>
      </w:r>
      <w:r>
        <w:t xml:space="preserve"> (2017)</w:t>
      </w:r>
      <w:r w:rsidRPr="009066FA">
        <w:t xml:space="preserve">.  </w:t>
      </w:r>
    </w:p>
    <w:p w14:paraId="0C690103" w14:textId="77777777" w:rsidR="00430489" w:rsidRDefault="00430489" w:rsidP="00430489"/>
    <w:p w14:paraId="3358867D" w14:textId="77777777" w:rsidR="00430489" w:rsidRDefault="00430489" w:rsidP="00430489">
      <w:r w:rsidRPr="009066FA">
        <w:t>At CEP</w:t>
      </w:r>
      <w:r>
        <w:t xml:space="preserve"> </w:t>
      </w:r>
      <w:r w:rsidRPr="009066FA">
        <w:t>XXI, Norway advised that it was continuing to work on the guidance/criteria</w:t>
      </w:r>
      <w:r>
        <w:t xml:space="preserve">. </w:t>
      </w:r>
      <w:r w:rsidRPr="009066FA">
        <w:t xml:space="preserve"> </w:t>
      </w:r>
      <w:r>
        <w:t>A</w:t>
      </w:r>
      <w:r w:rsidRPr="009066FA">
        <w:t>t CEP XXII</w:t>
      </w:r>
      <w:r>
        <w:t>, in cooperation with</w:t>
      </w:r>
      <w:r w:rsidRPr="000F15F2">
        <w:t xml:space="preserve"> Australia, New Zealand</w:t>
      </w:r>
      <w:r>
        <w:t xml:space="preserve"> and</w:t>
      </w:r>
      <w:r w:rsidRPr="000F15F2">
        <w:t xml:space="preserve"> the United Kingdom</w:t>
      </w:r>
      <w:r>
        <w:t>, it brought</w:t>
      </w:r>
      <w:r w:rsidRPr="009066FA">
        <w:t xml:space="preserve"> forward a proposal for consideration.</w:t>
      </w:r>
      <w:r>
        <w:t xml:space="preserve"> </w:t>
      </w:r>
      <w:r w:rsidRPr="009066FA">
        <w:t xml:space="preserve"> </w:t>
      </w:r>
      <w:r w:rsidRPr="005B5EA2">
        <w:t>The Committee</w:t>
      </w:r>
      <w:r>
        <w:t xml:space="preserve"> welcomed the proposal and </w:t>
      </w:r>
      <w:r w:rsidRPr="0066365E">
        <w:t xml:space="preserve">emphasised the importance of discussing and formulating criteria for the de-designation of protected areas. </w:t>
      </w:r>
      <w:r w:rsidRPr="005B5EA2">
        <w:t xml:space="preserve"> </w:t>
      </w:r>
      <w:r>
        <w:t xml:space="preserve">The Committee </w:t>
      </w:r>
      <w:r w:rsidRPr="005B5EA2">
        <w:t xml:space="preserve">agreed that </w:t>
      </w:r>
      <w:r>
        <w:t xml:space="preserve">some </w:t>
      </w:r>
      <w:r w:rsidRPr="005B5EA2">
        <w:t xml:space="preserve">further </w:t>
      </w:r>
      <w:r>
        <w:t>work</w:t>
      </w:r>
      <w:r w:rsidRPr="005B5EA2">
        <w:t xml:space="preserve"> </w:t>
      </w:r>
      <w:r w:rsidRPr="005B5EA2">
        <w:lastRenderedPageBreak/>
        <w:t xml:space="preserve">on </w:t>
      </w:r>
      <w:r>
        <w:t xml:space="preserve">the guidance/criteria </w:t>
      </w:r>
      <w:r w:rsidRPr="005B5EA2">
        <w:t>was required and welcomed the offer from Norway to</w:t>
      </w:r>
      <w:r>
        <w:t xml:space="preserve"> continue to</w:t>
      </w:r>
      <w:r w:rsidRPr="005B5EA2">
        <w:t xml:space="preserve"> lead</w:t>
      </w:r>
      <w:r>
        <w:t xml:space="preserve"> the </w:t>
      </w:r>
      <w:r w:rsidRPr="005B5EA2">
        <w:t xml:space="preserve">intersessional work </w:t>
      </w:r>
      <w:r>
        <w:t xml:space="preserve">with the </w:t>
      </w:r>
      <w:r w:rsidRPr="00E32EE8">
        <w:t xml:space="preserve">aim to report back to the CEP XXIII. </w:t>
      </w:r>
    </w:p>
    <w:p w14:paraId="662C3E4D" w14:textId="77777777" w:rsidR="00430489" w:rsidRPr="00E32EE8" w:rsidRDefault="00430489" w:rsidP="00430489"/>
    <w:p w14:paraId="4A5F0875" w14:textId="77777777" w:rsidR="00430489" w:rsidRPr="00E32EE8" w:rsidRDefault="00430489" w:rsidP="00430489">
      <w:r w:rsidRPr="00E32EE8">
        <w:t>On the basis of further intersessional work, Norway, Australia, China, New Zealand, the United Kingdom</w:t>
      </w:r>
      <w:r>
        <w:t xml:space="preserve"> and the United States</w:t>
      </w:r>
      <w:r w:rsidRPr="00E32EE8">
        <w:t xml:space="preserve"> have refined the proposal and put forward guidelines for de-designation of ASPAs for the consideration of the Committee. </w:t>
      </w:r>
    </w:p>
    <w:p w14:paraId="3AD44D57" w14:textId="77777777" w:rsidR="00430489" w:rsidRPr="00E32EE8" w:rsidRDefault="00430489" w:rsidP="00430489"/>
    <w:p w14:paraId="7DA7DE77" w14:textId="77777777" w:rsidR="00430489" w:rsidRPr="00E32EE8" w:rsidRDefault="00430489" w:rsidP="00430489">
      <w:pPr>
        <w:pStyle w:val="Ttulo2"/>
      </w:pPr>
      <w:r w:rsidRPr="00E32EE8">
        <w:t>2.</w:t>
      </w:r>
      <w:r>
        <w:t xml:space="preserve"> </w:t>
      </w:r>
      <w:r w:rsidRPr="00E32EE8">
        <w:t>Intentions with the guidelines for de-designation of Antarctic Specially Protected Areas (ASPA)</w:t>
      </w:r>
    </w:p>
    <w:p w14:paraId="2C0E6F98" w14:textId="77777777" w:rsidR="00430489" w:rsidRPr="00E32EE8" w:rsidRDefault="00430489" w:rsidP="00430489"/>
    <w:p w14:paraId="40DBF781" w14:textId="77777777" w:rsidR="00430489" w:rsidRPr="00E32EE8" w:rsidRDefault="00430489" w:rsidP="00430489">
      <w:r w:rsidRPr="00E32EE8">
        <w:t xml:space="preserve">The guidelines are intended to be used by Parties and the CEP as the basis for the consideration of the de-designation of ASPAs. The decision to advise the ATCM to de-designate an ASPA is a decision to be made by the CEP.  Any such decision by the CEP needs to be </w:t>
      </w:r>
      <w:r>
        <w:t>made</w:t>
      </w:r>
      <w:r w:rsidRPr="00E32EE8">
        <w:t xml:space="preserve"> on the basis of solid assessment and consideration by one or more </w:t>
      </w:r>
      <w:r>
        <w:t>Parties</w:t>
      </w:r>
      <w:r w:rsidRPr="00E32EE8">
        <w:t xml:space="preserve">. These guidelines provide </w:t>
      </w:r>
      <w:r>
        <w:t>Parties</w:t>
      </w:r>
      <w:r w:rsidRPr="00E32EE8">
        <w:t xml:space="preserve"> with the basis for such an assessment process, and the CEP with guidance on the procedures for any de-designation consideration. With guidelines as suggested, the CEP can ensure a coherent and consistent process in considering any de-designation proposals. </w:t>
      </w:r>
    </w:p>
    <w:p w14:paraId="51B2EF2C" w14:textId="77777777" w:rsidR="00430489" w:rsidRPr="00E32EE8" w:rsidRDefault="00430489" w:rsidP="00430489"/>
    <w:p w14:paraId="588E469F" w14:textId="77777777" w:rsidR="00430489" w:rsidRPr="00E32EE8" w:rsidRDefault="00430489" w:rsidP="00430489">
      <w:pPr>
        <w:pStyle w:val="Ttulo2"/>
      </w:pPr>
      <w:r w:rsidRPr="00E32EE8">
        <w:t>3.</w:t>
      </w:r>
      <w:r>
        <w:t xml:space="preserve"> </w:t>
      </w:r>
      <w:r w:rsidRPr="00E32EE8">
        <w:t>Recommendation</w:t>
      </w:r>
    </w:p>
    <w:p w14:paraId="65382138" w14:textId="77777777" w:rsidR="00430489" w:rsidRPr="00E32EE8" w:rsidRDefault="00430489" w:rsidP="00430489"/>
    <w:p w14:paraId="355F4AEB" w14:textId="77777777" w:rsidR="00430489" w:rsidRPr="00E32EE8" w:rsidRDefault="00430489" w:rsidP="00430489">
      <w:r w:rsidRPr="00E32EE8">
        <w:t>Norway, Australia, China, New Zealand, the United Kingdom</w:t>
      </w:r>
      <w:r>
        <w:t xml:space="preserve"> and</w:t>
      </w:r>
      <w:r w:rsidRPr="00E32EE8">
        <w:t xml:space="preserve"> </w:t>
      </w:r>
      <w:r>
        <w:t>the United States</w:t>
      </w:r>
      <w:r w:rsidRPr="00E32EE8">
        <w:t xml:space="preserve"> propose that the CEP:</w:t>
      </w:r>
    </w:p>
    <w:p w14:paraId="23C9F097" w14:textId="77777777" w:rsidR="00430489" w:rsidRPr="00E32EE8" w:rsidRDefault="00430489" w:rsidP="00430489">
      <w:pPr>
        <w:pStyle w:val="Prrafodelista"/>
        <w:numPr>
          <w:ilvl w:val="0"/>
          <w:numId w:val="21"/>
        </w:numPr>
        <w:spacing w:after="160" w:line="259" w:lineRule="auto"/>
        <w:contextualSpacing/>
      </w:pPr>
      <w:r w:rsidRPr="00E32EE8">
        <w:t xml:space="preserve">endorse the guidelines for ASPA de-designation and make use of them when considering any future de-designation processes; and  </w:t>
      </w:r>
    </w:p>
    <w:p w14:paraId="151F94D2" w14:textId="77777777" w:rsidR="00430489" w:rsidRPr="00573BF5" w:rsidRDefault="00430489" w:rsidP="00430489">
      <w:pPr>
        <w:pStyle w:val="Prrafodelista"/>
        <w:numPr>
          <w:ilvl w:val="0"/>
          <w:numId w:val="21"/>
        </w:numPr>
        <w:spacing w:after="160" w:line="259" w:lineRule="auto"/>
        <w:contextualSpacing/>
      </w:pPr>
      <w:r w:rsidRPr="00E32EE8">
        <w:t>include these guidelines as part of the package of guidance material to be considered in the upcoming programme of work to review and rationalise</w:t>
      </w:r>
      <w:r w:rsidRPr="00573BF5">
        <w:t xml:space="preserve"> the existing protected area guidance materials. </w:t>
      </w:r>
    </w:p>
    <w:p w14:paraId="779CE619" w14:textId="77777777" w:rsidR="00430489" w:rsidRPr="009066FA" w:rsidRDefault="00430489" w:rsidP="00430489"/>
    <w:p w14:paraId="5934348F" w14:textId="77777777" w:rsidR="00430489" w:rsidRPr="009066FA" w:rsidRDefault="00430489" w:rsidP="00430489">
      <w:r w:rsidRPr="009066FA">
        <w:t>Attachment: Suggested guidelines for de-designation of ASPAs</w:t>
      </w:r>
    </w:p>
    <w:p w14:paraId="08101ADE" w14:textId="77777777" w:rsidR="00430489" w:rsidRDefault="00430489" w:rsidP="00952E9F"/>
    <w:sectPr w:rsidR="00430489" w:rsidSect="00C26F2D">
      <w:headerReference w:type="default" r:id="rId14"/>
      <w:footerReference w:type="default" r:id="rId15"/>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AFB2A5" w14:textId="77777777" w:rsidR="00F33E5A" w:rsidRDefault="00430489">
      <w:r>
        <w:separator/>
      </w:r>
    </w:p>
  </w:endnote>
  <w:endnote w:type="continuationSeparator" w:id="0">
    <w:p w14:paraId="6D52A189" w14:textId="77777777" w:rsidR="00F33E5A" w:rsidRDefault="004304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43820" w14:textId="77777777" w:rsidR="00FA0B9F" w:rsidRDefault="00430489" w:rsidP="00CF5C82">
    <w:pPr>
      <w:framePr w:wrap="around" w:vAnchor="text" w:hAnchor="margin" w:xAlign="right" w:y="1"/>
    </w:pPr>
    <w:r>
      <w:fldChar w:fldCharType="begin"/>
    </w:r>
    <w:r>
      <w:instrText xml:space="preserve">PAGE  </w:instrText>
    </w:r>
    <w:r>
      <w:fldChar w:fldCharType="end"/>
    </w:r>
  </w:p>
  <w:p w14:paraId="458A1358" w14:textId="77777777" w:rsidR="00FA0B9F" w:rsidRDefault="00855B17"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73263" w14:textId="77777777" w:rsidR="00FA0B9F" w:rsidRDefault="00430489"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4004A222" w14:textId="42C85192" w:rsidR="00FA0B9F" w:rsidRDefault="00430489" w:rsidP="00FA0B9F">
    <w:pPr>
      <w:ind w:right="360"/>
    </w:pPr>
    <w:r>
      <w:t xml:space="preserve">Attachments: atcm43_att046_e.docx: </w:t>
    </w:r>
    <w:r w:rsidRPr="009066FA">
      <w:t>Suggested guidelines for de-designation of ASPAs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E182B" w14:textId="77777777" w:rsidR="00855B17" w:rsidRDefault="00855B17">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34599" w14:textId="77777777" w:rsidR="00E311C9" w:rsidRDefault="00430489"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5A01CD08" w14:textId="77777777" w:rsidR="00E311C9" w:rsidRDefault="00855B17"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1464B6" w14:textId="77777777" w:rsidR="00F33E5A" w:rsidRDefault="00430489">
      <w:r>
        <w:separator/>
      </w:r>
    </w:p>
  </w:footnote>
  <w:footnote w:type="continuationSeparator" w:id="0">
    <w:p w14:paraId="5266DB84" w14:textId="77777777" w:rsidR="00F33E5A" w:rsidRDefault="004304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FDAE6" w14:textId="77777777" w:rsidR="00855B17" w:rsidRDefault="00855B1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FD5C78" w14:paraId="4AE17D2F" w14:textId="77777777" w:rsidTr="00490760">
      <w:trPr>
        <w:trHeight w:val="344"/>
        <w:jc w:val="center"/>
      </w:trPr>
      <w:tc>
        <w:tcPr>
          <w:tcW w:w="5495" w:type="dxa"/>
        </w:tcPr>
        <w:p w14:paraId="5ABC79EC" w14:textId="77777777" w:rsidR="00DB7C09" w:rsidRDefault="00855B17" w:rsidP="00F968D4"/>
      </w:tc>
      <w:tc>
        <w:tcPr>
          <w:tcW w:w="4253" w:type="dxa"/>
          <w:gridSpan w:val="2"/>
        </w:tcPr>
        <w:p w14:paraId="0B9E2CA7" w14:textId="77777777" w:rsidR="00DB7C09" w:rsidRPr="00BD47E4" w:rsidRDefault="00430489" w:rsidP="002A07BC">
          <w:pPr>
            <w:jc w:val="right"/>
            <w:rPr>
              <w:b/>
              <w:sz w:val="32"/>
              <w:szCs w:val="32"/>
            </w:rPr>
          </w:pPr>
          <w:bookmarkStart w:id="2" w:name="type"/>
          <w:r w:rsidRPr="00BD47E4">
            <w:rPr>
              <w:b/>
              <w:sz w:val="32"/>
              <w:szCs w:val="32"/>
            </w:rPr>
            <w:t>WP</w:t>
          </w:r>
          <w:bookmarkEnd w:id="2"/>
        </w:p>
      </w:tc>
      <w:tc>
        <w:tcPr>
          <w:tcW w:w="1524" w:type="dxa"/>
          <w:gridSpan w:val="2"/>
        </w:tcPr>
        <w:p w14:paraId="4E23B4F2" w14:textId="77777777" w:rsidR="00DB7C09" w:rsidRPr="00BD47E4" w:rsidRDefault="00430489" w:rsidP="00DB7C09">
          <w:pPr>
            <w:rPr>
              <w:b/>
              <w:sz w:val="32"/>
              <w:szCs w:val="32"/>
            </w:rPr>
          </w:pPr>
          <w:bookmarkStart w:id="3" w:name="number"/>
          <w:r w:rsidRPr="00BD47E4">
            <w:rPr>
              <w:b/>
              <w:sz w:val="32"/>
              <w:szCs w:val="32"/>
            </w:rPr>
            <w:t>5</w:t>
          </w:r>
          <w:bookmarkEnd w:id="3"/>
        </w:p>
      </w:tc>
    </w:tr>
    <w:tr w:rsidR="00FD5C78" w14:paraId="2ED77001" w14:textId="77777777" w:rsidTr="00490760">
      <w:trPr>
        <w:trHeight w:val="2165"/>
        <w:jc w:val="center"/>
      </w:trPr>
      <w:tc>
        <w:tcPr>
          <w:tcW w:w="5495" w:type="dxa"/>
        </w:tcPr>
        <w:p w14:paraId="478C42AD" w14:textId="77777777" w:rsidR="00490760" w:rsidRPr="00EE4D48" w:rsidRDefault="00430489" w:rsidP="002A07BC">
          <w:pPr>
            <w:rPr>
              <w:b/>
              <w:sz w:val="28"/>
              <w:szCs w:val="28"/>
            </w:rPr>
          </w:pPr>
          <w:r>
            <w:rPr>
              <w:b/>
              <w:noProof/>
              <w:sz w:val="28"/>
              <w:szCs w:val="28"/>
            </w:rPr>
            <w:drawing>
              <wp:inline distT="0" distB="0" distL="0" distR="0" wp14:anchorId="04FF36E5" wp14:editId="4DE992C8">
                <wp:extent cx="2992755" cy="16211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731427"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92755" cy="1621155"/>
                        </a:xfrm>
                        <a:prstGeom prst="rect">
                          <a:avLst/>
                        </a:prstGeom>
                        <a:noFill/>
                        <a:ln>
                          <a:noFill/>
                        </a:ln>
                      </pic:spPr>
                    </pic:pic>
                  </a:graphicData>
                </a:graphic>
              </wp:inline>
            </w:drawing>
          </w:r>
        </w:p>
      </w:tc>
      <w:tc>
        <w:tcPr>
          <w:tcW w:w="5777" w:type="dxa"/>
          <w:gridSpan w:val="4"/>
          <w:vAlign w:val="center"/>
        </w:tcPr>
        <w:p w14:paraId="6AE6AF14" w14:textId="77777777" w:rsidR="00490760" w:rsidRPr="00FE5146" w:rsidRDefault="00430489" w:rsidP="00490760">
          <w:pPr>
            <w:jc w:val="right"/>
            <w:rPr>
              <w:sz w:val="144"/>
              <w:szCs w:val="144"/>
            </w:rPr>
          </w:pPr>
          <w:r w:rsidRPr="00FE5146">
            <w:rPr>
              <w:sz w:val="144"/>
              <w:szCs w:val="144"/>
            </w:rPr>
            <w:t>ENG</w:t>
          </w:r>
        </w:p>
      </w:tc>
    </w:tr>
    <w:tr w:rsidR="00FD5C78" w14:paraId="7F8A7D21" w14:textId="77777777" w:rsidTr="00BD47E4">
      <w:trPr>
        <w:trHeight w:val="409"/>
        <w:jc w:val="center"/>
      </w:trPr>
      <w:tc>
        <w:tcPr>
          <w:tcW w:w="9039" w:type="dxa"/>
          <w:gridSpan w:val="2"/>
        </w:tcPr>
        <w:p w14:paraId="19F092D5" w14:textId="77777777" w:rsidR="00BD47E4" w:rsidRDefault="00430489" w:rsidP="002C30DA">
          <w:pPr>
            <w:jc w:val="right"/>
          </w:pPr>
          <w:r>
            <w:t>Agenda Item:</w:t>
          </w:r>
        </w:p>
      </w:tc>
      <w:tc>
        <w:tcPr>
          <w:tcW w:w="1843" w:type="dxa"/>
          <w:gridSpan w:val="2"/>
        </w:tcPr>
        <w:p w14:paraId="3D3DBF42" w14:textId="6EBB81BB" w:rsidR="00BD47E4" w:rsidRDefault="00430489" w:rsidP="002C30DA">
          <w:pPr>
            <w:jc w:val="right"/>
          </w:pPr>
          <w:bookmarkStart w:id="4" w:name="agenda"/>
          <w:r>
            <w:t>CEP 9</w:t>
          </w:r>
          <w:bookmarkEnd w:id="4"/>
          <w:r w:rsidR="00855B17">
            <w:t>e</w:t>
          </w:r>
        </w:p>
      </w:tc>
      <w:tc>
        <w:tcPr>
          <w:tcW w:w="390" w:type="dxa"/>
        </w:tcPr>
        <w:p w14:paraId="04DF2491" w14:textId="77777777" w:rsidR="00BD47E4" w:rsidRDefault="00855B17" w:rsidP="00387A65">
          <w:pPr>
            <w:jc w:val="right"/>
          </w:pPr>
        </w:p>
      </w:tc>
    </w:tr>
    <w:tr w:rsidR="00FD5C78" w14:paraId="2D572D94" w14:textId="77777777" w:rsidTr="00BD47E4">
      <w:trPr>
        <w:trHeight w:val="397"/>
        <w:jc w:val="center"/>
      </w:trPr>
      <w:tc>
        <w:tcPr>
          <w:tcW w:w="9039" w:type="dxa"/>
          <w:gridSpan w:val="2"/>
        </w:tcPr>
        <w:p w14:paraId="7EEF4C80" w14:textId="77777777" w:rsidR="00BD47E4" w:rsidRDefault="00430489" w:rsidP="002C30DA">
          <w:pPr>
            <w:jc w:val="right"/>
          </w:pPr>
          <w:r>
            <w:t>Presented by:</w:t>
          </w:r>
        </w:p>
      </w:tc>
      <w:tc>
        <w:tcPr>
          <w:tcW w:w="1843" w:type="dxa"/>
          <w:gridSpan w:val="2"/>
        </w:tcPr>
        <w:p w14:paraId="3D56D1E5" w14:textId="77777777" w:rsidR="00BD47E4" w:rsidRDefault="00430489" w:rsidP="002C30DA">
          <w:pPr>
            <w:jc w:val="right"/>
          </w:pPr>
          <w:bookmarkStart w:id="5" w:name="party"/>
          <w:r>
            <w:t>Norway, Australia, China, New Zealand, United Kingdom, United States</w:t>
          </w:r>
          <w:bookmarkEnd w:id="5"/>
        </w:p>
      </w:tc>
      <w:tc>
        <w:tcPr>
          <w:tcW w:w="390" w:type="dxa"/>
        </w:tcPr>
        <w:p w14:paraId="46BF20B9" w14:textId="77777777" w:rsidR="00BD47E4" w:rsidRDefault="00855B17" w:rsidP="00387A65">
          <w:pPr>
            <w:jc w:val="right"/>
          </w:pPr>
        </w:p>
      </w:tc>
    </w:tr>
    <w:tr w:rsidR="00FD5C78" w14:paraId="5DB1658E" w14:textId="77777777" w:rsidTr="00BD47E4">
      <w:trPr>
        <w:trHeight w:val="409"/>
        <w:jc w:val="center"/>
      </w:trPr>
      <w:tc>
        <w:tcPr>
          <w:tcW w:w="9039" w:type="dxa"/>
          <w:gridSpan w:val="2"/>
        </w:tcPr>
        <w:p w14:paraId="047C4E7A" w14:textId="77777777" w:rsidR="00BD47E4" w:rsidRDefault="00430489" w:rsidP="002C30DA">
          <w:pPr>
            <w:jc w:val="right"/>
          </w:pPr>
          <w:r>
            <w:t>Original:</w:t>
          </w:r>
        </w:p>
      </w:tc>
      <w:tc>
        <w:tcPr>
          <w:tcW w:w="1843" w:type="dxa"/>
          <w:gridSpan w:val="2"/>
        </w:tcPr>
        <w:p w14:paraId="2FDB4B47" w14:textId="77777777" w:rsidR="00BD47E4" w:rsidRDefault="00430489" w:rsidP="002C30DA">
          <w:pPr>
            <w:jc w:val="right"/>
          </w:pPr>
          <w:bookmarkStart w:id="6" w:name="language"/>
          <w:r>
            <w:t>English</w:t>
          </w:r>
          <w:bookmarkEnd w:id="6"/>
        </w:p>
      </w:tc>
      <w:tc>
        <w:tcPr>
          <w:tcW w:w="390" w:type="dxa"/>
        </w:tcPr>
        <w:p w14:paraId="0AE3BC09" w14:textId="77777777" w:rsidR="00BD47E4" w:rsidRDefault="00855B17" w:rsidP="00387A65">
          <w:pPr>
            <w:jc w:val="right"/>
          </w:pPr>
        </w:p>
      </w:tc>
    </w:tr>
    <w:tr w:rsidR="00FD5C78" w14:paraId="45A277CE" w14:textId="77777777" w:rsidTr="00BD47E4">
      <w:trPr>
        <w:trHeight w:val="409"/>
        <w:jc w:val="center"/>
      </w:trPr>
      <w:tc>
        <w:tcPr>
          <w:tcW w:w="9039" w:type="dxa"/>
          <w:gridSpan w:val="2"/>
        </w:tcPr>
        <w:p w14:paraId="7991F2F1" w14:textId="77777777" w:rsidR="0097629D" w:rsidRDefault="00430489" w:rsidP="002C30DA">
          <w:pPr>
            <w:jc w:val="right"/>
          </w:pPr>
          <w:r>
            <w:t>Submitted:</w:t>
          </w:r>
        </w:p>
      </w:tc>
      <w:tc>
        <w:tcPr>
          <w:tcW w:w="1843" w:type="dxa"/>
          <w:gridSpan w:val="2"/>
        </w:tcPr>
        <w:p w14:paraId="6F21F924" w14:textId="77777777" w:rsidR="0097629D" w:rsidRDefault="00430489" w:rsidP="0097629D">
          <w:pPr>
            <w:jc w:val="right"/>
          </w:pPr>
          <w:bookmarkStart w:id="7" w:name="date_submission"/>
          <w:r>
            <w:t>7/4/2021</w:t>
          </w:r>
          <w:bookmarkEnd w:id="7"/>
        </w:p>
      </w:tc>
      <w:tc>
        <w:tcPr>
          <w:tcW w:w="390" w:type="dxa"/>
        </w:tcPr>
        <w:p w14:paraId="055FC202" w14:textId="77777777" w:rsidR="0097629D" w:rsidRDefault="00855B17" w:rsidP="00387A65">
          <w:pPr>
            <w:jc w:val="right"/>
          </w:pPr>
        </w:p>
      </w:tc>
    </w:tr>
  </w:tbl>
  <w:p w14:paraId="04DAF2B4" w14:textId="77777777" w:rsidR="00AE5DD0" w:rsidRDefault="00855B1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107B0" w14:textId="77777777" w:rsidR="00855B17" w:rsidRDefault="00855B17">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FD5C78" w14:paraId="3DDC9B45" w14:textId="77777777">
      <w:trPr>
        <w:trHeight w:val="354"/>
        <w:jc w:val="center"/>
      </w:trPr>
      <w:tc>
        <w:tcPr>
          <w:tcW w:w="9694" w:type="dxa"/>
        </w:tcPr>
        <w:p w14:paraId="740FFA99" w14:textId="014BE0C3" w:rsidR="00AE5DD0" w:rsidRPr="00BD47E4" w:rsidRDefault="00430489" w:rsidP="00C26F2D">
          <w:pPr>
            <w:jc w:val="right"/>
            <w:rPr>
              <w:b/>
              <w:sz w:val="32"/>
              <w:szCs w:val="32"/>
            </w:rPr>
          </w:pPr>
          <w:r>
            <w:rPr>
              <w:b/>
              <w:sz w:val="32"/>
              <w:szCs w:val="32"/>
            </w:rPr>
            <w:t>WP</w:t>
          </w:r>
        </w:p>
      </w:tc>
      <w:tc>
        <w:tcPr>
          <w:tcW w:w="1332" w:type="dxa"/>
        </w:tcPr>
        <w:p w14:paraId="240DBB71" w14:textId="5CB02131" w:rsidR="00AE5DD0" w:rsidRPr="00BD47E4" w:rsidRDefault="00430489" w:rsidP="00080F4C">
          <w:pPr>
            <w:rPr>
              <w:b/>
              <w:sz w:val="32"/>
              <w:szCs w:val="32"/>
            </w:rPr>
          </w:pPr>
          <w:r>
            <w:rPr>
              <w:b/>
              <w:sz w:val="32"/>
              <w:szCs w:val="32"/>
            </w:rPr>
            <w:t>5</w:t>
          </w:r>
        </w:p>
      </w:tc>
    </w:tr>
  </w:tbl>
  <w:p w14:paraId="533D68E7" w14:textId="77777777" w:rsidR="00AE5DD0" w:rsidRDefault="00855B1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17AE358A"/>
    <w:multiLevelType w:val="hybridMultilevel"/>
    <w:tmpl w:val="8238FC30"/>
    <w:lvl w:ilvl="0" w:tplc="D38AE408">
      <w:start w:val="3"/>
      <w:numFmt w:val="bullet"/>
      <w:lvlText w:val=""/>
      <w:lvlJc w:val="left"/>
      <w:pPr>
        <w:ind w:left="720" w:hanging="360"/>
      </w:pPr>
      <w:rPr>
        <w:rFonts w:ascii="Symbol" w:eastAsiaTheme="minorHAnsi"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86577EA"/>
    <w:multiLevelType w:val="hybridMultilevel"/>
    <w:tmpl w:val="21A63D98"/>
    <w:lvl w:ilvl="0" w:tplc="B74C9040">
      <w:start w:val="1"/>
      <w:numFmt w:val="bullet"/>
      <w:pStyle w:val="ATSBullet1"/>
      <w:lvlText w:val=""/>
      <w:lvlJc w:val="left"/>
      <w:pPr>
        <w:tabs>
          <w:tab w:val="num" w:pos="360"/>
        </w:tabs>
        <w:ind w:left="360" w:hanging="360"/>
      </w:pPr>
      <w:rPr>
        <w:rFonts w:ascii="Symbol" w:hAnsi="Symbol" w:hint="default"/>
        <w:color w:val="auto"/>
      </w:rPr>
    </w:lvl>
    <w:lvl w:ilvl="1" w:tplc="674E8DAE" w:tentative="1">
      <w:start w:val="1"/>
      <w:numFmt w:val="bullet"/>
      <w:lvlText w:val="o"/>
      <w:lvlJc w:val="left"/>
      <w:pPr>
        <w:tabs>
          <w:tab w:val="num" w:pos="1440"/>
        </w:tabs>
        <w:ind w:left="1440" w:hanging="360"/>
      </w:pPr>
      <w:rPr>
        <w:rFonts w:ascii="Courier New" w:hAnsi="Courier New" w:cs="Courier New" w:hint="default"/>
      </w:rPr>
    </w:lvl>
    <w:lvl w:ilvl="2" w:tplc="B12EC0B0" w:tentative="1">
      <w:start w:val="1"/>
      <w:numFmt w:val="bullet"/>
      <w:lvlText w:val=""/>
      <w:lvlJc w:val="left"/>
      <w:pPr>
        <w:tabs>
          <w:tab w:val="num" w:pos="2160"/>
        </w:tabs>
        <w:ind w:left="2160" w:hanging="360"/>
      </w:pPr>
      <w:rPr>
        <w:rFonts w:ascii="Wingdings" w:hAnsi="Wingdings" w:hint="default"/>
      </w:rPr>
    </w:lvl>
    <w:lvl w:ilvl="3" w:tplc="DBB8B2B0" w:tentative="1">
      <w:start w:val="1"/>
      <w:numFmt w:val="bullet"/>
      <w:lvlText w:val=""/>
      <w:lvlJc w:val="left"/>
      <w:pPr>
        <w:tabs>
          <w:tab w:val="num" w:pos="2880"/>
        </w:tabs>
        <w:ind w:left="2880" w:hanging="360"/>
      </w:pPr>
      <w:rPr>
        <w:rFonts w:ascii="Symbol" w:hAnsi="Symbol" w:hint="default"/>
      </w:rPr>
    </w:lvl>
    <w:lvl w:ilvl="4" w:tplc="9B60514C" w:tentative="1">
      <w:start w:val="1"/>
      <w:numFmt w:val="bullet"/>
      <w:lvlText w:val="o"/>
      <w:lvlJc w:val="left"/>
      <w:pPr>
        <w:tabs>
          <w:tab w:val="num" w:pos="3600"/>
        </w:tabs>
        <w:ind w:left="3600" w:hanging="360"/>
      </w:pPr>
      <w:rPr>
        <w:rFonts w:ascii="Courier New" w:hAnsi="Courier New" w:cs="Courier New" w:hint="default"/>
      </w:rPr>
    </w:lvl>
    <w:lvl w:ilvl="5" w:tplc="240C24A8" w:tentative="1">
      <w:start w:val="1"/>
      <w:numFmt w:val="bullet"/>
      <w:lvlText w:val=""/>
      <w:lvlJc w:val="left"/>
      <w:pPr>
        <w:tabs>
          <w:tab w:val="num" w:pos="4320"/>
        </w:tabs>
        <w:ind w:left="4320" w:hanging="360"/>
      </w:pPr>
      <w:rPr>
        <w:rFonts w:ascii="Wingdings" w:hAnsi="Wingdings" w:hint="default"/>
      </w:rPr>
    </w:lvl>
    <w:lvl w:ilvl="6" w:tplc="AB60259C" w:tentative="1">
      <w:start w:val="1"/>
      <w:numFmt w:val="bullet"/>
      <w:lvlText w:val=""/>
      <w:lvlJc w:val="left"/>
      <w:pPr>
        <w:tabs>
          <w:tab w:val="num" w:pos="5040"/>
        </w:tabs>
        <w:ind w:left="5040" w:hanging="360"/>
      </w:pPr>
      <w:rPr>
        <w:rFonts w:ascii="Symbol" w:hAnsi="Symbol" w:hint="default"/>
      </w:rPr>
    </w:lvl>
    <w:lvl w:ilvl="7" w:tplc="3ADC6244" w:tentative="1">
      <w:start w:val="1"/>
      <w:numFmt w:val="bullet"/>
      <w:lvlText w:val="o"/>
      <w:lvlJc w:val="left"/>
      <w:pPr>
        <w:tabs>
          <w:tab w:val="num" w:pos="5760"/>
        </w:tabs>
        <w:ind w:left="5760" w:hanging="360"/>
      </w:pPr>
      <w:rPr>
        <w:rFonts w:ascii="Courier New" w:hAnsi="Courier New" w:cs="Courier New" w:hint="default"/>
      </w:rPr>
    </w:lvl>
    <w:lvl w:ilvl="8" w:tplc="2BB4E08A"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21D3212"/>
    <w:multiLevelType w:val="hybridMultilevel"/>
    <w:tmpl w:val="CA4652E2"/>
    <w:lvl w:ilvl="0" w:tplc="F828C010">
      <w:numFmt w:val="bullet"/>
      <w:lvlText w:val="•"/>
      <w:lvlJc w:val="left"/>
      <w:pPr>
        <w:ind w:left="1065" w:hanging="705"/>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49D35C15"/>
    <w:multiLevelType w:val="hybridMultilevel"/>
    <w:tmpl w:val="A8A2E45C"/>
    <w:lvl w:ilvl="0" w:tplc="1E46C648">
      <w:start w:val="1"/>
      <w:numFmt w:val="decimal"/>
      <w:lvlText w:val="%1)"/>
      <w:lvlJc w:val="left"/>
      <w:pPr>
        <w:tabs>
          <w:tab w:val="num" w:pos="340"/>
        </w:tabs>
        <w:ind w:left="340" w:hanging="340"/>
      </w:pPr>
      <w:rPr>
        <w:rFonts w:hint="default"/>
      </w:rPr>
    </w:lvl>
    <w:lvl w:ilvl="1" w:tplc="4C861FA2" w:tentative="1">
      <w:start w:val="1"/>
      <w:numFmt w:val="lowerLetter"/>
      <w:lvlText w:val="%2."/>
      <w:lvlJc w:val="left"/>
      <w:pPr>
        <w:tabs>
          <w:tab w:val="num" w:pos="1440"/>
        </w:tabs>
        <w:ind w:left="1440" w:hanging="360"/>
      </w:pPr>
    </w:lvl>
    <w:lvl w:ilvl="2" w:tplc="011E3E6A" w:tentative="1">
      <w:start w:val="1"/>
      <w:numFmt w:val="lowerRoman"/>
      <w:lvlText w:val="%3."/>
      <w:lvlJc w:val="right"/>
      <w:pPr>
        <w:tabs>
          <w:tab w:val="num" w:pos="2160"/>
        </w:tabs>
        <w:ind w:left="2160" w:hanging="180"/>
      </w:pPr>
    </w:lvl>
    <w:lvl w:ilvl="3" w:tplc="FB906B98" w:tentative="1">
      <w:start w:val="1"/>
      <w:numFmt w:val="decimal"/>
      <w:lvlText w:val="%4."/>
      <w:lvlJc w:val="left"/>
      <w:pPr>
        <w:tabs>
          <w:tab w:val="num" w:pos="2880"/>
        </w:tabs>
        <w:ind w:left="2880" w:hanging="360"/>
      </w:pPr>
    </w:lvl>
    <w:lvl w:ilvl="4" w:tplc="2E8E65E2" w:tentative="1">
      <w:start w:val="1"/>
      <w:numFmt w:val="lowerLetter"/>
      <w:lvlText w:val="%5."/>
      <w:lvlJc w:val="left"/>
      <w:pPr>
        <w:tabs>
          <w:tab w:val="num" w:pos="3600"/>
        </w:tabs>
        <w:ind w:left="3600" w:hanging="360"/>
      </w:pPr>
    </w:lvl>
    <w:lvl w:ilvl="5" w:tplc="F79831DC" w:tentative="1">
      <w:start w:val="1"/>
      <w:numFmt w:val="lowerRoman"/>
      <w:lvlText w:val="%6."/>
      <w:lvlJc w:val="right"/>
      <w:pPr>
        <w:tabs>
          <w:tab w:val="num" w:pos="4320"/>
        </w:tabs>
        <w:ind w:left="4320" w:hanging="180"/>
      </w:pPr>
    </w:lvl>
    <w:lvl w:ilvl="6" w:tplc="4496B322" w:tentative="1">
      <w:start w:val="1"/>
      <w:numFmt w:val="decimal"/>
      <w:lvlText w:val="%7."/>
      <w:lvlJc w:val="left"/>
      <w:pPr>
        <w:tabs>
          <w:tab w:val="num" w:pos="5040"/>
        </w:tabs>
        <w:ind w:left="5040" w:hanging="360"/>
      </w:pPr>
    </w:lvl>
    <w:lvl w:ilvl="7" w:tplc="BEDEC884" w:tentative="1">
      <w:start w:val="1"/>
      <w:numFmt w:val="lowerLetter"/>
      <w:lvlText w:val="%8."/>
      <w:lvlJc w:val="left"/>
      <w:pPr>
        <w:tabs>
          <w:tab w:val="num" w:pos="5760"/>
        </w:tabs>
        <w:ind w:left="5760" w:hanging="360"/>
      </w:pPr>
    </w:lvl>
    <w:lvl w:ilvl="8" w:tplc="10F83714" w:tentative="1">
      <w:start w:val="1"/>
      <w:numFmt w:val="lowerRoman"/>
      <w:lvlText w:val="%9."/>
      <w:lvlJc w:val="right"/>
      <w:pPr>
        <w:tabs>
          <w:tab w:val="num" w:pos="6480"/>
        </w:tabs>
        <w:ind w:left="6480" w:hanging="180"/>
      </w:pPr>
    </w:lvl>
  </w:abstractNum>
  <w:abstractNum w:abstractNumId="15" w15:restartNumberingAfterBreak="0">
    <w:nsid w:val="642F3AFA"/>
    <w:multiLevelType w:val="hybridMultilevel"/>
    <w:tmpl w:val="9DF09BE6"/>
    <w:lvl w:ilvl="0" w:tplc="02189718">
      <w:start w:val="1"/>
      <w:numFmt w:val="decimal"/>
      <w:lvlText w:val="%1."/>
      <w:lvlJc w:val="left"/>
      <w:pPr>
        <w:tabs>
          <w:tab w:val="num" w:pos="1057"/>
        </w:tabs>
        <w:ind w:left="1057" w:hanging="360"/>
      </w:pPr>
      <w:rPr>
        <w:rFonts w:hint="default"/>
      </w:rPr>
    </w:lvl>
    <w:lvl w:ilvl="1" w:tplc="F182C32C" w:tentative="1">
      <w:start w:val="1"/>
      <w:numFmt w:val="lowerLetter"/>
      <w:lvlText w:val="%2."/>
      <w:lvlJc w:val="left"/>
      <w:pPr>
        <w:tabs>
          <w:tab w:val="num" w:pos="2137"/>
        </w:tabs>
        <w:ind w:left="2137" w:hanging="360"/>
      </w:pPr>
    </w:lvl>
    <w:lvl w:ilvl="2" w:tplc="0016A7CE" w:tentative="1">
      <w:start w:val="1"/>
      <w:numFmt w:val="lowerRoman"/>
      <w:lvlText w:val="%3."/>
      <w:lvlJc w:val="right"/>
      <w:pPr>
        <w:tabs>
          <w:tab w:val="num" w:pos="2857"/>
        </w:tabs>
        <w:ind w:left="2857" w:hanging="180"/>
      </w:pPr>
    </w:lvl>
    <w:lvl w:ilvl="3" w:tplc="3C4C7D90" w:tentative="1">
      <w:start w:val="1"/>
      <w:numFmt w:val="decimal"/>
      <w:lvlText w:val="%4."/>
      <w:lvlJc w:val="left"/>
      <w:pPr>
        <w:tabs>
          <w:tab w:val="num" w:pos="3577"/>
        </w:tabs>
        <w:ind w:left="3577" w:hanging="360"/>
      </w:pPr>
    </w:lvl>
    <w:lvl w:ilvl="4" w:tplc="6BE22D08" w:tentative="1">
      <w:start w:val="1"/>
      <w:numFmt w:val="lowerLetter"/>
      <w:lvlText w:val="%5."/>
      <w:lvlJc w:val="left"/>
      <w:pPr>
        <w:tabs>
          <w:tab w:val="num" w:pos="4297"/>
        </w:tabs>
        <w:ind w:left="4297" w:hanging="360"/>
      </w:pPr>
    </w:lvl>
    <w:lvl w:ilvl="5" w:tplc="00C0FC8A" w:tentative="1">
      <w:start w:val="1"/>
      <w:numFmt w:val="lowerRoman"/>
      <w:lvlText w:val="%6."/>
      <w:lvlJc w:val="right"/>
      <w:pPr>
        <w:tabs>
          <w:tab w:val="num" w:pos="5017"/>
        </w:tabs>
        <w:ind w:left="5017" w:hanging="180"/>
      </w:pPr>
    </w:lvl>
    <w:lvl w:ilvl="6" w:tplc="0060DAC6" w:tentative="1">
      <w:start w:val="1"/>
      <w:numFmt w:val="decimal"/>
      <w:lvlText w:val="%7."/>
      <w:lvlJc w:val="left"/>
      <w:pPr>
        <w:tabs>
          <w:tab w:val="num" w:pos="5737"/>
        </w:tabs>
        <w:ind w:left="5737" w:hanging="360"/>
      </w:pPr>
    </w:lvl>
    <w:lvl w:ilvl="7" w:tplc="668C5F7E" w:tentative="1">
      <w:start w:val="1"/>
      <w:numFmt w:val="lowerLetter"/>
      <w:lvlText w:val="%8."/>
      <w:lvlJc w:val="left"/>
      <w:pPr>
        <w:tabs>
          <w:tab w:val="num" w:pos="6457"/>
        </w:tabs>
        <w:ind w:left="6457" w:hanging="360"/>
      </w:pPr>
    </w:lvl>
    <w:lvl w:ilvl="8" w:tplc="C8E0D1F0" w:tentative="1">
      <w:start w:val="1"/>
      <w:numFmt w:val="lowerRoman"/>
      <w:lvlText w:val="%9."/>
      <w:lvlJc w:val="right"/>
      <w:pPr>
        <w:tabs>
          <w:tab w:val="num" w:pos="7177"/>
        </w:tabs>
        <w:ind w:left="7177" w:hanging="180"/>
      </w:pPr>
    </w:lvl>
  </w:abstractNum>
  <w:abstractNum w:abstractNumId="16" w15:restartNumberingAfterBreak="0">
    <w:nsid w:val="7212657C"/>
    <w:multiLevelType w:val="hybridMultilevel"/>
    <w:tmpl w:val="0A8E2A84"/>
    <w:lvl w:ilvl="0" w:tplc="2F289C1C">
      <w:start w:val="1"/>
      <w:numFmt w:val="decimal"/>
      <w:pStyle w:val="ATSNumber1"/>
      <w:lvlText w:val="%1)"/>
      <w:lvlJc w:val="left"/>
      <w:pPr>
        <w:tabs>
          <w:tab w:val="num" w:pos="720"/>
        </w:tabs>
        <w:ind w:left="720" w:hanging="360"/>
      </w:pPr>
    </w:lvl>
    <w:lvl w:ilvl="1" w:tplc="4A24DA48" w:tentative="1">
      <w:start w:val="1"/>
      <w:numFmt w:val="lowerLetter"/>
      <w:lvlText w:val="%2."/>
      <w:lvlJc w:val="left"/>
      <w:pPr>
        <w:tabs>
          <w:tab w:val="num" w:pos="1440"/>
        </w:tabs>
        <w:ind w:left="1440" w:hanging="360"/>
      </w:pPr>
    </w:lvl>
    <w:lvl w:ilvl="2" w:tplc="9E1894C6" w:tentative="1">
      <w:start w:val="1"/>
      <w:numFmt w:val="lowerRoman"/>
      <w:lvlText w:val="%3."/>
      <w:lvlJc w:val="right"/>
      <w:pPr>
        <w:tabs>
          <w:tab w:val="num" w:pos="2160"/>
        </w:tabs>
        <w:ind w:left="2160" w:hanging="180"/>
      </w:pPr>
    </w:lvl>
    <w:lvl w:ilvl="3" w:tplc="EC4A9782" w:tentative="1">
      <w:start w:val="1"/>
      <w:numFmt w:val="decimal"/>
      <w:lvlText w:val="%4."/>
      <w:lvlJc w:val="left"/>
      <w:pPr>
        <w:tabs>
          <w:tab w:val="num" w:pos="2880"/>
        </w:tabs>
        <w:ind w:left="2880" w:hanging="360"/>
      </w:pPr>
    </w:lvl>
    <w:lvl w:ilvl="4" w:tplc="BEA2EE44" w:tentative="1">
      <w:start w:val="1"/>
      <w:numFmt w:val="lowerLetter"/>
      <w:lvlText w:val="%5."/>
      <w:lvlJc w:val="left"/>
      <w:pPr>
        <w:tabs>
          <w:tab w:val="num" w:pos="3600"/>
        </w:tabs>
        <w:ind w:left="3600" w:hanging="360"/>
      </w:pPr>
    </w:lvl>
    <w:lvl w:ilvl="5" w:tplc="3DD8E678" w:tentative="1">
      <w:start w:val="1"/>
      <w:numFmt w:val="lowerRoman"/>
      <w:lvlText w:val="%6."/>
      <w:lvlJc w:val="right"/>
      <w:pPr>
        <w:tabs>
          <w:tab w:val="num" w:pos="4320"/>
        </w:tabs>
        <w:ind w:left="4320" w:hanging="180"/>
      </w:pPr>
    </w:lvl>
    <w:lvl w:ilvl="6" w:tplc="3AD8BA4A" w:tentative="1">
      <w:start w:val="1"/>
      <w:numFmt w:val="decimal"/>
      <w:lvlText w:val="%7."/>
      <w:lvlJc w:val="left"/>
      <w:pPr>
        <w:tabs>
          <w:tab w:val="num" w:pos="5040"/>
        </w:tabs>
        <w:ind w:left="5040" w:hanging="360"/>
      </w:pPr>
    </w:lvl>
    <w:lvl w:ilvl="7" w:tplc="2660BAF2" w:tentative="1">
      <w:start w:val="1"/>
      <w:numFmt w:val="lowerLetter"/>
      <w:lvlText w:val="%8."/>
      <w:lvlJc w:val="left"/>
      <w:pPr>
        <w:tabs>
          <w:tab w:val="num" w:pos="5760"/>
        </w:tabs>
        <w:ind w:left="5760" w:hanging="360"/>
      </w:pPr>
    </w:lvl>
    <w:lvl w:ilvl="8" w:tplc="8EB65930" w:tentative="1">
      <w:start w:val="1"/>
      <w:numFmt w:val="lowerRoman"/>
      <w:lvlText w:val="%9."/>
      <w:lvlJc w:val="right"/>
      <w:pPr>
        <w:tabs>
          <w:tab w:val="num" w:pos="6480"/>
        </w:tabs>
        <w:ind w:left="6480" w:hanging="180"/>
      </w:pPr>
    </w:lvl>
  </w:abstractNum>
  <w:abstractNum w:abstractNumId="17" w15:restartNumberingAfterBreak="0">
    <w:nsid w:val="743D2161"/>
    <w:multiLevelType w:val="hybridMultilevel"/>
    <w:tmpl w:val="B0868D9E"/>
    <w:lvl w:ilvl="0" w:tplc="0F360396">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CF84A554" w:tentative="1">
      <w:start w:val="1"/>
      <w:numFmt w:val="bullet"/>
      <w:lvlText w:val="o"/>
      <w:lvlJc w:val="left"/>
      <w:pPr>
        <w:tabs>
          <w:tab w:val="num" w:pos="2517"/>
        </w:tabs>
        <w:ind w:left="2517" w:hanging="360"/>
      </w:pPr>
      <w:rPr>
        <w:rFonts w:ascii="Courier New" w:hAnsi="Courier New" w:cs="Courier New" w:hint="default"/>
      </w:rPr>
    </w:lvl>
    <w:lvl w:ilvl="2" w:tplc="FDE4DB30" w:tentative="1">
      <w:start w:val="1"/>
      <w:numFmt w:val="bullet"/>
      <w:lvlText w:val=""/>
      <w:lvlJc w:val="left"/>
      <w:pPr>
        <w:tabs>
          <w:tab w:val="num" w:pos="3237"/>
        </w:tabs>
        <w:ind w:left="3237" w:hanging="360"/>
      </w:pPr>
      <w:rPr>
        <w:rFonts w:ascii="Wingdings" w:hAnsi="Wingdings" w:hint="default"/>
      </w:rPr>
    </w:lvl>
    <w:lvl w:ilvl="3" w:tplc="3FEE12AC" w:tentative="1">
      <w:start w:val="1"/>
      <w:numFmt w:val="bullet"/>
      <w:lvlText w:val=""/>
      <w:lvlJc w:val="left"/>
      <w:pPr>
        <w:tabs>
          <w:tab w:val="num" w:pos="3957"/>
        </w:tabs>
        <w:ind w:left="3957" w:hanging="360"/>
      </w:pPr>
      <w:rPr>
        <w:rFonts w:ascii="Symbol" w:hAnsi="Symbol" w:hint="default"/>
      </w:rPr>
    </w:lvl>
    <w:lvl w:ilvl="4" w:tplc="C686985C" w:tentative="1">
      <w:start w:val="1"/>
      <w:numFmt w:val="bullet"/>
      <w:lvlText w:val="o"/>
      <w:lvlJc w:val="left"/>
      <w:pPr>
        <w:tabs>
          <w:tab w:val="num" w:pos="4677"/>
        </w:tabs>
        <w:ind w:left="4677" w:hanging="360"/>
      </w:pPr>
      <w:rPr>
        <w:rFonts w:ascii="Courier New" w:hAnsi="Courier New" w:cs="Courier New" w:hint="default"/>
      </w:rPr>
    </w:lvl>
    <w:lvl w:ilvl="5" w:tplc="87764EEE" w:tentative="1">
      <w:start w:val="1"/>
      <w:numFmt w:val="bullet"/>
      <w:lvlText w:val=""/>
      <w:lvlJc w:val="left"/>
      <w:pPr>
        <w:tabs>
          <w:tab w:val="num" w:pos="5397"/>
        </w:tabs>
        <w:ind w:left="5397" w:hanging="360"/>
      </w:pPr>
      <w:rPr>
        <w:rFonts w:ascii="Wingdings" w:hAnsi="Wingdings" w:hint="default"/>
      </w:rPr>
    </w:lvl>
    <w:lvl w:ilvl="6" w:tplc="80C81F8A" w:tentative="1">
      <w:start w:val="1"/>
      <w:numFmt w:val="bullet"/>
      <w:lvlText w:val=""/>
      <w:lvlJc w:val="left"/>
      <w:pPr>
        <w:tabs>
          <w:tab w:val="num" w:pos="6117"/>
        </w:tabs>
        <w:ind w:left="6117" w:hanging="360"/>
      </w:pPr>
      <w:rPr>
        <w:rFonts w:ascii="Symbol" w:hAnsi="Symbol" w:hint="default"/>
      </w:rPr>
    </w:lvl>
    <w:lvl w:ilvl="7" w:tplc="6068DA8C" w:tentative="1">
      <w:start w:val="1"/>
      <w:numFmt w:val="bullet"/>
      <w:lvlText w:val="o"/>
      <w:lvlJc w:val="left"/>
      <w:pPr>
        <w:tabs>
          <w:tab w:val="num" w:pos="6837"/>
        </w:tabs>
        <w:ind w:left="6837" w:hanging="360"/>
      </w:pPr>
      <w:rPr>
        <w:rFonts w:ascii="Courier New" w:hAnsi="Courier New" w:cs="Courier New" w:hint="default"/>
      </w:rPr>
    </w:lvl>
    <w:lvl w:ilvl="8" w:tplc="B7AE0486" w:tentative="1">
      <w:start w:val="1"/>
      <w:numFmt w:val="bullet"/>
      <w:lvlText w:val=""/>
      <w:lvlJc w:val="left"/>
      <w:pPr>
        <w:tabs>
          <w:tab w:val="num" w:pos="7557"/>
        </w:tabs>
        <w:ind w:left="7557" w:hanging="360"/>
      </w:pPr>
      <w:rPr>
        <w:rFonts w:ascii="Wingdings" w:hAnsi="Wingdings" w:hint="default"/>
      </w:rPr>
    </w:lvl>
  </w:abstractNum>
  <w:abstractNum w:abstractNumId="18" w15:restartNumberingAfterBreak="0">
    <w:nsid w:val="7C866FC0"/>
    <w:multiLevelType w:val="hybridMultilevel"/>
    <w:tmpl w:val="57EA2900"/>
    <w:lvl w:ilvl="0" w:tplc="3574F33E">
      <w:start w:val="1"/>
      <w:numFmt w:val="decimal"/>
      <w:pStyle w:val="ATSNumber2"/>
      <w:lvlText w:val="%1."/>
      <w:lvlJc w:val="left"/>
      <w:pPr>
        <w:tabs>
          <w:tab w:val="num" w:pos="720"/>
        </w:tabs>
        <w:ind w:left="720" w:hanging="360"/>
      </w:pPr>
      <w:rPr>
        <w:rFonts w:hint="default"/>
      </w:rPr>
    </w:lvl>
    <w:lvl w:ilvl="1" w:tplc="3814BB10" w:tentative="1">
      <w:start w:val="1"/>
      <w:numFmt w:val="lowerLetter"/>
      <w:lvlText w:val="%2."/>
      <w:lvlJc w:val="left"/>
      <w:pPr>
        <w:tabs>
          <w:tab w:val="num" w:pos="1440"/>
        </w:tabs>
        <w:ind w:left="1440" w:hanging="360"/>
      </w:pPr>
    </w:lvl>
    <w:lvl w:ilvl="2" w:tplc="F322EF56" w:tentative="1">
      <w:start w:val="1"/>
      <w:numFmt w:val="lowerRoman"/>
      <w:lvlText w:val="%3."/>
      <w:lvlJc w:val="right"/>
      <w:pPr>
        <w:tabs>
          <w:tab w:val="num" w:pos="2160"/>
        </w:tabs>
        <w:ind w:left="2160" w:hanging="180"/>
      </w:pPr>
    </w:lvl>
    <w:lvl w:ilvl="3" w:tplc="6DDC1D36" w:tentative="1">
      <w:start w:val="1"/>
      <w:numFmt w:val="decimal"/>
      <w:lvlText w:val="%4."/>
      <w:lvlJc w:val="left"/>
      <w:pPr>
        <w:tabs>
          <w:tab w:val="num" w:pos="2880"/>
        </w:tabs>
        <w:ind w:left="2880" w:hanging="360"/>
      </w:pPr>
    </w:lvl>
    <w:lvl w:ilvl="4" w:tplc="0696F9E0" w:tentative="1">
      <w:start w:val="1"/>
      <w:numFmt w:val="lowerLetter"/>
      <w:lvlText w:val="%5."/>
      <w:lvlJc w:val="left"/>
      <w:pPr>
        <w:tabs>
          <w:tab w:val="num" w:pos="3600"/>
        </w:tabs>
        <w:ind w:left="3600" w:hanging="360"/>
      </w:pPr>
    </w:lvl>
    <w:lvl w:ilvl="5" w:tplc="ABC63578" w:tentative="1">
      <w:start w:val="1"/>
      <w:numFmt w:val="lowerRoman"/>
      <w:lvlText w:val="%6."/>
      <w:lvlJc w:val="right"/>
      <w:pPr>
        <w:tabs>
          <w:tab w:val="num" w:pos="4320"/>
        </w:tabs>
        <w:ind w:left="4320" w:hanging="180"/>
      </w:pPr>
    </w:lvl>
    <w:lvl w:ilvl="6" w:tplc="8F02C9DA" w:tentative="1">
      <w:start w:val="1"/>
      <w:numFmt w:val="decimal"/>
      <w:lvlText w:val="%7."/>
      <w:lvlJc w:val="left"/>
      <w:pPr>
        <w:tabs>
          <w:tab w:val="num" w:pos="5040"/>
        </w:tabs>
        <w:ind w:left="5040" w:hanging="360"/>
      </w:pPr>
    </w:lvl>
    <w:lvl w:ilvl="7" w:tplc="4D24DE90" w:tentative="1">
      <w:start w:val="1"/>
      <w:numFmt w:val="lowerLetter"/>
      <w:lvlText w:val="%8."/>
      <w:lvlJc w:val="left"/>
      <w:pPr>
        <w:tabs>
          <w:tab w:val="num" w:pos="5760"/>
        </w:tabs>
        <w:ind w:left="5760" w:hanging="360"/>
      </w:pPr>
    </w:lvl>
    <w:lvl w:ilvl="8" w:tplc="D512C7FE"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7"/>
  </w:num>
  <w:num w:numId="13">
    <w:abstractNumId w:val="16"/>
  </w:num>
  <w:num w:numId="14">
    <w:abstractNumId w:val="14"/>
  </w:num>
  <w:num w:numId="15">
    <w:abstractNumId w:val="15"/>
  </w:num>
  <w:num w:numId="16">
    <w:abstractNumId w:val="10"/>
  </w:num>
  <w:num w:numId="17">
    <w:abstractNumId w:val="12"/>
  </w:num>
  <w:num w:numId="18">
    <w:abstractNumId w:val="17"/>
  </w:num>
  <w:num w:numId="19">
    <w:abstractNumId w:val="16"/>
  </w:num>
  <w:num w:numId="20">
    <w:abstractNumId w:val="18"/>
  </w:num>
  <w:num w:numId="21">
    <w:abstractNumId w:val="11"/>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C78"/>
    <w:rsid w:val="00430489"/>
    <w:rsid w:val="00855B17"/>
    <w:rsid w:val="00AF353D"/>
    <w:rsid w:val="00F33E5A"/>
    <w:rsid w:val="00FD5C7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A2D350"/>
  <w15:chartTrackingRefBased/>
  <w15:docId w15:val="{3D0C5DD5-3784-44BA-87F4-F7F008F67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link w:val="Ttulo1Car"/>
    <w:uiPriority w:val="9"/>
    <w:qFormat/>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link w:val="Ttulo2Car"/>
    <w:uiPriority w:val="9"/>
    <w:qFormat/>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qFormat/>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Ttulo1Car">
    <w:name w:val="Título 1 Car"/>
    <w:basedOn w:val="Fuentedeprrafopredeter"/>
    <w:link w:val="Ttulo1"/>
    <w:uiPriority w:val="9"/>
    <w:rsid w:val="00430489"/>
    <w:rPr>
      <w:rFonts w:ascii="Arial" w:hAnsi="Arial"/>
      <w:b/>
      <w:kern w:val="28"/>
      <w:sz w:val="32"/>
      <w:lang w:val="en-GB" w:eastAsia="en-US"/>
    </w:rPr>
  </w:style>
  <w:style w:type="character" w:customStyle="1" w:styleId="Ttulo2Car">
    <w:name w:val="Título 2 Car"/>
    <w:basedOn w:val="Fuentedeprrafopredeter"/>
    <w:link w:val="Ttulo2"/>
    <w:uiPriority w:val="9"/>
    <w:rsid w:val="00430489"/>
    <w:rPr>
      <w:b/>
      <w:i/>
      <w:sz w:val="2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712</Words>
  <Characters>3999</Characters>
  <Application>Microsoft Office Word</Application>
  <DocSecurity>0</DocSecurity>
  <Lines>33</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5</cp:revision>
  <cp:lastPrinted>2008-01-22T18:20:00Z</cp:lastPrinted>
  <dcterms:created xsi:type="dcterms:W3CDTF">2020-11-26T16:54:00Z</dcterms:created>
  <dcterms:modified xsi:type="dcterms:W3CDTF">2021-04-28T12:44:00Z</dcterms:modified>
</cp:coreProperties>
</file>