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E93A" w14:textId="77777777" w:rsidR="00C26F2D" w:rsidRPr="00BF077B" w:rsidRDefault="00D343E8" w:rsidP="00BF077B">
      <w:pPr>
        <w:pStyle w:val="ATSNormal"/>
        <w:rPr>
          <w:rStyle w:val="Ttulodellibro"/>
        </w:rPr>
      </w:pPr>
    </w:p>
    <w:p w14:paraId="29762EA3" w14:textId="77777777" w:rsidR="002F0A13" w:rsidRDefault="00D343E8" w:rsidP="004B4A60">
      <w:pPr>
        <w:rPr>
          <w:b/>
          <w:u w:val="single"/>
          <w:lang w:val="es-ES_tradnl"/>
        </w:rPr>
      </w:pPr>
    </w:p>
    <w:p w14:paraId="35E7F184" w14:textId="77777777" w:rsidR="002F0A13" w:rsidRDefault="00D343E8" w:rsidP="004B4A60">
      <w:pPr>
        <w:rPr>
          <w:b/>
          <w:u w:val="single"/>
          <w:lang w:val="es-ES_tradnl"/>
        </w:rPr>
      </w:pPr>
    </w:p>
    <w:p w14:paraId="1E2927AD" w14:textId="77777777" w:rsidR="002F0A13" w:rsidRDefault="00D343E8" w:rsidP="004B4A60">
      <w:pPr>
        <w:rPr>
          <w:b/>
          <w:u w:val="single"/>
          <w:lang w:val="es-ES_tradnl"/>
        </w:rPr>
      </w:pPr>
    </w:p>
    <w:p w14:paraId="2BE3DFB5" w14:textId="77777777" w:rsidR="002F0A13" w:rsidRDefault="00D343E8" w:rsidP="004B4A60">
      <w:pPr>
        <w:rPr>
          <w:b/>
          <w:u w:val="single"/>
          <w:lang w:val="es-ES_tradnl"/>
        </w:rPr>
      </w:pPr>
    </w:p>
    <w:p w14:paraId="6009DDA5" w14:textId="77777777" w:rsidR="00C26F2D" w:rsidRDefault="00D343E8" w:rsidP="004B4A60">
      <w:pPr>
        <w:rPr>
          <w:b/>
          <w:u w:val="single"/>
          <w:lang w:val="es-ES_tradnl"/>
        </w:rPr>
      </w:pPr>
    </w:p>
    <w:p w14:paraId="7588FA4D" w14:textId="5E03B9FB" w:rsidR="004B4A60" w:rsidRPr="0057246E" w:rsidRDefault="00D343E8" w:rsidP="001B789F">
      <w:pPr>
        <w:pStyle w:val="ATSTitle"/>
      </w:pPr>
      <w:bookmarkStart w:id="0" w:name="name"/>
      <w:r>
        <w:t xml:space="preserve">Report of the Subsidiary Group on Climate Change Response (SGCCR) </w:t>
      </w:r>
      <w:r w:rsidR="00D10061">
        <w:br/>
      </w:r>
      <w:r>
        <w:t>2019-2021</w:t>
      </w:r>
      <w:bookmarkEnd w:id="0"/>
    </w:p>
    <w:p w14:paraId="22F74360" w14:textId="77777777" w:rsidR="004B4A60" w:rsidRPr="0057246E" w:rsidRDefault="00D343E8" w:rsidP="00F75424">
      <w:pPr>
        <w:jc w:val="center"/>
      </w:pPr>
    </w:p>
    <w:p w14:paraId="02E086D5" w14:textId="77777777" w:rsidR="004B4A60" w:rsidRPr="002F0A13" w:rsidRDefault="00D343E8" w:rsidP="002F0A13"/>
    <w:p w14:paraId="7AA13B65" w14:textId="77777777" w:rsidR="004B4A60" w:rsidRDefault="00D343E8" w:rsidP="00F75424">
      <w:pPr>
        <w:jc w:val="center"/>
      </w:pPr>
      <w:bookmarkStart w:id="1" w:name="memo"/>
      <w:bookmarkEnd w:id="1"/>
    </w:p>
    <w:p w14:paraId="16707D5E" w14:textId="77777777" w:rsidR="0097629D" w:rsidRDefault="00D343E8" w:rsidP="00F75424">
      <w:pPr>
        <w:jc w:val="center"/>
      </w:pPr>
    </w:p>
    <w:p w14:paraId="74864A4C" w14:textId="77777777" w:rsidR="0097629D" w:rsidRDefault="00D343E8" w:rsidP="00F75424">
      <w:pPr>
        <w:jc w:val="center"/>
      </w:pPr>
    </w:p>
    <w:p w14:paraId="5EDD4CEE" w14:textId="77777777" w:rsidR="0097629D" w:rsidRDefault="00D343E8" w:rsidP="00F75424">
      <w:pPr>
        <w:jc w:val="center"/>
      </w:pPr>
    </w:p>
    <w:p w14:paraId="6ADD2219" w14:textId="77777777" w:rsidR="0097629D" w:rsidRPr="00C26F2D" w:rsidRDefault="00D343E8" w:rsidP="00F75424">
      <w:pPr>
        <w:jc w:val="center"/>
      </w:pPr>
    </w:p>
    <w:p w14:paraId="4071F88A" w14:textId="77777777" w:rsidR="004B4A60" w:rsidRPr="0057246E" w:rsidRDefault="00D343E8" w:rsidP="004B4A60"/>
    <w:p w14:paraId="6F58AFDB" w14:textId="77777777" w:rsidR="00C26F2D" w:rsidRDefault="00D343E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85F49B6" w14:textId="25E6E476" w:rsidR="004B4A60" w:rsidRDefault="00D343E8" w:rsidP="00952E9F"/>
    <w:p w14:paraId="4D385509" w14:textId="77777777" w:rsidR="00D343E8" w:rsidRPr="00D343E8" w:rsidRDefault="00D343E8" w:rsidP="00D343E8">
      <w:pPr>
        <w:pStyle w:val="ATSHeading1"/>
      </w:pPr>
      <w:r w:rsidRPr="00D343E8">
        <w:t>Report of the Subsidiary Group on Climate Change Response (SGCCR) 2019-2021</w:t>
      </w:r>
    </w:p>
    <w:p w14:paraId="05231B02" w14:textId="77777777" w:rsidR="00D343E8" w:rsidRDefault="00D343E8" w:rsidP="00D343E8">
      <w:pPr>
        <w:jc w:val="center"/>
        <w:rPr>
          <w:b/>
          <w:sz w:val="24"/>
          <w:lang w:val="en-US"/>
        </w:rPr>
      </w:pPr>
      <w:r w:rsidRPr="00B45FBC">
        <w:rPr>
          <w:b/>
          <w:sz w:val="24"/>
          <w:lang w:val="en-US"/>
        </w:rPr>
        <w:t xml:space="preserve">Working Paper submitted by the United Kingdom on behalf of the </w:t>
      </w:r>
      <w:proofErr w:type="gramStart"/>
      <w:r w:rsidRPr="00B45FBC">
        <w:rPr>
          <w:b/>
          <w:sz w:val="24"/>
          <w:lang w:val="en-US"/>
        </w:rPr>
        <w:t>SGCCR</w:t>
      </w:r>
      <w:proofErr w:type="gramEnd"/>
    </w:p>
    <w:p w14:paraId="2ECFBBF2" w14:textId="77777777" w:rsidR="00D343E8" w:rsidRPr="00B45FBC" w:rsidRDefault="00D343E8" w:rsidP="00D343E8">
      <w:pPr>
        <w:jc w:val="center"/>
        <w:rPr>
          <w:b/>
          <w:sz w:val="24"/>
          <w:lang w:val="en-US"/>
        </w:rPr>
      </w:pPr>
    </w:p>
    <w:p w14:paraId="726A10CC" w14:textId="77777777" w:rsidR="00D343E8" w:rsidRPr="007F66C3" w:rsidRDefault="00D343E8" w:rsidP="00D343E8">
      <w:pPr>
        <w:spacing w:before="480" w:after="120"/>
        <w:rPr>
          <w:rFonts w:ascii="Arial" w:hAnsi="Arial" w:cs="Arial"/>
          <w:b/>
          <w:i/>
          <w:sz w:val="24"/>
          <w:lang w:val="en-US"/>
        </w:rPr>
      </w:pPr>
      <w:r w:rsidRPr="007F66C3">
        <w:rPr>
          <w:rFonts w:ascii="Arial" w:hAnsi="Arial" w:cs="Arial"/>
          <w:b/>
          <w:i/>
          <w:sz w:val="24"/>
          <w:lang w:val="en-US"/>
        </w:rPr>
        <w:t>Summary</w:t>
      </w:r>
    </w:p>
    <w:p w14:paraId="6A1352CD" w14:textId="77777777" w:rsidR="00D343E8" w:rsidRPr="00FF5754" w:rsidRDefault="00D343E8" w:rsidP="00D343E8">
      <w:pPr>
        <w:rPr>
          <w:lang w:val="en-US"/>
        </w:rPr>
      </w:pPr>
      <w:r w:rsidRPr="00FF5754">
        <w:rPr>
          <w:lang w:val="en-US"/>
        </w:rPr>
        <w:t xml:space="preserve">This Working Paper </w:t>
      </w:r>
      <w:r>
        <w:rPr>
          <w:lang w:val="en-US"/>
        </w:rPr>
        <w:t>details</w:t>
      </w:r>
      <w:r w:rsidRPr="00FF5754">
        <w:rPr>
          <w:lang w:val="en-US"/>
        </w:rPr>
        <w:t xml:space="preserve"> the work and outputs of the SGCCR during the period July 2019 to April 2021.</w:t>
      </w:r>
    </w:p>
    <w:p w14:paraId="025C6382" w14:textId="77777777" w:rsidR="00D343E8" w:rsidRPr="00FF5754" w:rsidRDefault="00D343E8" w:rsidP="00D343E8">
      <w:pPr>
        <w:rPr>
          <w:lang w:val="en-US"/>
        </w:rPr>
      </w:pPr>
      <w:r w:rsidRPr="00FF5754">
        <w:rPr>
          <w:lang w:val="en-US"/>
        </w:rPr>
        <w:t>The SGCCR recommend</w:t>
      </w:r>
      <w:r>
        <w:rPr>
          <w:lang w:val="en-US"/>
        </w:rPr>
        <w:t>s</w:t>
      </w:r>
      <w:r w:rsidRPr="00FF5754">
        <w:rPr>
          <w:lang w:val="en-US"/>
        </w:rPr>
        <w:t xml:space="preserve"> that the CEP considers the following recommendations:</w:t>
      </w:r>
    </w:p>
    <w:p w14:paraId="2D622E52" w14:textId="77777777" w:rsidR="00D343E8" w:rsidRPr="00FF5754" w:rsidRDefault="00D343E8" w:rsidP="00D343E8">
      <w:pPr>
        <w:pStyle w:val="Prrafodelista"/>
        <w:numPr>
          <w:ilvl w:val="0"/>
          <w:numId w:val="25"/>
        </w:numPr>
        <w:rPr>
          <w:rFonts w:eastAsia="TimesNewRomanPSMT"/>
          <w:bCs/>
          <w:iCs/>
          <w:szCs w:val="22"/>
        </w:rPr>
      </w:pPr>
      <w:r w:rsidRPr="00FF5754">
        <w:rPr>
          <w:rFonts w:eastAsia="TimesNewRomanPSMT"/>
          <w:bCs/>
          <w:iCs/>
          <w:szCs w:val="22"/>
        </w:rPr>
        <w:t xml:space="preserve">The CEP is asked to endorse the updated and reformatted draft CCRWP (2021) and use it to replace the current version of the CCRWP (2015) </w:t>
      </w:r>
      <w:r>
        <w:rPr>
          <w:rFonts w:eastAsia="TimesNewRomanPSMT"/>
          <w:bCs/>
          <w:iCs/>
          <w:szCs w:val="22"/>
        </w:rPr>
        <w:t>(Attachment A)</w:t>
      </w:r>
    </w:p>
    <w:p w14:paraId="2A97CD32" w14:textId="77777777" w:rsidR="00D343E8" w:rsidRPr="00FF5754" w:rsidRDefault="00D343E8" w:rsidP="00D343E8">
      <w:pPr>
        <w:pStyle w:val="Prrafodelista"/>
        <w:numPr>
          <w:ilvl w:val="0"/>
          <w:numId w:val="25"/>
        </w:numPr>
        <w:rPr>
          <w:rFonts w:eastAsia="TimesNewRomanPSMT"/>
          <w:bCs/>
          <w:iCs/>
          <w:szCs w:val="22"/>
        </w:rPr>
      </w:pPr>
      <w:r w:rsidRPr="00FF5754">
        <w:rPr>
          <w:rFonts w:eastAsia="TimesNewRomanPSMT"/>
          <w:bCs/>
          <w:iCs/>
          <w:szCs w:val="22"/>
        </w:rPr>
        <w:t xml:space="preserve">The CEP is asked to endorse the addition of the identified CCRWP </w:t>
      </w:r>
      <w:r>
        <w:rPr>
          <w:rFonts w:eastAsia="TimesNewRomanPSMT"/>
          <w:bCs/>
          <w:iCs/>
          <w:szCs w:val="22"/>
        </w:rPr>
        <w:t>science</w:t>
      </w:r>
      <w:r w:rsidRPr="00FF5754">
        <w:rPr>
          <w:rFonts w:eastAsia="TimesNewRomanPSMT"/>
          <w:bCs/>
          <w:iCs/>
          <w:szCs w:val="22"/>
        </w:rPr>
        <w:t xml:space="preserve"> needs to those of the CEP 5-Year Work Plan</w:t>
      </w:r>
      <w:r>
        <w:rPr>
          <w:rFonts w:eastAsia="TimesNewRomanPSMT"/>
          <w:bCs/>
          <w:iCs/>
          <w:szCs w:val="22"/>
        </w:rPr>
        <w:t xml:space="preserve"> (Attachment B)</w:t>
      </w:r>
    </w:p>
    <w:p w14:paraId="1CA7B3A2" w14:textId="77777777" w:rsidR="00D343E8" w:rsidRPr="00FF5754" w:rsidRDefault="00D343E8" w:rsidP="00D343E8">
      <w:pPr>
        <w:pStyle w:val="Prrafodelista"/>
        <w:numPr>
          <w:ilvl w:val="0"/>
          <w:numId w:val="25"/>
        </w:numPr>
        <w:rPr>
          <w:bCs/>
          <w:szCs w:val="22"/>
          <w:lang w:val="en-AU"/>
        </w:rPr>
      </w:pPr>
      <w:r w:rsidRPr="00FF5754">
        <w:rPr>
          <w:bCs/>
          <w:szCs w:val="22"/>
          <w:lang w:val="en-AU"/>
        </w:rPr>
        <w:t>The SGCCR asks the Committee to recommend to the ATCM that the Antarctic Treaty Secretariat provide support for the development of webpages relevant to the communication of the CCRWP</w:t>
      </w:r>
      <w:r>
        <w:rPr>
          <w:bCs/>
          <w:szCs w:val="22"/>
          <w:lang w:val="en-AU"/>
        </w:rPr>
        <w:t>, including translation of CCRWP presentations,</w:t>
      </w:r>
      <w:r w:rsidRPr="00FF5754">
        <w:rPr>
          <w:bCs/>
          <w:szCs w:val="22"/>
          <w:lang w:val="en-AU"/>
        </w:rPr>
        <w:t xml:space="preserve"> in collaboration with the SGCCR.</w:t>
      </w:r>
    </w:p>
    <w:p w14:paraId="68A317BB" w14:textId="77777777" w:rsidR="00D343E8" w:rsidRPr="00FF5754" w:rsidRDefault="00D343E8" w:rsidP="00D343E8">
      <w:pPr>
        <w:pStyle w:val="Prrafodelista"/>
        <w:numPr>
          <w:ilvl w:val="0"/>
          <w:numId w:val="25"/>
        </w:numPr>
        <w:rPr>
          <w:bCs/>
          <w:szCs w:val="22"/>
        </w:rPr>
      </w:pPr>
      <w:r w:rsidRPr="00FF5754">
        <w:rPr>
          <w:bCs/>
          <w:szCs w:val="22"/>
        </w:rPr>
        <w:t>Acknowledging the desire of the CEP to review the effectiveness of the SGCCR since its establishment, the SGCCR recommends that the CEP considers the work undertaken to date by the SGCCR and endorses the continuation of its work under its current Terms of Reference.</w:t>
      </w:r>
    </w:p>
    <w:p w14:paraId="53D23E85" w14:textId="77777777" w:rsidR="00D343E8" w:rsidRPr="007F66C3" w:rsidRDefault="00D343E8" w:rsidP="00D343E8">
      <w:pPr>
        <w:spacing w:before="480" w:after="120"/>
        <w:rPr>
          <w:rFonts w:ascii="Arial" w:hAnsi="Arial" w:cs="Arial"/>
          <w:b/>
          <w:i/>
          <w:sz w:val="24"/>
          <w:lang w:val="en-US"/>
        </w:rPr>
      </w:pPr>
      <w:r w:rsidRPr="007F66C3">
        <w:rPr>
          <w:rFonts w:ascii="Arial" w:hAnsi="Arial" w:cs="Arial"/>
          <w:b/>
          <w:i/>
          <w:sz w:val="24"/>
          <w:lang w:val="en-US"/>
        </w:rPr>
        <w:t>Background</w:t>
      </w:r>
    </w:p>
    <w:p w14:paraId="43B54923" w14:textId="77777777" w:rsidR="00D343E8" w:rsidRPr="00B45FBC" w:rsidRDefault="00D343E8" w:rsidP="00D343E8">
      <w:pPr>
        <w:rPr>
          <w:lang w:val="en-US"/>
        </w:rPr>
      </w:pPr>
      <w:r>
        <w:rPr>
          <w:lang w:val="en-US"/>
        </w:rPr>
        <w:t>T</w:t>
      </w:r>
      <w:r w:rsidRPr="00B45FBC">
        <w:rPr>
          <w:lang w:val="en-US"/>
        </w:rPr>
        <w:t xml:space="preserve">he Climate Change Response Work </w:t>
      </w:r>
      <w:proofErr w:type="spellStart"/>
      <w:r w:rsidRPr="00B45FBC">
        <w:rPr>
          <w:lang w:val="en-US"/>
        </w:rPr>
        <w:t>Programme</w:t>
      </w:r>
      <w:proofErr w:type="spellEnd"/>
      <w:r w:rsidRPr="00B45FBC">
        <w:rPr>
          <w:lang w:val="en-US"/>
        </w:rPr>
        <w:t xml:space="preserve"> (CCRWP) was adopted</w:t>
      </w:r>
      <w:r>
        <w:rPr>
          <w:lang w:val="en-US"/>
        </w:rPr>
        <w:t xml:space="preserve"> through </w:t>
      </w:r>
      <w:r w:rsidRPr="00B45FBC">
        <w:rPr>
          <w:lang w:val="en-US"/>
        </w:rPr>
        <w:t>Resolution 4 (2015)</w:t>
      </w:r>
      <w:r>
        <w:rPr>
          <w:lang w:val="en-US"/>
        </w:rPr>
        <w:t xml:space="preserve">, and </w:t>
      </w:r>
      <w:r w:rsidRPr="00B45FBC">
        <w:rPr>
          <w:lang w:val="en-US"/>
        </w:rPr>
        <w:t>the ATCM recommended that Governments:</w:t>
      </w:r>
    </w:p>
    <w:p w14:paraId="1CC38EDF" w14:textId="77777777" w:rsidR="00D343E8" w:rsidRPr="00B45FBC" w:rsidRDefault="00D343E8" w:rsidP="00D343E8">
      <w:pPr>
        <w:numPr>
          <w:ilvl w:val="0"/>
          <w:numId w:val="21"/>
        </w:numPr>
      </w:pPr>
      <w:r w:rsidRPr="00B45FBC">
        <w:t xml:space="preserve">encourage the CEP to begin implementing the CCRWP as a matter of priority, and provide annual progress reports to the Antarctic Treaty Consultative Meeting on its </w:t>
      </w:r>
      <w:proofErr w:type="gramStart"/>
      <w:r w:rsidRPr="00B45FBC">
        <w:t>implementation;</w:t>
      </w:r>
      <w:proofErr w:type="gramEnd"/>
    </w:p>
    <w:p w14:paraId="154CBB9C" w14:textId="77777777" w:rsidR="00D343E8" w:rsidRPr="00B45FBC" w:rsidRDefault="00D343E8" w:rsidP="00D343E8">
      <w:pPr>
        <w:numPr>
          <w:ilvl w:val="0"/>
          <w:numId w:val="21"/>
        </w:numPr>
      </w:pPr>
      <w:r w:rsidRPr="00B45FBC">
        <w:t xml:space="preserve">request the CEP to keep the CCRWP under regular review, with the input of the </w:t>
      </w:r>
      <w:r w:rsidRPr="00A02EB4">
        <w:t>Scientific Committee on Antarctic Research</w:t>
      </w:r>
      <w:r>
        <w:t xml:space="preserve"> (</w:t>
      </w:r>
      <w:r w:rsidRPr="00B45FBC">
        <w:t>SCAR</w:t>
      </w:r>
      <w:r>
        <w:t>)</w:t>
      </w:r>
      <w:r w:rsidRPr="00B45FBC">
        <w:t xml:space="preserve"> and the Council of Managers of National Antarctic Programs</w:t>
      </w:r>
      <w:r>
        <w:t xml:space="preserve"> (COMNAP)</w:t>
      </w:r>
      <w:r w:rsidRPr="00B45FBC">
        <w:t xml:space="preserve"> on scientific and practical matters respectively; and</w:t>
      </w:r>
    </w:p>
    <w:p w14:paraId="3BC604CC" w14:textId="77777777" w:rsidR="00D343E8" w:rsidRPr="0004282C" w:rsidRDefault="00D343E8" w:rsidP="00D343E8">
      <w:pPr>
        <w:numPr>
          <w:ilvl w:val="0"/>
          <w:numId w:val="21"/>
        </w:numPr>
        <w:rPr>
          <w:lang w:val="en-US"/>
        </w:rPr>
      </w:pPr>
      <w:r w:rsidRPr="00B45FBC">
        <w:t xml:space="preserve">give consideration, within their own national scientific funding systems and national Antarctic research programmes, as to how they can address the </w:t>
      </w:r>
      <w:r>
        <w:t>science</w:t>
      </w:r>
      <w:r w:rsidRPr="00B45FBC">
        <w:t xml:space="preserve"> needs and actions identified in the CEP’s CCRWP.</w:t>
      </w:r>
    </w:p>
    <w:p w14:paraId="36B2D7A2" w14:textId="77777777" w:rsidR="00D343E8" w:rsidRPr="00B45FBC" w:rsidRDefault="00D343E8" w:rsidP="00D343E8">
      <w:pPr>
        <w:rPr>
          <w:lang w:val="en-US"/>
        </w:rPr>
      </w:pPr>
      <w:r w:rsidRPr="00B45FBC">
        <w:rPr>
          <w:lang w:val="en-US"/>
        </w:rPr>
        <w:t xml:space="preserve">Following discussions within CEP regarding updating, </w:t>
      </w:r>
      <w:proofErr w:type="gramStart"/>
      <w:r w:rsidRPr="00B45FBC">
        <w:rPr>
          <w:lang w:val="en-US"/>
        </w:rPr>
        <w:t>implementation</w:t>
      </w:r>
      <w:proofErr w:type="gramEnd"/>
      <w:r w:rsidRPr="00B45FBC">
        <w:rPr>
          <w:lang w:val="en-US"/>
        </w:rPr>
        <w:t xml:space="preserve"> and follow-up of the </w:t>
      </w:r>
      <w:r>
        <w:rPr>
          <w:lang w:val="en-US"/>
        </w:rPr>
        <w:t>CCRWP</w:t>
      </w:r>
      <w:r w:rsidRPr="00B45FBC">
        <w:rPr>
          <w:lang w:val="en-US"/>
        </w:rPr>
        <w:t xml:space="preserve">, a decision was made at ATCM XL (Decision 1 (2017)) to establish a new </w:t>
      </w:r>
      <w:r>
        <w:rPr>
          <w:lang w:val="en-US"/>
        </w:rPr>
        <w:t>S</w:t>
      </w:r>
      <w:r w:rsidRPr="00B45FBC">
        <w:rPr>
          <w:lang w:val="en-US"/>
        </w:rPr>
        <w:t xml:space="preserve">ubsidiary </w:t>
      </w:r>
      <w:r>
        <w:rPr>
          <w:lang w:val="en-US"/>
        </w:rPr>
        <w:t>G</w:t>
      </w:r>
      <w:r w:rsidRPr="00B45FBC">
        <w:rPr>
          <w:lang w:val="en-US"/>
        </w:rPr>
        <w:t>roup on Climate Changes Response (SGCCR).</w:t>
      </w:r>
    </w:p>
    <w:p w14:paraId="06072D4F" w14:textId="77777777" w:rsidR="00D343E8" w:rsidRDefault="00D343E8" w:rsidP="00D343E8">
      <w:pPr>
        <w:rPr>
          <w:lang w:val="en-US"/>
        </w:rPr>
      </w:pPr>
    </w:p>
    <w:p w14:paraId="5C61DFCD" w14:textId="77777777" w:rsidR="00D343E8" w:rsidRPr="00B45FBC" w:rsidRDefault="00D343E8" w:rsidP="00D343E8">
      <w:pPr>
        <w:rPr>
          <w:lang w:val="en-US"/>
        </w:rPr>
      </w:pPr>
      <w:r w:rsidRPr="00B45FBC">
        <w:rPr>
          <w:lang w:val="en-US"/>
        </w:rPr>
        <w:t>The Terms of Reference for the SGCCR are to facilitate the efficient and timely implementation of the CCRWP by:</w:t>
      </w:r>
    </w:p>
    <w:p w14:paraId="31D3ACD7" w14:textId="77777777" w:rsidR="00D343E8" w:rsidRPr="00B45FBC" w:rsidRDefault="00D343E8" w:rsidP="00D343E8">
      <w:pPr>
        <w:pStyle w:val="ATSBullet1"/>
        <w:numPr>
          <w:ilvl w:val="0"/>
          <w:numId w:val="22"/>
        </w:numPr>
        <w:shd w:val="clear" w:color="auto" w:fill="FFFFFF"/>
        <w:spacing w:before="0" w:after="200"/>
        <w:jc w:val="both"/>
        <w:rPr>
          <w:lang w:val="en-US" w:eastAsia="en-US"/>
        </w:rPr>
      </w:pPr>
      <w:r w:rsidRPr="00B45FBC">
        <w:rPr>
          <w:lang w:val="en-US" w:eastAsia="en-US"/>
        </w:rPr>
        <w:t xml:space="preserve">Facilitating the coordination and communication of the CCRWP between Members, Observers and Experts, highlighting actions identified for the coming year(s) and requesting relevant updates on planned </w:t>
      </w:r>
      <w:proofErr w:type="gramStart"/>
      <w:r w:rsidRPr="00B45FBC">
        <w:rPr>
          <w:lang w:val="en-US" w:eastAsia="en-US"/>
        </w:rPr>
        <w:t>activities;</w:t>
      </w:r>
      <w:proofErr w:type="gramEnd"/>
    </w:p>
    <w:p w14:paraId="209A8721" w14:textId="77777777" w:rsidR="00D343E8" w:rsidRPr="00B45FBC" w:rsidRDefault="00D343E8" w:rsidP="00D343E8">
      <w:pPr>
        <w:pStyle w:val="ATSBullet1"/>
        <w:numPr>
          <w:ilvl w:val="0"/>
          <w:numId w:val="22"/>
        </w:numPr>
        <w:shd w:val="clear" w:color="auto" w:fill="FFFFFF"/>
        <w:spacing w:before="0" w:after="200"/>
        <w:jc w:val="both"/>
        <w:rPr>
          <w:lang w:val="en-US" w:eastAsia="en-US"/>
        </w:rPr>
      </w:pPr>
      <w:r w:rsidRPr="00B45FBC">
        <w:rPr>
          <w:lang w:val="en-US" w:eastAsia="en-US"/>
        </w:rPr>
        <w:t xml:space="preserve">Drafting proposed annual updates of the CCRWP, including management, research or monitoring </w:t>
      </w:r>
      <w:proofErr w:type="gramStart"/>
      <w:r w:rsidRPr="00B45FBC">
        <w:rPr>
          <w:lang w:val="en-US" w:eastAsia="en-US"/>
        </w:rPr>
        <w:t>actions;</w:t>
      </w:r>
      <w:proofErr w:type="gramEnd"/>
    </w:p>
    <w:p w14:paraId="633EBA5A" w14:textId="77777777" w:rsidR="00D343E8" w:rsidRPr="00B45FBC" w:rsidRDefault="00D343E8" w:rsidP="00D343E8">
      <w:pPr>
        <w:pStyle w:val="ATSBullet1"/>
        <w:numPr>
          <w:ilvl w:val="0"/>
          <w:numId w:val="22"/>
        </w:numPr>
        <w:shd w:val="clear" w:color="auto" w:fill="FFFFFF"/>
        <w:spacing w:before="0" w:after="200"/>
        <w:jc w:val="both"/>
        <w:rPr>
          <w:lang w:val="en-US" w:eastAsia="en-US"/>
        </w:rPr>
      </w:pPr>
      <w:r w:rsidRPr="00B45FBC">
        <w:rPr>
          <w:lang w:val="en-US" w:eastAsia="en-US"/>
        </w:rPr>
        <w:t>Drafting annual progress reports on the implementation of the CCRWP for the CEP to draw on in their updates to the ATCM.</w:t>
      </w:r>
    </w:p>
    <w:p w14:paraId="788005D4" w14:textId="77777777" w:rsidR="00D343E8" w:rsidRPr="00A55760" w:rsidRDefault="00D343E8" w:rsidP="00D343E8">
      <w:pPr>
        <w:pStyle w:val="ATSNormal"/>
        <w:rPr>
          <w:szCs w:val="22"/>
        </w:rPr>
      </w:pPr>
      <w:r w:rsidRPr="00A55760">
        <w:rPr>
          <w:szCs w:val="22"/>
          <w:lang w:val="en-US"/>
        </w:rPr>
        <w:t>In addition to the agreed T</w:t>
      </w:r>
      <w:r>
        <w:rPr>
          <w:szCs w:val="22"/>
          <w:lang w:val="en-US"/>
        </w:rPr>
        <w:t>erms of Reference</w:t>
      </w:r>
      <w:r w:rsidRPr="00A55760">
        <w:rPr>
          <w:szCs w:val="22"/>
          <w:lang w:val="en-US"/>
        </w:rPr>
        <w:t xml:space="preserve">, CEP XX tasked the SGCCR to develop operating mechanisms to support good participation and efficient handling of work (CEP XX Final Report, para 74). </w:t>
      </w:r>
      <w:r>
        <w:rPr>
          <w:szCs w:val="22"/>
          <w:lang w:val="en-US"/>
        </w:rPr>
        <w:t xml:space="preserve">It should also </w:t>
      </w:r>
      <w:r>
        <w:rPr>
          <w:szCs w:val="22"/>
          <w:lang w:val="en-US"/>
        </w:rPr>
        <w:lastRenderedPageBreak/>
        <w:t>be noted that ‘</w:t>
      </w:r>
      <w:r w:rsidRPr="00A55760">
        <w:rPr>
          <w:szCs w:val="22"/>
        </w:rPr>
        <w:t>Climate Change Implications for the Environment</w:t>
      </w:r>
      <w:r>
        <w:rPr>
          <w:szCs w:val="22"/>
        </w:rPr>
        <w:t>’</w:t>
      </w:r>
      <w:r w:rsidRPr="00A55760">
        <w:rPr>
          <w:szCs w:val="22"/>
        </w:rPr>
        <w:t xml:space="preserve"> is a Priority 1 issue on the CEP Five-Year Work Plan, with ‘Implementing the CCRWP’ a key </w:t>
      </w:r>
      <w:r>
        <w:rPr>
          <w:szCs w:val="22"/>
        </w:rPr>
        <w:t>a</w:t>
      </w:r>
      <w:r w:rsidRPr="00A55760">
        <w:rPr>
          <w:szCs w:val="22"/>
        </w:rPr>
        <w:t xml:space="preserve">ction. </w:t>
      </w:r>
    </w:p>
    <w:p w14:paraId="626C8EE0" w14:textId="77777777" w:rsidR="00D343E8" w:rsidRPr="00F36FAE" w:rsidRDefault="00D343E8" w:rsidP="00D343E8">
      <w:pPr>
        <w:spacing w:before="480" w:after="120"/>
        <w:rPr>
          <w:rFonts w:ascii="Arial" w:hAnsi="Arial" w:cs="Arial"/>
          <w:b/>
          <w:i/>
          <w:sz w:val="24"/>
          <w:lang w:val="en-US"/>
        </w:rPr>
      </w:pPr>
      <w:r w:rsidRPr="00F36FAE">
        <w:rPr>
          <w:rFonts w:ascii="Arial" w:hAnsi="Arial" w:cs="Arial"/>
          <w:b/>
          <w:i/>
          <w:sz w:val="24"/>
          <w:lang w:val="en-US"/>
        </w:rPr>
        <w:t xml:space="preserve">SGCCR </w:t>
      </w:r>
      <w:r>
        <w:rPr>
          <w:rFonts w:ascii="Arial" w:hAnsi="Arial" w:cs="Arial"/>
          <w:b/>
          <w:i/>
          <w:sz w:val="24"/>
          <w:lang w:val="en-US"/>
        </w:rPr>
        <w:t xml:space="preserve">operation during </w:t>
      </w:r>
      <w:r w:rsidRPr="00F36FAE">
        <w:rPr>
          <w:rFonts w:ascii="Arial" w:hAnsi="Arial" w:cs="Arial"/>
          <w:b/>
          <w:i/>
          <w:sz w:val="24"/>
          <w:lang w:val="en-US"/>
        </w:rPr>
        <w:t>the 2019</w:t>
      </w:r>
      <w:r>
        <w:rPr>
          <w:rFonts w:ascii="Arial" w:hAnsi="Arial" w:cs="Arial"/>
          <w:b/>
          <w:i/>
          <w:sz w:val="24"/>
          <w:lang w:val="en-US"/>
        </w:rPr>
        <w:t>-21</w:t>
      </w:r>
      <w:r w:rsidRPr="00F36FAE">
        <w:rPr>
          <w:rFonts w:ascii="Arial" w:hAnsi="Arial" w:cs="Arial"/>
          <w:b/>
          <w:i/>
          <w:sz w:val="24"/>
          <w:lang w:val="en-US"/>
        </w:rPr>
        <w:t xml:space="preserve"> intersessional period</w:t>
      </w:r>
    </w:p>
    <w:p w14:paraId="79B200C3" w14:textId="77777777" w:rsidR="00D343E8" w:rsidRDefault="00D343E8" w:rsidP="00D343E8">
      <w:pPr>
        <w:rPr>
          <w:lang w:val="en-US"/>
        </w:rPr>
      </w:pPr>
      <w:r>
        <w:rPr>
          <w:lang w:val="en-US"/>
        </w:rPr>
        <w:t xml:space="preserve">Due to the cancellation of the CEP and ATCM meeting in Helsinki, Finland, in 2020, the current report covers the work and outputs of the SGCCR over the two-year period July 2019 to April 2021.  </w:t>
      </w:r>
    </w:p>
    <w:p w14:paraId="3CD42D6E" w14:textId="77777777" w:rsidR="00D343E8" w:rsidRDefault="00D343E8" w:rsidP="00D343E8">
      <w:pPr>
        <w:rPr>
          <w:lang w:val="en-US"/>
        </w:rPr>
      </w:pPr>
      <w:r w:rsidRPr="00B45FBC">
        <w:rPr>
          <w:lang w:val="en-US"/>
        </w:rPr>
        <w:t>The SGCCR currently consists of 1</w:t>
      </w:r>
      <w:r>
        <w:rPr>
          <w:lang w:val="en-US"/>
        </w:rPr>
        <w:t>7</w:t>
      </w:r>
      <w:r w:rsidRPr="00B45FBC">
        <w:rPr>
          <w:lang w:val="en-US"/>
        </w:rPr>
        <w:t xml:space="preserve"> members from 1</w:t>
      </w:r>
      <w:r>
        <w:rPr>
          <w:lang w:val="en-US"/>
        </w:rPr>
        <w:t>3</w:t>
      </w:r>
      <w:r w:rsidRPr="00B45FBC">
        <w:rPr>
          <w:lang w:val="en-US"/>
        </w:rPr>
        <w:t xml:space="preserve"> CEP </w:t>
      </w:r>
      <w:r>
        <w:rPr>
          <w:lang w:val="en-US"/>
        </w:rPr>
        <w:t>m</w:t>
      </w:r>
      <w:r w:rsidRPr="00B45FBC">
        <w:rPr>
          <w:lang w:val="en-US"/>
        </w:rPr>
        <w:t xml:space="preserve">ember states (Argentina, Australia, </w:t>
      </w:r>
      <w:r>
        <w:rPr>
          <w:lang w:val="en-US"/>
        </w:rPr>
        <w:t xml:space="preserve">Belgium, </w:t>
      </w:r>
      <w:r w:rsidRPr="00B45FBC">
        <w:rPr>
          <w:lang w:val="en-US"/>
        </w:rPr>
        <w:t>France, Germany, New Zealand, Norway, Romania, South Africa, Spain, UK</w:t>
      </w:r>
      <w:r>
        <w:rPr>
          <w:lang w:val="en-US"/>
        </w:rPr>
        <w:t xml:space="preserve">, </w:t>
      </w:r>
      <w:proofErr w:type="gramStart"/>
      <w:r w:rsidRPr="00B45FBC">
        <w:rPr>
          <w:lang w:val="en-US"/>
        </w:rPr>
        <w:t>USA</w:t>
      </w:r>
      <w:proofErr w:type="gramEnd"/>
      <w:r>
        <w:rPr>
          <w:lang w:val="en-US"/>
        </w:rPr>
        <w:t xml:space="preserve"> and Uruguay</w:t>
      </w:r>
      <w:r w:rsidRPr="00B45FBC">
        <w:rPr>
          <w:lang w:val="en-US"/>
        </w:rPr>
        <w:t xml:space="preserve">) and four organizations (ASOC, IAATO, SCAR and </w:t>
      </w:r>
      <w:r w:rsidRPr="00991DA3">
        <w:rPr>
          <w:lang w:val="en-US"/>
        </w:rPr>
        <w:t>WMO). The SGCCR is currently convened by one of the CEP vice-chairs (Dr. Kevin Hughes). Th</w:t>
      </w:r>
      <w:r>
        <w:rPr>
          <w:lang w:val="en-US"/>
        </w:rPr>
        <w:t xml:space="preserve">e </w:t>
      </w:r>
      <w:r w:rsidRPr="00B45FBC">
        <w:rPr>
          <w:lang w:val="en-US"/>
        </w:rPr>
        <w:t>SGCCR maintains flexibility regard</w:t>
      </w:r>
      <w:r>
        <w:rPr>
          <w:lang w:val="en-US"/>
        </w:rPr>
        <w:t>ing</w:t>
      </w:r>
      <w:r w:rsidRPr="00B45FBC">
        <w:rPr>
          <w:lang w:val="en-US"/>
        </w:rPr>
        <w:t xml:space="preserve"> membership and welcomes new members.  </w:t>
      </w:r>
    </w:p>
    <w:p w14:paraId="32DFA0B7" w14:textId="77777777" w:rsidR="00D343E8" w:rsidRDefault="00D343E8" w:rsidP="00D343E8">
      <w:pPr>
        <w:rPr>
          <w:lang w:val="en-US"/>
        </w:rPr>
      </w:pPr>
    </w:p>
    <w:p w14:paraId="48255875" w14:textId="77777777" w:rsidR="00D343E8" w:rsidRDefault="00D343E8" w:rsidP="00D343E8">
      <w:pPr>
        <w:rPr>
          <w:lang w:val="en-US"/>
        </w:rPr>
      </w:pPr>
      <w:r>
        <w:rPr>
          <w:lang w:val="en-US"/>
        </w:rPr>
        <w:t xml:space="preserve">The work of the SGCCR is undertaken predominantly via e-mail.  </w:t>
      </w:r>
      <w:r w:rsidRPr="00B45FBC">
        <w:rPr>
          <w:lang w:val="en-US"/>
        </w:rPr>
        <w:t>Key documents d</w:t>
      </w:r>
      <w:r>
        <w:rPr>
          <w:lang w:val="en-US"/>
        </w:rPr>
        <w:t>eveloped</w:t>
      </w:r>
      <w:r w:rsidRPr="00B45FBC">
        <w:rPr>
          <w:lang w:val="en-US"/>
        </w:rPr>
        <w:t xml:space="preserve"> by the SGCCR are posted on the SGCCR page on the CEP Discussion Forum and are therefore accessible </w:t>
      </w:r>
      <w:r>
        <w:rPr>
          <w:lang w:val="en-US"/>
        </w:rPr>
        <w:t>to</w:t>
      </w:r>
      <w:r w:rsidRPr="00B45FBC">
        <w:rPr>
          <w:lang w:val="en-US"/>
        </w:rPr>
        <w:t xml:space="preserve"> all CEP Members and Observers.  </w:t>
      </w:r>
    </w:p>
    <w:p w14:paraId="5BBF6163" w14:textId="77777777" w:rsidR="00D343E8" w:rsidRDefault="00D343E8" w:rsidP="00D343E8">
      <w:pPr>
        <w:rPr>
          <w:lang w:val="en-US"/>
        </w:rPr>
      </w:pPr>
    </w:p>
    <w:p w14:paraId="5807E77C" w14:textId="77777777" w:rsidR="00D343E8" w:rsidRPr="006B4E60" w:rsidRDefault="00D343E8" w:rsidP="00D343E8">
      <w:r w:rsidRPr="00C74F5D">
        <w:t>Until recently, the SGCCR has general</w:t>
      </w:r>
      <w:r>
        <w:t>ly</w:t>
      </w:r>
      <w:r w:rsidRPr="00C74F5D">
        <w:t xml:space="preserve"> held its meetings, in physical format, associated with the usually annual CEP meeting.  However, due to the </w:t>
      </w:r>
      <w:r>
        <w:t xml:space="preserve">possible </w:t>
      </w:r>
      <w:r w:rsidRPr="00C74F5D">
        <w:t xml:space="preserve">movement of CEP XXIII to a virtual format, the SGCCR held a virtual </w:t>
      </w:r>
      <w:r>
        <w:t xml:space="preserve">informal </w:t>
      </w:r>
      <w:r w:rsidRPr="00C74F5D">
        <w:t>meeting on 13</w:t>
      </w:r>
      <w:r w:rsidRPr="00C74F5D">
        <w:rPr>
          <w:vertAlign w:val="superscript"/>
        </w:rPr>
        <w:t>th</w:t>
      </w:r>
      <w:r>
        <w:t xml:space="preserve"> </w:t>
      </w:r>
      <w:r w:rsidRPr="00C74F5D">
        <w:t>April 2021.</w:t>
      </w:r>
      <w:r w:rsidRPr="00584892">
        <w:rPr>
          <w:highlight w:val="yellow"/>
        </w:rPr>
        <w:t xml:space="preserve"> </w:t>
      </w:r>
    </w:p>
    <w:p w14:paraId="424855B1" w14:textId="77777777" w:rsidR="00D343E8" w:rsidRDefault="00D343E8" w:rsidP="00D343E8">
      <w:pPr>
        <w:spacing w:before="480" w:after="120"/>
        <w:rPr>
          <w:rFonts w:ascii="Arial" w:hAnsi="Arial" w:cs="Arial"/>
          <w:b/>
          <w:i/>
          <w:sz w:val="24"/>
          <w:lang w:val="en-US"/>
        </w:rPr>
      </w:pPr>
      <w:r w:rsidRPr="00331028">
        <w:rPr>
          <w:rFonts w:ascii="Arial" w:hAnsi="Arial" w:cs="Arial"/>
          <w:b/>
          <w:i/>
          <w:sz w:val="24"/>
          <w:lang w:val="en-US"/>
        </w:rPr>
        <w:t xml:space="preserve">CCRWP </w:t>
      </w:r>
      <w:r>
        <w:rPr>
          <w:rFonts w:ascii="Arial" w:hAnsi="Arial" w:cs="Arial"/>
          <w:b/>
          <w:i/>
          <w:sz w:val="24"/>
          <w:lang w:val="en-US"/>
        </w:rPr>
        <w:t>re</w:t>
      </w:r>
      <w:r w:rsidRPr="00331028">
        <w:rPr>
          <w:rFonts w:ascii="Arial" w:hAnsi="Arial" w:cs="Arial"/>
          <w:b/>
          <w:i/>
          <w:sz w:val="24"/>
          <w:lang w:val="en-US"/>
        </w:rPr>
        <w:t>formatting</w:t>
      </w:r>
      <w:r>
        <w:rPr>
          <w:rFonts w:ascii="Arial" w:hAnsi="Arial" w:cs="Arial"/>
          <w:b/>
          <w:i/>
          <w:sz w:val="24"/>
          <w:lang w:val="en-US"/>
        </w:rPr>
        <w:t xml:space="preserve"> and </w:t>
      </w:r>
      <w:proofErr w:type="gramStart"/>
      <w:r>
        <w:rPr>
          <w:rFonts w:ascii="Arial" w:hAnsi="Arial" w:cs="Arial"/>
          <w:b/>
          <w:i/>
          <w:sz w:val="24"/>
          <w:lang w:val="en-US"/>
        </w:rPr>
        <w:t>updating</w:t>
      </w:r>
      <w:proofErr w:type="gramEnd"/>
    </w:p>
    <w:p w14:paraId="6C0C3260" w14:textId="77777777" w:rsidR="00D343E8" w:rsidRDefault="00D343E8" w:rsidP="00D343E8">
      <w:pPr>
        <w:rPr>
          <w:rFonts w:eastAsia="TimesNewRomanPSMT"/>
          <w:bCs/>
          <w:iCs/>
        </w:rPr>
      </w:pPr>
      <w:r w:rsidRPr="00A6770A">
        <w:rPr>
          <w:bCs/>
          <w:iCs/>
          <w:lang w:val="en-US"/>
        </w:rPr>
        <w:t>At CEP XXII, the SGCCR proposed a new format for the CCRWP (ATCMXLII WP36)</w:t>
      </w:r>
      <w:r>
        <w:rPr>
          <w:bCs/>
          <w:iCs/>
          <w:lang w:val="en-US"/>
        </w:rPr>
        <w:t>.</w:t>
      </w:r>
      <w:r w:rsidRPr="00A6770A">
        <w:rPr>
          <w:bCs/>
          <w:iCs/>
          <w:lang w:val="en-US"/>
        </w:rPr>
        <w:t xml:space="preserve"> </w:t>
      </w:r>
      <w:r>
        <w:rPr>
          <w:bCs/>
          <w:iCs/>
          <w:lang w:val="en-US"/>
        </w:rPr>
        <w:t>T</w:t>
      </w:r>
      <w:r w:rsidRPr="00A6770A">
        <w:rPr>
          <w:rFonts w:eastAsia="TimesNewRomanPSMT"/>
          <w:bCs/>
          <w:iCs/>
        </w:rPr>
        <w:t xml:space="preserve">he Committee agreed that the SGCCR </w:t>
      </w:r>
      <w:r>
        <w:rPr>
          <w:rFonts w:eastAsia="TimesNewRomanPSMT"/>
          <w:bCs/>
          <w:iCs/>
        </w:rPr>
        <w:t>sh</w:t>
      </w:r>
      <w:r w:rsidRPr="00A6770A">
        <w:rPr>
          <w:rFonts w:eastAsia="TimesNewRomanPSMT"/>
          <w:bCs/>
          <w:iCs/>
        </w:rPr>
        <w:t xml:space="preserve">ould apply the suggested new format to </w:t>
      </w:r>
      <w:r>
        <w:rPr>
          <w:rFonts w:eastAsia="TimesNewRomanPSMT"/>
          <w:bCs/>
          <w:iCs/>
        </w:rPr>
        <w:t>th</w:t>
      </w:r>
      <w:r w:rsidRPr="00A6770A">
        <w:rPr>
          <w:rFonts w:eastAsia="TimesNewRomanPSMT"/>
          <w:bCs/>
          <w:iCs/>
        </w:rPr>
        <w:t>e work programme</w:t>
      </w:r>
      <w:r>
        <w:rPr>
          <w:rFonts w:eastAsia="TimesNewRomanPSMT"/>
          <w:bCs/>
          <w:iCs/>
        </w:rPr>
        <w:t xml:space="preserve">. The SGCCR has now completed this task (see </w:t>
      </w:r>
      <w:r w:rsidRPr="008365A4">
        <w:rPr>
          <w:rFonts w:eastAsia="TimesNewRomanPSMT"/>
          <w:b/>
          <w:iCs/>
        </w:rPr>
        <w:t>Attachment A</w:t>
      </w:r>
      <w:r>
        <w:rPr>
          <w:rFonts w:eastAsia="TimesNewRomanPSMT"/>
          <w:bCs/>
          <w:iCs/>
        </w:rPr>
        <w:t xml:space="preserve">).  In addition, new graphics have been developed to help communicate the different issue identified within the CCRWP (Figure 1).  </w:t>
      </w:r>
    </w:p>
    <w:p w14:paraId="2AF58D3B" w14:textId="77777777" w:rsidR="00D343E8" w:rsidRDefault="00D343E8" w:rsidP="00D343E8">
      <w:pPr>
        <w:rPr>
          <w:rFonts w:eastAsia="TimesNewRomanPSMT"/>
          <w:bCs/>
          <w:iCs/>
        </w:rPr>
      </w:pPr>
    </w:p>
    <w:p w14:paraId="2937C9C1" w14:textId="77777777" w:rsidR="00D343E8" w:rsidRDefault="00D343E8" w:rsidP="00D343E8">
      <w:pPr>
        <w:jc w:val="center"/>
        <w:rPr>
          <w:rFonts w:eastAsia="TimesNewRomanPSMT"/>
          <w:bCs/>
          <w:iCs/>
        </w:rPr>
      </w:pPr>
      <w:r>
        <w:rPr>
          <w:noProof/>
          <w:lang w:eastAsia="en-GB"/>
        </w:rPr>
        <w:drawing>
          <wp:inline distT="0" distB="0" distL="0" distR="0" wp14:anchorId="7F69CD0A" wp14:editId="18EBF65D">
            <wp:extent cx="3780328" cy="4000500"/>
            <wp:effectExtent l="0" t="0" r="0" b="0"/>
            <wp:docPr id="4" name="Picture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3936" cy="4046648"/>
                    </a:xfrm>
                    <a:prstGeom prst="rect">
                      <a:avLst/>
                    </a:prstGeom>
                  </pic:spPr>
                </pic:pic>
              </a:graphicData>
            </a:graphic>
          </wp:inline>
        </w:drawing>
      </w:r>
    </w:p>
    <w:p w14:paraId="5C43C93A" w14:textId="77777777" w:rsidR="00D343E8" w:rsidRDefault="00D343E8" w:rsidP="00D343E8">
      <w:pPr>
        <w:rPr>
          <w:rFonts w:eastAsia="TimesNewRomanPSMT"/>
          <w:bCs/>
          <w:iCs/>
        </w:rPr>
      </w:pPr>
    </w:p>
    <w:p w14:paraId="2F8BA74A" w14:textId="77777777" w:rsidR="00D343E8" w:rsidRDefault="00D343E8" w:rsidP="00D343E8">
      <w:pPr>
        <w:rPr>
          <w:rFonts w:eastAsia="TimesNewRomanPSMT"/>
          <w:bCs/>
          <w:iCs/>
        </w:rPr>
      </w:pPr>
      <w:r>
        <w:rPr>
          <w:rFonts w:eastAsia="TimesNewRomanPSMT"/>
          <w:bCs/>
          <w:iCs/>
        </w:rPr>
        <w:t xml:space="preserve">Figure 1.  New graphic developed to help communicate the main issues identified within the </w:t>
      </w:r>
      <w:proofErr w:type="gramStart"/>
      <w:r>
        <w:rPr>
          <w:rFonts w:eastAsia="TimesNewRomanPSMT"/>
          <w:bCs/>
          <w:iCs/>
        </w:rPr>
        <w:t>CCRWP</w:t>
      </w:r>
      <w:proofErr w:type="gramEnd"/>
    </w:p>
    <w:p w14:paraId="1B9D86F8" w14:textId="77777777" w:rsidR="00D343E8" w:rsidRDefault="00D343E8" w:rsidP="00D343E8">
      <w:pPr>
        <w:rPr>
          <w:rFonts w:eastAsia="TimesNewRomanPSMT"/>
          <w:bCs/>
          <w:iCs/>
        </w:rPr>
      </w:pPr>
    </w:p>
    <w:p w14:paraId="054F9DB5" w14:textId="77777777" w:rsidR="00D343E8" w:rsidRDefault="00D343E8" w:rsidP="00D343E8">
      <w:pPr>
        <w:rPr>
          <w:rFonts w:eastAsia="TimesNewRomanPSMT"/>
          <w:bCs/>
          <w:iCs/>
        </w:rPr>
      </w:pPr>
    </w:p>
    <w:p w14:paraId="5A61D26A" w14:textId="77777777" w:rsidR="00D343E8" w:rsidRPr="00A50006" w:rsidRDefault="00D343E8" w:rsidP="00D343E8">
      <w:pPr>
        <w:rPr>
          <w:rFonts w:eastAsia="TimesNewRomanPSMT"/>
          <w:bCs/>
          <w:iCs/>
        </w:rPr>
      </w:pPr>
      <w:r>
        <w:rPr>
          <w:rFonts w:eastAsia="TimesNewRomanPSMT"/>
          <w:bCs/>
          <w:iCs/>
        </w:rPr>
        <w:t>Other general changes, un</w:t>
      </w:r>
      <w:r w:rsidRPr="00A50006">
        <w:rPr>
          <w:rFonts w:eastAsia="TimesNewRomanPSMT"/>
          <w:bCs/>
          <w:iCs/>
        </w:rPr>
        <w:t xml:space="preserve">dertaken as the </w:t>
      </w:r>
      <w:r>
        <w:rPr>
          <w:rFonts w:eastAsia="TimesNewRomanPSMT"/>
          <w:bCs/>
          <w:iCs/>
        </w:rPr>
        <w:t>re</w:t>
      </w:r>
      <w:r w:rsidRPr="00A50006">
        <w:rPr>
          <w:rFonts w:eastAsia="TimesNewRomanPSMT"/>
          <w:bCs/>
          <w:iCs/>
        </w:rPr>
        <w:t xml:space="preserve">formatting was applied </w:t>
      </w:r>
      <w:r>
        <w:rPr>
          <w:rFonts w:eastAsia="TimesNewRomanPSMT"/>
          <w:bCs/>
          <w:iCs/>
        </w:rPr>
        <w:t>across the identified CCRWP issues</w:t>
      </w:r>
      <w:r w:rsidRPr="00A50006">
        <w:rPr>
          <w:rFonts w:eastAsia="TimesNewRomanPSMT"/>
          <w:bCs/>
          <w:iCs/>
        </w:rPr>
        <w:t>, include</w:t>
      </w:r>
      <w:r>
        <w:rPr>
          <w:rFonts w:eastAsia="TimesNewRomanPSMT"/>
          <w:bCs/>
          <w:iCs/>
        </w:rPr>
        <w:t>d</w:t>
      </w:r>
      <w:r w:rsidRPr="00A50006">
        <w:rPr>
          <w:rFonts w:eastAsia="TimesNewRomanPSMT"/>
          <w:bCs/>
          <w:iCs/>
        </w:rPr>
        <w:t xml:space="preserve">: </w:t>
      </w:r>
    </w:p>
    <w:p w14:paraId="75D2060B" w14:textId="77777777" w:rsidR="00D343E8" w:rsidRPr="00A50006" w:rsidRDefault="00D343E8" w:rsidP="00D343E8">
      <w:pPr>
        <w:pStyle w:val="Prrafodelista"/>
        <w:numPr>
          <w:ilvl w:val="0"/>
          <w:numId w:val="23"/>
        </w:numPr>
        <w:rPr>
          <w:rFonts w:eastAsia="TimesNewRomanPSMT"/>
          <w:bCs/>
          <w:iCs/>
          <w:szCs w:val="22"/>
        </w:rPr>
      </w:pPr>
      <w:r>
        <w:rPr>
          <w:rFonts w:eastAsia="TimesNewRomanPSMT"/>
          <w:bCs/>
          <w:iCs/>
          <w:szCs w:val="22"/>
        </w:rPr>
        <w:t>t</w:t>
      </w:r>
      <w:r w:rsidRPr="00A50006">
        <w:rPr>
          <w:rFonts w:eastAsia="TimesNewRomanPSMT"/>
          <w:bCs/>
          <w:iCs/>
          <w:szCs w:val="22"/>
        </w:rPr>
        <w:t>he addition of a brief introduction to the CCRWP</w:t>
      </w:r>
    </w:p>
    <w:p w14:paraId="153ED686" w14:textId="77777777" w:rsidR="00D343E8" w:rsidRPr="00A50006" w:rsidRDefault="00D343E8" w:rsidP="00D343E8">
      <w:pPr>
        <w:pStyle w:val="Prrafodelista"/>
        <w:numPr>
          <w:ilvl w:val="0"/>
          <w:numId w:val="23"/>
        </w:numPr>
        <w:rPr>
          <w:rFonts w:eastAsia="TimesNewRomanPSMT"/>
          <w:bCs/>
          <w:iCs/>
          <w:szCs w:val="22"/>
        </w:rPr>
      </w:pPr>
      <w:r>
        <w:rPr>
          <w:rFonts w:eastAsia="TimesNewRomanPSMT"/>
          <w:bCs/>
          <w:iCs/>
          <w:szCs w:val="22"/>
        </w:rPr>
        <w:t>t</w:t>
      </w:r>
      <w:r w:rsidRPr="00A50006">
        <w:rPr>
          <w:rFonts w:eastAsia="TimesNewRomanPSMT"/>
          <w:bCs/>
          <w:iCs/>
          <w:szCs w:val="22"/>
        </w:rPr>
        <w:t>he amalgamation of the issue ‘</w:t>
      </w:r>
      <w:r w:rsidRPr="00A50006">
        <w:rPr>
          <w:szCs w:val="22"/>
        </w:rPr>
        <w:t>Ecosystem change due to ocean acidification’</w:t>
      </w:r>
      <w:r w:rsidRPr="00A50006">
        <w:rPr>
          <w:rFonts w:eastAsia="TimesNewRomanPSMT"/>
          <w:bCs/>
          <w:iCs/>
          <w:szCs w:val="22"/>
        </w:rPr>
        <w:t xml:space="preserve"> into the issue ‘</w:t>
      </w:r>
      <w:r w:rsidRPr="00A50006">
        <w:rPr>
          <w:bCs/>
          <w:szCs w:val="22"/>
        </w:rPr>
        <w:t xml:space="preserve">Change to marine near-shore abiotic and biotic environment due to climate </w:t>
      </w:r>
      <w:proofErr w:type="gramStart"/>
      <w:r w:rsidRPr="00A50006">
        <w:rPr>
          <w:bCs/>
          <w:szCs w:val="22"/>
        </w:rPr>
        <w:t>change’</w:t>
      </w:r>
      <w:proofErr w:type="gramEnd"/>
    </w:p>
    <w:p w14:paraId="26B89658" w14:textId="77777777" w:rsidR="00D343E8" w:rsidRPr="005D58C2" w:rsidRDefault="00D343E8" w:rsidP="00D343E8">
      <w:pPr>
        <w:pStyle w:val="Prrafodelista"/>
        <w:numPr>
          <w:ilvl w:val="0"/>
          <w:numId w:val="23"/>
        </w:numPr>
        <w:rPr>
          <w:rFonts w:eastAsia="TimesNewRomanPSMT"/>
          <w:bCs/>
          <w:iCs/>
          <w:szCs w:val="22"/>
        </w:rPr>
      </w:pPr>
      <w:r>
        <w:rPr>
          <w:bCs/>
          <w:szCs w:val="22"/>
        </w:rPr>
        <w:t xml:space="preserve">the removal of the identified science needs </w:t>
      </w:r>
      <w:r w:rsidRPr="00A50006">
        <w:rPr>
          <w:bCs/>
          <w:szCs w:val="22"/>
        </w:rPr>
        <w:t xml:space="preserve">to a separate document (see later) and </w:t>
      </w:r>
      <w:r>
        <w:rPr>
          <w:bCs/>
          <w:szCs w:val="22"/>
        </w:rPr>
        <w:t xml:space="preserve">amalgamation of </w:t>
      </w:r>
      <w:r w:rsidRPr="00A50006">
        <w:rPr>
          <w:bCs/>
          <w:szCs w:val="22"/>
        </w:rPr>
        <w:t>individual Tasks under each Actions section</w:t>
      </w:r>
      <w:r>
        <w:rPr>
          <w:bCs/>
          <w:szCs w:val="22"/>
        </w:rPr>
        <w:t>, t</w:t>
      </w:r>
      <w:r w:rsidRPr="00A50006">
        <w:rPr>
          <w:bCs/>
          <w:szCs w:val="22"/>
        </w:rPr>
        <w:t>o simplify the layout and reduce complexity</w:t>
      </w:r>
      <w:r>
        <w:rPr>
          <w:bCs/>
          <w:szCs w:val="22"/>
        </w:rPr>
        <w:t>.</w:t>
      </w:r>
    </w:p>
    <w:p w14:paraId="126C6246" w14:textId="77777777" w:rsidR="00D343E8" w:rsidRPr="005D58C2" w:rsidRDefault="00D343E8" w:rsidP="00D343E8">
      <w:pPr>
        <w:pStyle w:val="Prrafodelista"/>
        <w:rPr>
          <w:rFonts w:eastAsia="TimesNewRomanPSMT"/>
          <w:bCs/>
          <w:iCs/>
          <w:szCs w:val="22"/>
        </w:rPr>
      </w:pPr>
    </w:p>
    <w:p w14:paraId="6302C2A9" w14:textId="77777777" w:rsidR="00D343E8" w:rsidRPr="00A50006" w:rsidRDefault="00D343E8" w:rsidP="00D343E8">
      <w:pPr>
        <w:rPr>
          <w:rFonts w:eastAsia="TimesNewRomanPSMT"/>
          <w:bCs/>
          <w:iCs/>
        </w:rPr>
      </w:pPr>
      <w:r w:rsidRPr="00A50006">
        <w:rPr>
          <w:rFonts w:eastAsia="TimesNewRomanPSMT"/>
          <w:bCs/>
          <w:iCs/>
        </w:rPr>
        <w:t xml:space="preserve">In accordance with its Terms of Reference, the SGCCR has also updated the CCRWP.  </w:t>
      </w:r>
    </w:p>
    <w:p w14:paraId="7BF2C62D" w14:textId="77777777" w:rsidR="00D343E8" w:rsidRPr="00A50006" w:rsidRDefault="00D343E8" w:rsidP="00D343E8">
      <w:pPr>
        <w:pStyle w:val="Prrafodelista"/>
        <w:numPr>
          <w:ilvl w:val="0"/>
          <w:numId w:val="24"/>
        </w:numPr>
        <w:rPr>
          <w:bCs/>
          <w:szCs w:val="22"/>
        </w:rPr>
      </w:pPr>
      <w:r w:rsidRPr="00A50006">
        <w:rPr>
          <w:bCs/>
          <w:szCs w:val="22"/>
        </w:rPr>
        <w:t>The CCRWP has been revised to ensure content duplication with the CEP 5-Year Work Plan is minimised.</w:t>
      </w:r>
    </w:p>
    <w:p w14:paraId="2BA9A50F" w14:textId="77777777" w:rsidR="00D343E8" w:rsidRPr="00A50006" w:rsidRDefault="00D343E8" w:rsidP="00D343E8">
      <w:pPr>
        <w:pStyle w:val="Prrafodelista"/>
        <w:numPr>
          <w:ilvl w:val="0"/>
          <w:numId w:val="24"/>
        </w:numPr>
        <w:rPr>
          <w:bCs/>
          <w:szCs w:val="22"/>
        </w:rPr>
      </w:pPr>
      <w:r w:rsidRPr="00A50006">
        <w:rPr>
          <w:bCs/>
          <w:szCs w:val="22"/>
        </w:rPr>
        <w:t xml:space="preserve">Actions within each identified ‘Gap/need’ have been prioritised on a scale of 1 to 3, and preliminary target dates for delivery have been added. </w:t>
      </w:r>
    </w:p>
    <w:p w14:paraId="262DFBE7" w14:textId="77777777" w:rsidR="00D343E8" w:rsidRPr="00A50006" w:rsidRDefault="00D343E8" w:rsidP="00D343E8">
      <w:pPr>
        <w:pStyle w:val="Prrafodelista"/>
        <w:numPr>
          <w:ilvl w:val="0"/>
          <w:numId w:val="24"/>
        </w:numPr>
        <w:rPr>
          <w:bCs/>
          <w:szCs w:val="22"/>
        </w:rPr>
      </w:pPr>
      <w:r w:rsidRPr="00A50006">
        <w:rPr>
          <w:bCs/>
          <w:szCs w:val="22"/>
        </w:rPr>
        <w:t>A new issue has been identified entitled ‘Emerging issues’, which includes the need to (</w:t>
      </w:r>
      <w:proofErr w:type="spellStart"/>
      <w:r w:rsidRPr="00A50006">
        <w:rPr>
          <w:bCs/>
          <w:szCs w:val="22"/>
        </w:rPr>
        <w:t>i</w:t>
      </w:r>
      <w:proofErr w:type="spellEnd"/>
      <w:r w:rsidRPr="00A50006">
        <w:rPr>
          <w:bCs/>
          <w:szCs w:val="22"/>
        </w:rPr>
        <w:t xml:space="preserve">) consider the impacts of climate change on plastic pollution entering the Southern Ocean and (ii) </w:t>
      </w:r>
      <w:r w:rsidRPr="00A50006">
        <w:rPr>
          <w:szCs w:val="22"/>
        </w:rPr>
        <w:t>understand the potential expansion of human footprint in Antarctica due to climate change and any subsequent impacts upon Antarctic values</w:t>
      </w:r>
      <w:r w:rsidRPr="00A50006">
        <w:rPr>
          <w:bCs/>
          <w:szCs w:val="22"/>
        </w:rPr>
        <w:t>.</w:t>
      </w:r>
    </w:p>
    <w:p w14:paraId="4D25A362" w14:textId="77777777" w:rsidR="00D343E8" w:rsidRPr="00A50006" w:rsidRDefault="00D343E8" w:rsidP="00D343E8">
      <w:pPr>
        <w:rPr>
          <w:bCs/>
        </w:rPr>
      </w:pPr>
    </w:p>
    <w:p w14:paraId="37F9D7F8" w14:textId="77777777" w:rsidR="00D343E8" w:rsidRPr="00A95026" w:rsidRDefault="00D343E8" w:rsidP="00D343E8">
      <w:pPr>
        <w:rPr>
          <w:rFonts w:eastAsia="TimesNewRomanPSMT"/>
          <w:b/>
          <w:iCs/>
        </w:rPr>
      </w:pPr>
      <w:r w:rsidRPr="00A95026">
        <w:rPr>
          <w:rFonts w:eastAsia="TimesNewRomanPSMT"/>
          <w:b/>
          <w:iCs/>
        </w:rPr>
        <w:t xml:space="preserve">Recommendation:  The CEP is asked to endorse the updated and reformatted draft CCRWP (2021) and use it to replace the current version of the CCRWP (2015) </w:t>
      </w:r>
    </w:p>
    <w:p w14:paraId="06DF181E" w14:textId="77777777" w:rsidR="00D343E8" w:rsidRPr="005F0FBD" w:rsidRDefault="00D343E8" w:rsidP="00D343E8">
      <w:pPr>
        <w:spacing w:before="480" w:after="120"/>
        <w:rPr>
          <w:rFonts w:ascii="Arial" w:hAnsi="Arial" w:cs="Arial"/>
          <w:b/>
          <w:bCs/>
          <w:i/>
          <w:iCs/>
          <w:sz w:val="24"/>
          <w:lang w:val="en-AU"/>
        </w:rPr>
      </w:pPr>
      <w:r w:rsidRPr="005F0FBD">
        <w:rPr>
          <w:rFonts w:ascii="Arial" w:hAnsi="Arial" w:cs="Arial"/>
          <w:b/>
          <w:bCs/>
          <w:i/>
          <w:iCs/>
          <w:sz w:val="24"/>
          <w:lang w:val="en-AU"/>
        </w:rPr>
        <w:t xml:space="preserve">CCRWP </w:t>
      </w:r>
      <w:r>
        <w:rPr>
          <w:rFonts w:ascii="Arial" w:hAnsi="Arial" w:cs="Arial"/>
          <w:b/>
          <w:bCs/>
          <w:i/>
          <w:iCs/>
          <w:sz w:val="24"/>
          <w:lang w:val="en-AU"/>
        </w:rPr>
        <w:t>science</w:t>
      </w:r>
      <w:r w:rsidRPr="005F0FBD">
        <w:rPr>
          <w:rFonts w:ascii="Arial" w:hAnsi="Arial" w:cs="Arial"/>
          <w:b/>
          <w:bCs/>
          <w:i/>
          <w:iCs/>
          <w:sz w:val="24"/>
          <w:lang w:val="en-AU"/>
        </w:rPr>
        <w:t xml:space="preserve"> needs</w:t>
      </w:r>
    </w:p>
    <w:p w14:paraId="37ACF444" w14:textId="77777777" w:rsidR="00D343E8" w:rsidRPr="00521525" w:rsidRDefault="00D343E8" w:rsidP="00D343E8">
      <w:pPr>
        <w:rPr>
          <w:lang w:val="en-AU"/>
        </w:rPr>
      </w:pPr>
      <w:r w:rsidRPr="00521525">
        <w:rPr>
          <w:lang w:val="en-AU"/>
        </w:rPr>
        <w:t xml:space="preserve">As stated </w:t>
      </w:r>
      <w:r>
        <w:rPr>
          <w:lang w:val="en-AU"/>
        </w:rPr>
        <w:t>earlier</w:t>
      </w:r>
      <w:r w:rsidRPr="00521525">
        <w:rPr>
          <w:lang w:val="en-AU"/>
        </w:rPr>
        <w:t xml:space="preserve">, the CCRWP </w:t>
      </w:r>
      <w:r>
        <w:rPr>
          <w:lang w:val="en-AU"/>
        </w:rPr>
        <w:t>science</w:t>
      </w:r>
      <w:r w:rsidRPr="00521525">
        <w:rPr>
          <w:lang w:val="en-AU"/>
        </w:rPr>
        <w:t xml:space="preserve"> needs</w:t>
      </w:r>
      <w:r>
        <w:rPr>
          <w:lang w:val="en-AU"/>
        </w:rPr>
        <w:t xml:space="preserve"> were removed from the CCRWP, and</w:t>
      </w:r>
      <w:r w:rsidRPr="00521525">
        <w:rPr>
          <w:lang w:val="en-AU"/>
        </w:rPr>
        <w:t xml:space="preserve"> </w:t>
      </w:r>
      <w:r>
        <w:rPr>
          <w:lang w:val="en-AU"/>
        </w:rPr>
        <w:t xml:space="preserve">instead combined with the ‘Science knowledge and information needs’ identified in the current CEP 5-Year Work Plan (2019) </w:t>
      </w:r>
      <w:r w:rsidRPr="00521525">
        <w:rPr>
          <w:lang w:val="en-AU"/>
        </w:rPr>
        <w:t xml:space="preserve">(see: </w:t>
      </w:r>
      <w:r w:rsidRPr="00EC5031">
        <w:rPr>
          <w:b/>
          <w:bCs/>
          <w:lang w:val="en-AU"/>
        </w:rPr>
        <w:t>Attachment B</w:t>
      </w:r>
      <w:r w:rsidRPr="00521525">
        <w:rPr>
          <w:lang w:val="en-AU"/>
        </w:rPr>
        <w:t>)</w:t>
      </w:r>
      <w:r>
        <w:rPr>
          <w:lang w:val="en-AU"/>
        </w:rPr>
        <w:t>.  This was done</w:t>
      </w:r>
      <w:r w:rsidRPr="00521525">
        <w:rPr>
          <w:lang w:val="en-AU"/>
        </w:rPr>
        <w:t xml:space="preserve"> to help facilitate communication of </w:t>
      </w:r>
      <w:r>
        <w:rPr>
          <w:lang w:val="en-AU"/>
        </w:rPr>
        <w:t xml:space="preserve">CEP </w:t>
      </w:r>
      <w:r w:rsidRPr="00521525">
        <w:rPr>
          <w:lang w:val="en-AU"/>
        </w:rPr>
        <w:t xml:space="preserve">science </w:t>
      </w:r>
      <w:r>
        <w:rPr>
          <w:lang w:val="en-AU"/>
        </w:rPr>
        <w:t>needs</w:t>
      </w:r>
      <w:r w:rsidRPr="00521525">
        <w:rPr>
          <w:lang w:val="en-AU"/>
        </w:rPr>
        <w:t xml:space="preserve"> to researchers</w:t>
      </w:r>
      <w:r>
        <w:rPr>
          <w:lang w:val="en-AU"/>
        </w:rPr>
        <w:t xml:space="preserve"> (for example, in SCAR, WMO and other research organisations)</w:t>
      </w:r>
      <w:r w:rsidRPr="00521525">
        <w:rPr>
          <w:lang w:val="en-AU"/>
        </w:rPr>
        <w:t xml:space="preserve"> in a succinct </w:t>
      </w:r>
      <w:r>
        <w:rPr>
          <w:lang w:val="en-AU"/>
        </w:rPr>
        <w:t xml:space="preserve">and easily understood </w:t>
      </w:r>
      <w:r w:rsidRPr="00521525">
        <w:rPr>
          <w:lang w:val="en-AU"/>
        </w:rPr>
        <w:t>manner.</w:t>
      </w:r>
      <w:r>
        <w:rPr>
          <w:lang w:val="en-AU"/>
        </w:rPr>
        <w:t xml:space="preserve">  Care was taken to try to minimise duplication and consolidate science needs within the final document.</w:t>
      </w:r>
    </w:p>
    <w:p w14:paraId="0123A57B" w14:textId="77777777" w:rsidR="00D343E8" w:rsidRDefault="00D343E8" w:rsidP="00D343E8">
      <w:pPr>
        <w:rPr>
          <w:rFonts w:eastAsia="TimesNewRomanPSMT"/>
          <w:b/>
          <w:iCs/>
        </w:rPr>
      </w:pPr>
    </w:p>
    <w:p w14:paraId="4F900BD1" w14:textId="77777777" w:rsidR="00D343E8" w:rsidRPr="00FE517F" w:rsidRDefault="00D343E8" w:rsidP="00D343E8">
      <w:pPr>
        <w:rPr>
          <w:rFonts w:eastAsia="TimesNewRomanPSMT"/>
          <w:b/>
          <w:iCs/>
        </w:rPr>
      </w:pPr>
      <w:r w:rsidRPr="0055125B">
        <w:rPr>
          <w:rFonts w:eastAsia="TimesNewRomanPSMT"/>
          <w:b/>
          <w:iCs/>
        </w:rPr>
        <w:t xml:space="preserve">Recommendation:  The CEP is asked to endorse the </w:t>
      </w:r>
      <w:r>
        <w:rPr>
          <w:rFonts w:eastAsia="TimesNewRomanPSMT"/>
          <w:b/>
          <w:iCs/>
        </w:rPr>
        <w:t>addition of the identified CCRWP science needs to those of the CEP 5-Year Work Plan (Attachment B)</w:t>
      </w:r>
    </w:p>
    <w:p w14:paraId="64222A3D" w14:textId="77777777" w:rsidR="00D343E8" w:rsidRPr="001B7EEB" w:rsidRDefault="00D343E8" w:rsidP="00D343E8">
      <w:pPr>
        <w:spacing w:before="480" w:after="120"/>
        <w:rPr>
          <w:rFonts w:ascii="Arial" w:hAnsi="Arial" w:cs="Arial"/>
          <w:b/>
          <w:bCs/>
          <w:i/>
          <w:iCs/>
          <w:sz w:val="24"/>
          <w:lang w:val="en-AU"/>
        </w:rPr>
      </w:pPr>
      <w:r w:rsidRPr="001B7EEB">
        <w:rPr>
          <w:rFonts w:ascii="Arial" w:hAnsi="Arial" w:cs="Arial"/>
          <w:b/>
          <w:bCs/>
          <w:i/>
          <w:iCs/>
          <w:sz w:val="24"/>
          <w:lang w:val="en-AU"/>
        </w:rPr>
        <w:t xml:space="preserve">Mechanism for CEP to receive best available science to inform its advice to the </w:t>
      </w:r>
      <w:proofErr w:type="gramStart"/>
      <w:r w:rsidRPr="001B7EEB">
        <w:rPr>
          <w:rFonts w:ascii="Arial" w:hAnsi="Arial" w:cs="Arial"/>
          <w:b/>
          <w:bCs/>
          <w:i/>
          <w:iCs/>
          <w:sz w:val="24"/>
          <w:lang w:val="en-AU"/>
        </w:rPr>
        <w:t>ATCM</w:t>
      </w:r>
      <w:proofErr w:type="gramEnd"/>
    </w:p>
    <w:p w14:paraId="0DBB5F3F" w14:textId="77777777" w:rsidR="00D343E8" w:rsidRDefault="00D343E8" w:rsidP="00D343E8">
      <w:pPr>
        <w:rPr>
          <w:lang w:val="en-AU"/>
        </w:rPr>
      </w:pPr>
      <w:r w:rsidRPr="00F11F29">
        <w:rPr>
          <w:lang w:val="en-AU"/>
        </w:rPr>
        <w:t>A great deal of consideration was given by the SGCCR into the most effective mechanism by which the best available science could most readily be made available to the CEP and ATCM to inform implementation of the CCRWP.  It was agreed that the SGCCR itself was not best place</w:t>
      </w:r>
      <w:r>
        <w:rPr>
          <w:lang w:val="en-AU"/>
        </w:rPr>
        <w:t>d</w:t>
      </w:r>
      <w:r w:rsidRPr="00F11F29">
        <w:rPr>
          <w:lang w:val="en-AU"/>
        </w:rPr>
        <w:t xml:space="preserve"> to synthesis available </w:t>
      </w:r>
      <w:r>
        <w:rPr>
          <w:lang w:val="en-AU"/>
        </w:rPr>
        <w:t>science</w:t>
      </w:r>
      <w:r w:rsidRPr="00F11F29">
        <w:rPr>
          <w:lang w:val="en-AU"/>
        </w:rPr>
        <w:t>, but rather other science bodies might be better able to perform this task</w:t>
      </w:r>
      <w:r>
        <w:rPr>
          <w:lang w:val="en-AU"/>
        </w:rPr>
        <w:t xml:space="preserve">, including for example, the World Meteorological Office (WMO), SCAR and some of its associated groups including Integrating Climate and Ecosystem Dynamics (ICED), the Southern Ocean Observing System (SOOS) and the Antarctic Nearshore and Terrestrial Observing System (ANTOS). </w:t>
      </w:r>
    </w:p>
    <w:p w14:paraId="6841BBBE" w14:textId="77777777" w:rsidR="00D343E8" w:rsidRDefault="00D343E8" w:rsidP="00D343E8">
      <w:pPr>
        <w:rPr>
          <w:lang w:val="en-AU"/>
        </w:rPr>
      </w:pPr>
    </w:p>
    <w:p w14:paraId="3CCC4948" w14:textId="77777777" w:rsidR="00D343E8" w:rsidRPr="005B4FB2" w:rsidRDefault="00D343E8" w:rsidP="00D343E8">
      <w:r w:rsidRPr="00F11F29">
        <w:rPr>
          <w:lang w:val="en-AU"/>
        </w:rPr>
        <w:t>The Scientific Committee on Antarctic Research (SCAR)</w:t>
      </w:r>
      <w:proofErr w:type="gramStart"/>
      <w:r>
        <w:rPr>
          <w:lang w:val="en-AU"/>
        </w:rPr>
        <w:t>, in particular,</w:t>
      </w:r>
      <w:r w:rsidRPr="00F11F29">
        <w:rPr>
          <w:lang w:val="en-AU"/>
        </w:rPr>
        <w:t xml:space="preserve"> is</w:t>
      </w:r>
      <w:proofErr w:type="gramEnd"/>
      <w:r w:rsidRPr="00F11F29">
        <w:rPr>
          <w:lang w:val="en-AU"/>
        </w:rPr>
        <w:t xml:space="preserve"> well placed to provide the CEP and ATCM with independent scientific advice, and has several established mechanisms to do so, including via the SCAR Lecture and</w:t>
      </w:r>
      <w:r>
        <w:rPr>
          <w:lang w:val="en-AU"/>
        </w:rPr>
        <w:t xml:space="preserve"> policy papers</w:t>
      </w:r>
      <w:r w:rsidRPr="00F11F29">
        <w:rPr>
          <w:lang w:val="en-AU"/>
        </w:rPr>
        <w:t xml:space="preserve"> to the CEP/ATCM. More recently, SCAR has taken over the management of the Antarctic Environments Portal (</w:t>
      </w:r>
      <w:hyperlink r:id="rId12" w:history="1">
        <w:r w:rsidRPr="00F11F29">
          <w:rPr>
            <w:rStyle w:val="Hipervnculo"/>
            <w:lang w:val="en-AU"/>
          </w:rPr>
          <w:t>www.environments.aq</w:t>
        </w:r>
      </w:hyperlink>
      <w:r w:rsidRPr="00F11F29">
        <w:rPr>
          <w:lang w:val="en-AU"/>
        </w:rPr>
        <w:t>)</w:t>
      </w:r>
      <w:r>
        <w:rPr>
          <w:lang w:val="en-AU"/>
        </w:rPr>
        <w:t xml:space="preserve">, which </w:t>
      </w:r>
      <w:r w:rsidRPr="00261812">
        <w:t>was launched in 2015 and endorsed by the ATCM through Resolution 3 (2015).</w:t>
      </w:r>
      <w:r w:rsidRPr="00F11F29">
        <w:t xml:space="preserve"> The Antarctic Environments Portal links Antarctic science and Antarctic policy, by providing easy access to information on a range of scientific issues relevant to Antarctic environmental governance and management. All scientific information available through the Portal is prepared by experts and goes through a rigorous </w:t>
      </w:r>
      <w:r>
        <w:t xml:space="preserve">peer-review and </w:t>
      </w:r>
      <w:r w:rsidRPr="00F11F29">
        <w:t>editorial process before publication.  The Portal can act as a means of supporting SCAR’s role in providing independent and objective scientific advice to the Antarc</w:t>
      </w:r>
      <w:r w:rsidRPr="00261812">
        <w:t>tic Treaty Consultative Me</w:t>
      </w:r>
      <w:r w:rsidRPr="006F73BE">
        <w:t xml:space="preserve">etings and other bodies.  The Portal </w:t>
      </w:r>
      <w:r w:rsidRPr="006F73BE">
        <w:lastRenderedPageBreak/>
        <w:t xml:space="preserve">already includes state-of-knowledge reports on non-native species (Issue 1 of the </w:t>
      </w:r>
      <w:r>
        <w:t xml:space="preserve">draft </w:t>
      </w:r>
      <w:r w:rsidRPr="006F73BE">
        <w:t xml:space="preserve">CCRWP), the vulnerability of Southern Ocean biota to climate change (Issue 3 of the </w:t>
      </w:r>
      <w:r>
        <w:t xml:space="preserve">draft </w:t>
      </w:r>
      <w:r w:rsidRPr="006F73BE">
        <w:t>CCRWP) and articles on key species (e.g.</w:t>
      </w:r>
      <w:r>
        <w:t>,</w:t>
      </w:r>
      <w:r w:rsidRPr="006F73BE">
        <w:t xml:space="preserve"> penguins and seals; Issue 4 of the</w:t>
      </w:r>
      <w:r>
        <w:t xml:space="preserve"> draft</w:t>
      </w:r>
      <w:r w:rsidRPr="006F73BE">
        <w:t xml:space="preserve"> CCRWP).</w:t>
      </w:r>
    </w:p>
    <w:p w14:paraId="04242028" w14:textId="77777777" w:rsidR="00D343E8" w:rsidRDefault="00D343E8" w:rsidP="00D343E8">
      <w:pPr>
        <w:rPr>
          <w:lang w:val="en-AU"/>
        </w:rPr>
      </w:pPr>
    </w:p>
    <w:p w14:paraId="78F25F91" w14:textId="77777777" w:rsidR="00D343E8" w:rsidRPr="00300E57" w:rsidRDefault="00D343E8" w:rsidP="00D343E8">
      <w:r w:rsidRPr="005B4FB2">
        <w:rPr>
          <w:lang w:val="en-AU"/>
        </w:rPr>
        <w:t xml:space="preserve">During the intersessional period, a process was developed whereby the SGCCR could request </w:t>
      </w:r>
      <w:r>
        <w:rPr>
          <w:lang w:val="en-AU"/>
        </w:rPr>
        <w:t>I</w:t>
      </w:r>
      <w:r w:rsidRPr="005B4FB2">
        <w:rPr>
          <w:lang w:val="en-AU"/>
        </w:rPr>
        <w:t xml:space="preserve">nformation </w:t>
      </w:r>
      <w:r>
        <w:rPr>
          <w:lang w:val="en-AU"/>
        </w:rPr>
        <w:t>S</w:t>
      </w:r>
      <w:r w:rsidRPr="005B4FB2">
        <w:rPr>
          <w:lang w:val="en-AU"/>
        </w:rPr>
        <w:t xml:space="preserve">ummaries relevant to the implementation of the CCRWP from relevant science bodies (see </w:t>
      </w:r>
      <w:r w:rsidRPr="005B4FB2">
        <w:rPr>
          <w:b/>
          <w:bCs/>
          <w:lang w:val="en-AU"/>
        </w:rPr>
        <w:t>Attachment C</w:t>
      </w:r>
      <w:r w:rsidRPr="005B4FB2">
        <w:rPr>
          <w:lang w:val="en-AU"/>
        </w:rPr>
        <w:t>).  The process diagram describes provision of information via (</w:t>
      </w:r>
      <w:proofErr w:type="spellStart"/>
      <w:r w:rsidRPr="005B4FB2">
        <w:rPr>
          <w:lang w:val="en-AU"/>
        </w:rPr>
        <w:t>i</w:t>
      </w:r>
      <w:proofErr w:type="spellEnd"/>
      <w:r w:rsidRPr="005B4FB2">
        <w:rPr>
          <w:lang w:val="en-AU"/>
        </w:rPr>
        <w:t xml:space="preserve">) the SCAR Antarctic Environments Portal and (ii) other science bodies.  Close collaborative working by the SGCCR and SCAR has shown that </w:t>
      </w:r>
      <w:r w:rsidRPr="005B4FB2">
        <w:t>the Portal could support the SGCCR by acting as a central repository of information of direct relevance to the CCRW</w:t>
      </w:r>
      <w:r>
        <w:t>P.  Furthermore,</w:t>
      </w:r>
      <w:r w:rsidRPr="005B4FB2">
        <w:t xml:space="preserve"> SCAR could commission and publish new Information Summaries and other knowledge resources as required by the SGCCR.  </w:t>
      </w:r>
      <w:r w:rsidRPr="005B4FB2">
        <w:rPr>
          <w:lang w:val="en-AU"/>
        </w:rPr>
        <w:t>The SGCCR would, of course, be open to receiving and considering relevant scientific information that has not specifically been requested by the SGCCR, and scientific information which might take a form other than an Information Summary</w:t>
      </w:r>
      <w:r>
        <w:rPr>
          <w:lang w:val="en-AU"/>
        </w:rPr>
        <w:t>,</w:t>
      </w:r>
      <w:r w:rsidRPr="005B4FB2">
        <w:rPr>
          <w:lang w:val="en-AU"/>
        </w:rPr>
        <w:t xml:space="preserve"> as commonly applied for the Antarctic Environments Portal.</w:t>
      </w:r>
    </w:p>
    <w:p w14:paraId="054930FF" w14:textId="77777777" w:rsidR="00D343E8" w:rsidRPr="00C1530C" w:rsidRDefault="00D343E8" w:rsidP="00D343E8">
      <w:pPr>
        <w:spacing w:before="480" w:after="120"/>
        <w:rPr>
          <w:rFonts w:ascii="Arial" w:hAnsi="Arial" w:cs="Arial"/>
          <w:b/>
          <w:bCs/>
          <w:i/>
          <w:iCs/>
          <w:sz w:val="24"/>
          <w:lang w:val="en-AU"/>
        </w:rPr>
      </w:pPr>
      <w:r w:rsidRPr="00C1530C">
        <w:rPr>
          <w:rFonts w:ascii="Arial" w:hAnsi="Arial" w:cs="Arial"/>
          <w:b/>
          <w:bCs/>
          <w:i/>
          <w:iCs/>
          <w:sz w:val="24"/>
          <w:lang w:val="en-AU"/>
        </w:rPr>
        <w:t>Communication</w:t>
      </w:r>
    </w:p>
    <w:p w14:paraId="63E948BA" w14:textId="77777777" w:rsidR="00D343E8" w:rsidRPr="003E502F" w:rsidRDefault="00D343E8" w:rsidP="00D343E8">
      <w:pPr>
        <w:rPr>
          <w:u w:val="single"/>
          <w:lang w:val="en-AU"/>
        </w:rPr>
      </w:pPr>
      <w:r w:rsidRPr="003E502F">
        <w:rPr>
          <w:u w:val="single"/>
          <w:lang w:val="en-AU"/>
        </w:rPr>
        <w:t>CCRWP presentation</w:t>
      </w:r>
    </w:p>
    <w:p w14:paraId="0797FA37" w14:textId="77777777" w:rsidR="00D343E8" w:rsidRPr="003E502F" w:rsidRDefault="00D343E8" w:rsidP="00D343E8">
      <w:pPr>
        <w:rPr>
          <w:lang w:val="nb-NO"/>
        </w:rPr>
      </w:pPr>
      <w:r w:rsidRPr="003E502F">
        <w:rPr>
          <w:lang w:val="en-AU"/>
        </w:rPr>
        <w:t>During earlier discussion</w:t>
      </w:r>
      <w:r>
        <w:rPr>
          <w:lang w:val="en-AU"/>
        </w:rPr>
        <w:t>s</w:t>
      </w:r>
      <w:r w:rsidRPr="003E502F">
        <w:rPr>
          <w:lang w:val="en-AU"/>
        </w:rPr>
        <w:t xml:space="preserve"> (reported in ATCM XLII WP36), the SGCCR identified the need to communicate the content of the CCRWP and work of the SGCCR to a wider audience.  The SGCCR saw merit in </w:t>
      </w:r>
      <w:r>
        <w:rPr>
          <w:lang w:val="en-AU"/>
        </w:rPr>
        <w:t xml:space="preserve">the </w:t>
      </w:r>
      <w:r w:rsidRPr="003E502F">
        <w:rPr>
          <w:lang w:val="en-AU"/>
        </w:rPr>
        <w:t>produc</w:t>
      </w:r>
      <w:r>
        <w:rPr>
          <w:lang w:val="en-AU"/>
        </w:rPr>
        <w:t>tion of</w:t>
      </w:r>
      <w:r w:rsidRPr="003E502F">
        <w:rPr>
          <w:lang w:val="en-AU"/>
        </w:rPr>
        <w:t xml:space="preserve"> a Power</w:t>
      </w:r>
      <w:r>
        <w:rPr>
          <w:lang w:val="en-AU"/>
        </w:rPr>
        <w:t>P</w:t>
      </w:r>
      <w:r w:rsidRPr="003E502F">
        <w:rPr>
          <w:lang w:val="en-AU"/>
        </w:rPr>
        <w:t>oint presentation to fulf</w:t>
      </w:r>
      <w:r>
        <w:rPr>
          <w:lang w:val="en-AU"/>
        </w:rPr>
        <w:t>i</w:t>
      </w:r>
      <w:r w:rsidRPr="003E502F">
        <w:rPr>
          <w:lang w:val="en-AU"/>
        </w:rPr>
        <w:t xml:space="preserve">l this need.  However, given that the draft </w:t>
      </w:r>
      <w:r>
        <w:rPr>
          <w:lang w:val="en-AU"/>
        </w:rPr>
        <w:t xml:space="preserve">updated </w:t>
      </w:r>
      <w:r w:rsidRPr="003E502F">
        <w:rPr>
          <w:lang w:val="en-AU"/>
        </w:rPr>
        <w:t xml:space="preserve">CCRWP has not received endorsement by the CEP and ATCM, the SGCCR </w:t>
      </w:r>
      <w:r>
        <w:rPr>
          <w:lang w:val="en-AU"/>
        </w:rPr>
        <w:t xml:space="preserve">has </w:t>
      </w:r>
      <w:r w:rsidRPr="003E502F">
        <w:rPr>
          <w:lang w:val="en-AU"/>
        </w:rPr>
        <w:t>produced two similar Power</w:t>
      </w:r>
      <w:r>
        <w:rPr>
          <w:lang w:val="en-AU"/>
        </w:rPr>
        <w:t>P</w:t>
      </w:r>
      <w:r w:rsidRPr="003E502F">
        <w:rPr>
          <w:lang w:val="en-AU"/>
        </w:rPr>
        <w:t>oint presentation, one</w:t>
      </w:r>
      <w:r>
        <w:rPr>
          <w:lang w:val="en-AU"/>
        </w:rPr>
        <w:t xml:space="preserve"> referencing</w:t>
      </w:r>
      <w:r w:rsidRPr="003E502F">
        <w:rPr>
          <w:lang w:val="en-AU"/>
        </w:rPr>
        <w:t xml:space="preserve"> the current (2015) version of the CCRWP (</w:t>
      </w:r>
      <w:r w:rsidRPr="003E502F">
        <w:rPr>
          <w:b/>
          <w:bCs/>
          <w:lang w:val="en-AU"/>
        </w:rPr>
        <w:t>Attachment D</w:t>
      </w:r>
      <w:r w:rsidRPr="003E502F">
        <w:rPr>
          <w:lang w:val="en-AU"/>
        </w:rPr>
        <w:t xml:space="preserve">) and the </w:t>
      </w:r>
      <w:r>
        <w:rPr>
          <w:lang w:val="en-AU"/>
        </w:rPr>
        <w:t>other</w:t>
      </w:r>
      <w:r w:rsidRPr="003E502F">
        <w:rPr>
          <w:lang w:val="en-AU"/>
        </w:rPr>
        <w:t xml:space="preserve"> </w:t>
      </w:r>
      <w:r>
        <w:rPr>
          <w:lang w:val="en-AU"/>
        </w:rPr>
        <w:t>referencing</w:t>
      </w:r>
      <w:r w:rsidRPr="003E502F">
        <w:rPr>
          <w:lang w:val="en-AU"/>
        </w:rPr>
        <w:t xml:space="preserve"> the draft updated and reformatted CCRWP (2021) (</w:t>
      </w:r>
      <w:r w:rsidRPr="003E502F">
        <w:rPr>
          <w:b/>
          <w:bCs/>
          <w:lang w:val="en-AU"/>
        </w:rPr>
        <w:t>Attachment E</w:t>
      </w:r>
      <w:r w:rsidRPr="003E502F">
        <w:rPr>
          <w:lang w:val="en-AU"/>
        </w:rPr>
        <w:t xml:space="preserve">).  </w:t>
      </w:r>
      <w:r>
        <w:rPr>
          <w:lang w:val="en-AU"/>
        </w:rPr>
        <w:t>Both versions of the</w:t>
      </w:r>
      <w:r w:rsidRPr="003E502F">
        <w:rPr>
          <w:lang w:val="en-AU"/>
        </w:rPr>
        <w:t xml:space="preserve"> presentation briefly describe c</w:t>
      </w:r>
      <w:r w:rsidRPr="00C8655D">
        <w:rPr>
          <w:lang w:val="en-AU"/>
        </w:rPr>
        <w:t>limate change in Antarctic</w:t>
      </w:r>
      <w:r w:rsidRPr="00C8655D">
        <w:rPr>
          <w:lang w:val="nb-NO"/>
        </w:rPr>
        <w:t>a</w:t>
      </w:r>
      <w:r w:rsidRPr="003E502F">
        <w:rPr>
          <w:lang w:val="nb-NO"/>
        </w:rPr>
        <w:t>,</w:t>
      </w:r>
      <w:r w:rsidRPr="003E502F">
        <w:rPr>
          <w:lang w:val="en-AU"/>
        </w:rPr>
        <w:t xml:space="preserve"> </w:t>
      </w:r>
      <w:r w:rsidRPr="003E502F">
        <w:rPr>
          <w:lang w:val="nb-NO"/>
        </w:rPr>
        <w:t>t</w:t>
      </w:r>
      <w:r w:rsidRPr="00C8655D">
        <w:rPr>
          <w:lang w:val="nb-NO"/>
        </w:rPr>
        <w:t>he CEP</w:t>
      </w:r>
      <w:r>
        <w:rPr>
          <w:lang w:val="nb-NO"/>
        </w:rPr>
        <w:t>’</w:t>
      </w:r>
      <w:r w:rsidRPr="00C8655D">
        <w:rPr>
          <w:lang w:val="nb-NO"/>
        </w:rPr>
        <w:t>s engagement with climate change issues</w:t>
      </w:r>
      <w:r w:rsidRPr="003E502F">
        <w:rPr>
          <w:lang w:val="nb-NO"/>
        </w:rPr>
        <w:t>,</w:t>
      </w:r>
      <w:r w:rsidRPr="003E502F">
        <w:rPr>
          <w:lang w:val="en-AU"/>
        </w:rPr>
        <w:t xml:space="preserve"> </w:t>
      </w:r>
      <w:r w:rsidRPr="003E502F">
        <w:rPr>
          <w:lang w:val="nb-NO"/>
        </w:rPr>
        <w:t>t</w:t>
      </w:r>
      <w:r w:rsidRPr="00C8655D">
        <w:rPr>
          <w:lang w:val="nb-NO"/>
        </w:rPr>
        <w:t>he CCRWP</w:t>
      </w:r>
      <w:r w:rsidRPr="003E502F">
        <w:rPr>
          <w:lang w:val="nb-NO"/>
        </w:rPr>
        <w:t>, the SGCCR and the role of science in supporting the work of the CEP on climate change issues.</w:t>
      </w:r>
    </w:p>
    <w:p w14:paraId="6C66C002" w14:textId="77777777" w:rsidR="00D343E8" w:rsidRPr="003E502F" w:rsidRDefault="00D343E8" w:rsidP="00D343E8">
      <w:pPr>
        <w:rPr>
          <w:lang w:val="en-AU"/>
        </w:rPr>
      </w:pPr>
    </w:p>
    <w:p w14:paraId="3CE0F720" w14:textId="77777777" w:rsidR="00D343E8" w:rsidRPr="003E502F" w:rsidRDefault="00D343E8" w:rsidP="00D343E8">
      <w:pPr>
        <w:rPr>
          <w:u w:val="single"/>
          <w:lang w:val="en-AU"/>
        </w:rPr>
      </w:pPr>
      <w:r w:rsidRPr="003E502F">
        <w:rPr>
          <w:u w:val="single"/>
          <w:lang w:val="en-AU"/>
        </w:rPr>
        <w:t>CCRWP webpages on the ATS website</w:t>
      </w:r>
    </w:p>
    <w:p w14:paraId="1D755DC5" w14:textId="77777777" w:rsidR="00D343E8" w:rsidRDefault="00D343E8" w:rsidP="00D343E8">
      <w:pPr>
        <w:rPr>
          <w:lang w:val="en-AU"/>
        </w:rPr>
      </w:pPr>
      <w:r w:rsidRPr="003E502F">
        <w:rPr>
          <w:lang w:val="en-AU"/>
        </w:rPr>
        <w:t>To further communicate the CCRWP and the work of the SGCCR, the group has commenced the preparation of potential</w:t>
      </w:r>
      <w:r>
        <w:rPr>
          <w:lang w:val="en-AU"/>
        </w:rPr>
        <w:t>ly</w:t>
      </w:r>
      <w:r w:rsidRPr="003E502F">
        <w:rPr>
          <w:lang w:val="en-AU"/>
        </w:rPr>
        <w:t xml:space="preserve"> </w:t>
      </w:r>
      <w:r>
        <w:rPr>
          <w:lang w:val="en-AU"/>
        </w:rPr>
        <w:t>useful</w:t>
      </w:r>
      <w:r w:rsidRPr="003E502F">
        <w:rPr>
          <w:lang w:val="en-AU"/>
        </w:rPr>
        <w:t xml:space="preserve"> content for the ATS webpage.  </w:t>
      </w:r>
      <w:r>
        <w:rPr>
          <w:lang w:val="en-AU"/>
        </w:rPr>
        <w:t>New</w:t>
      </w:r>
      <w:r w:rsidRPr="003E502F">
        <w:rPr>
          <w:lang w:val="en-AU"/>
        </w:rPr>
        <w:t xml:space="preserve"> </w:t>
      </w:r>
      <w:r>
        <w:rPr>
          <w:lang w:val="en-AU"/>
        </w:rPr>
        <w:t>CCRWP web</w:t>
      </w:r>
      <w:r w:rsidRPr="003E502F">
        <w:rPr>
          <w:lang w:val="en-AU"/>
        </w:rPr>
        <w:t>pages w</w:t>
      </w:r>
      <w:r>
        <w:rPr>
          <w:lang w:val="en-AU"/>
        </w:rPr>
        <w:t>ould</w:t>
      </w:r>
      <w:r w:rsidRPr="003E502F">
        <w:rPr>
          <w:lang w:val="en-AU"/>
        </w:rPr>
        <w:t xml:space="preserve"> allow information relevant to the CCRWP to be held in one place, including the CCRWP, details of the SGCCR (e.g., Terms of Reference, working methods, process for attaining membership), </w:t>
      </w:r>
      <w:r>
        <w:rPr>
          <w:lang w:val="en-AU"/>
        </w:rPr>
        <w:t xml:space="preserve">communication resources (e.g., CCRWP presentations) </w:t>
      </w:r>
      <w:r w:rsidRPr="003E502F">
        <w:rPr>
          <w:lang w:val="en-AU"/>
        </w:rPr>
        <w:t>and links to relevant information sources.</w:t>
      </w:r>
    </w:p>
    <w:p w14:paraId="3A9B0B8F" w14:textId="77777777" w:rsidR="00D343E8" w:rsidRPr="003E502F" w:rsidRDefault="00D343E8" w:rsidP="00D343E8">
      <w:pPr>
        <w:rPr>
          <w:lang w:val="en-AU"/>
        </w:rPr>
      </w:pPr>
    </w:p>
    <w:p w14:paraId="6917413E" w14:textId="77777777" w:rsidR="00D343E8" w:rsidRPr="008B5D37" w:rsidRDefault="00D343E8" w:rsidP="00D343E8">
      <w:pPr>
        <w:rPr>
          <w:b/>
          <w:bCs/>
          <w:lang w:val="en-AU"/>
        </w:rPr>
      </w:pPr>
      <w:r w:rsidRPr="006D2E7E">
        <w:rPr>
          <w:b/>
          <w:bCs/>
          <w:lang w:val="en-AU"/>
        </w:rPr>
        <w:t>Recommendation:  The SGCCR ask</w:t>
      </w:r>
      <w:r>
        <w:rPr>
          <w:b/>
          <w:bCs/>
          <w:lang w:val="en-AU"/>
        </w:rPr>
        <w:t>s</w:t>
      </w:r>
      <w:r w:rsidRPr="006D2E7E">
        <w:rPr>
          <w:b/>
          <w:bCs/>
          <w:lang w:val="en-AU"/>
        </w:rPr>
        <w:t xml:space="preserve"> the Committee to recommend to the ATCM that the Antarctic Treaty Secretariat provide support for the development of webpages relevant to the communication of the CCRWP</w:t>
      </w:r>
      <w:r>
        <w:rPr>
          <w:b/>
          <w:bCs/>
          <w:lang w:val="en-AU"/>
        </w:rPr>
        <w:t>,</w:t>
      </w:r>
      <w:r w:rsidRPr="006D2E7E">
        <w:rPr>
          <w:b/>
          <w:bCs/>
          <w:lang w:val="en-AU"/>
        </w:rPr>
        <w:t xml:space="preserve"> </w:t>
      </w:r>
      <w:r w:rsidRPr="00B7117D">
        <w:rPr>
          <w:b/>
          <w:szCs w:val="22"/>
          <w:lang w:val="en-AU"/>
        </w:rPr>
        <w:t xml:space="preserve">including translation of CCRWP presentations, </w:t>
      </w:r>
      <w:r w:rsidRPr="006D2E7E">
        <w:rPr>
          <w:b/>
          <w:bCs/>
          <w:lang w:val="en-AU"/>
        </w:rPr>
        <w:t>in collaboration with the SGCCR.</w:t>
      </w:r>
    </w:p>
    <w:p w14:paraId="3C2ECEA0" w14:textId="77777777" w:rsidR="00D343E8" w:rsidRPr="00111145" w:rsidRDefault="00D343E8" w:rsidP="00D343E8">
      <w:pPr>
        <w:spacing w:before="480" w:after="120"/>
        <w:rPr>
          <w:rFonts w:ascii="Arial" w:hAnsi="Arial" w:cs="Arial"/>
          <w:b/>
          <w:i/>
          <w:iCs/>
          <w:sz w:val="24"/>
        </w:rPr>
      </w:pPr>
      <w:r w:rsidRPr="00111145">
        <w:rPr>
          <w:rFonts w:ascii="Arial" w:hAnsi="Arial" w:cs="Arial"/>
          <w:b/>
          <w:i/>
          <w:iCs/>
          <w:sz w:val="24"/>
        </w:rPr>
        <w:t>Review of the SGCCR</w:t>
      </w:r>
    </w:p>
    <w:p w14:paraId="6AB9A790" w14:textId="77777777" w:rsidR="00D343E8" w:rsidRDefault="00D343E8" w:rsidP="00D343E8">
      <w:pPr>
        <w:rPr>
          <w:i/>
          <w:lang w:val="en-US"/>
        </w:rPr>
      </w:pPr>
      <w:r>
        <w:t>T</w:t>
      </w:r>
      <w:r w:rsidRPr="00FE232D">
        <w:t>he ATCM approved the establishment of the S</w:t>
      </w:r>
      <w:r>
        <w:t>GCCR t</w:t>
      </w:r>
      <w:r w:rsidRPr="00FE232D">
        <w:t xml:space="preserve">hrough Decision 1 (2017).  The Framework and Terms of Reference for the SGCCR were set out in </w:t>
      </w:r>
      <w:r w:rsidRPr="00FE232D">
        <w:rPr>
          <w:lang w:val="en-US"/>
        </w:rPr>
        <w:t xml:space="preserve">Appendix 2 to the Final Report of CEP XX: </w:t>
      </w:r>
      <w:r w:rsidRPr="00FE232D">
        <w:rPr>
          <w:i/>
          <w:lang w:val="en-US"/>
        </w:rPr>
        <w:t xml:space="preserve">Subsidiary Group on Climate Change Response – Framework.  </w:t>
      </w:r>
      <w:r w:rsidRPr="00FE232D">
        <w:rPr>
          <w:lang w:val="en-US"/>
        </w:rPr>
        <w:t>Within Appendix 2,</w:t>
      </w:r>
      <w:r w:rsidRPr="00FE232D">
        <w:rPr>
          <w:i/>
          <w:lang w:val="en-US"/>
        </w:rPr>
        <w:t xml:space="preserve"> </w:t>
      </w:r>
      <w:r w:rsidRPr="00FE232D">
        <w:rPr>
          <w:color w:val="000000"/>
        </w:rPr>
        <w:t>CEP XX noted its intention to review the effectiveness of the SGCCR after 3 years</w:t>
      </w:r>
      <w:r w:rsidRPr="00FE232D">
        <w:rPr>
          <w:lang w:val="en-US"/>
        </w:rPr>
        <w:t>.  The review of the SGCCR was due to occur in 2020</w:t>
      </w:r>
      <w:r>
        <w:rPr>
          <w:lang w:val="en-US"/>
        </w:rPr>
        <w:t xml:space="preserve">; however, </w:t>
      </w:r>
      <w:r w:rsidRPr="00FE232D">
        <w:rPr>
          <w:lang w:val="en-US"/>
        </w:rPr>
        <w:t>this was not possible due to the cancellation of the meeting.</w:t>
      </w:r>
      <w:r w:rsidRPr="00FE232D">
        <w:rPr>
          <w:i/>
          <w:lang w:val="en-US"/>
        </w:rPr>
        <w:t xml:space="preserve"> </w:t>
      </w:r>
    </w:p>
    <w:p w14:paraId="6F5E3E8A" w14:textId="77777777" w:rsidR="00D343E8" w:rsidRPr="008B5D37" w:rsidRDefault="00D343E8" w:rsidP="00D343E8"/>
    <w:p w14:paraId="0D921E4F" w14:textId="77777777" w:rsidR="00D343E8" w:rsidRDefault="00D343E8" w:rsidP="00D343E8">
      <w:r w:rsidRPr="00FE232D">
        <w:t xml:space="preserve">To help facilitate the </w:t>
      </w:r>
      <w:r>
        <w:t xml:space="preserve">SGCCR </w:t>
      </w:r>
      <w:r w:rsidRPr="00FE232D">
        <w:t>review process at</w:t>
      </w:r>
      <w:r>
        <w:t xml:space="preserve"> CEP XXIII</w:t>
      </w:r>
      <w:r w:rsidRPr="00FE232D">
        <w:t>, we ask the Committee to consider the outputs and developments list</w:t>
      </w:r>
      <w:r>
        <w:t>ed</w:t>
      </w:r>
      <w:r w:rsidRPr="00FE232D">
        <w:t xml:space="preserve"> in </w:t>
      </w:r>
      <w:r>
        <w:t xml:space="preserve">ATCM XLI IP46, ATCM XLII WP36 and in </w:t>
      </w:r>
      <w:r w:rsidRPr="00FE232D">
        <w:t>this</w:t>
      </w:r>
      <w:r>
        <w:t xml:space="preserve"> Working Paper, including the Attachments</w:t>
      </w:r>
      <w:r w:rsidRPr="00FE232D">
        <w:t xml:space="preserve">.  </w:t>
      </w:r>
    </w:p>
    <w:p w14:paraId="39A17F03" w14:textId="77777777" w:rsidR="00D343E8" w:rsidRDefault="00D343E8" w:rsidP="00D343E8"/>
    <w:p w14:paraId="0392666B" w14:textId="77777777" w:rsidR="00D343E8" w:rsidRPr="00FE232D" w:rsidRDefault="00D343E8" w:rsidP="00D343E8">
      <w:r w:rsidRPr="00FE232D">
        <w:t xml:space="preserve">Now that </w:t>
      </w:r>
      <w:r>
        <w:t>many of the practical elements of operating the SGCCR have been developed (</w:t>
      </w:r>
      <w:r w:rsidRPr="00FE232D">
        <w:t>communication mechanisms</w:t>
      </w:r>
      <w:r>
        <w:t>, process for provision of best available science, etc.)</w:t>
      </w:r>
      <w:r w:rsidRPr="00FE232D">
        <w:t>, the SGCCR Member are kee</w:t>
      </w:r>
      <w:r>
        <w:t>n</w:t>
      </w:r>
      <w:r w:rsidRPr="00FE232D">
        <w:t xml:space="preserve"> to continue their work</w:t>
      </w:r>
      <w:r>
        <w:t xml:space="preserve"> with a</w:t>
      </w:r>
      <w:r w:rsidRPr="00FE232D">
        <w:t xml:space="preserve"> </w:t>
      </w:r>
      <w:r>
        <w:t xml:space="preserve">particular </w:t>
      </w:r>
      <w:r w:rsidRPr="00FE232D">
        <w:t xml:space="preserve">focussing on facilitating the implementation of the CCRWP.  </w:t>
      </w:r>
      <w:r>
        <w:t>A longer-term work plan for the SGCCR is appended (</w:t>
      </w:r>
      <w:r w:rsidRPr="00214DA0">
        <w:rPr>
          <w:b/>
          <w:bCs/>
        </w:rPr>
        <w:t>A</w:t>
      </w:r>
      <w:r>
        <w:rPr>
          <w:b/>
          <w:bCs/>
        </w:rPr>
        <w:t>ttachment</w:t>
      </w:r>
      <w:r w:rsidRPr="00214DA0">
        <w:rPr>
          <w:b/>
          <w:bCs/>
        </w:rPr>
        <w:t xml:space="preserve"> F</w:t>
      </w:r>
      <w:r>
        <w:t>).</w:t>
      </w:r>
    </w:p>
    <w:p w14:paraId="226FBF8F" w14:textId="77777777" w:rsidR="00D343E8" w:rsidRDefault="00D343E8" w:rsidP="00D343E8">
      <w:pPr>
        <w:rPr>
          <w:b/>
          <w:bCs/>
        </w:rPr>
      </w:pPr>
    </w:p>
    <w:p w14:paraId="34149CA1" w14:textId="77777777" w:rsidR="00D343E8" w:rsidRPr="000D60F7" w:rsidRDefault="00D343E8" w:rsidP="00D343E8">
      <w:pPr>
        <w:rPr>
          <w:b/>
          <w:bCs/>
        </w:rPr>
      </w:pPr>
      <w:r w:rsidRPr="00FD1017">
        <w:rPr>
          <w:b/>
          <w:bCs/>
        </w:rPr>
        <w:t>Recommendation: Acknowledging the desire of the CEP to review the effectiveness of the SGCCR since its establishment, the SGCCR recommends that the CEP considers the work undertaken to date by the SGCCR and endorses the continuation of its work under its current Terms of Reference.</w:t>
      </w:r>
    </w:p>
    <w:p w14:paraId="15C99180" w14:textId="77777777" w:rsidR="00D343E8" w:rsidRPr="000D60F7" w:rsidRDefault="00D343E8" w:rsidP="00D343E8">
      <w:pPr>
        <w:spacing w:before="480" w:after="120"/>
        <w:rPr>
          <w:rFonts w:ascii="Arial" w:hAnsi="Arial" w:cs="Arial"/>
          <w:b/>
          <w:bCs/>
          <w:i/>
          <w:iCs/>
          <w:sz w:val="24"/>
        </w:rPr>
      </w:pPr>
      <w:r w:rsidRPr="000929A0">
        <w:rPr>
          <w:rFonts w:ascii="Arial" w:hAnsi="Arial" w:cs="Arial"/>
          <w:b/>
          <w:bCs/>
          <w:i/>
          <w:iCs/>
          <w:sz w:val="24"/>
        </w:rPr>
        <w:t>Recommendations</w:t>
      </w:r>
    </w:p>
    <w:p w14:paraId="70DF9A23" w14:textId="77777777" w:rsidR="00D343E8" w:rsidRPr="00FF5754" w:rsidRDefault="00D343E8" w:rsidP="00D343E8">
      <w:pPr>
        <w:rPr>
          <w:lang w:val="en-US"/>
        </w:rPr>
      </w:pPr>
      <w:r w:rsidRPr="00FF5754">
        <w:rPr>
          <w:lang w:val="en-US"/>
        </w:rPr>
        <w:t>The SGCCR r</w:t>
      </w:r>
      <w:r>
        <w:rPr>
          <w:lang w:val="en-US"/>
        </w:rPr>
        <w:t>equests</w:t>
      </w:r>
      <w:r w:rsidRPr="00FF5754">
        <w:rPr>
          <w:lang w:val="en-US"/>
        </w:rPr>
        <w:t xml:space="preserve"> that the CEP considers the following recommendations:</w:t>
      </w:r>
    </w:p>
    <w:p w14:paraId="4D292B39" w14:textId="77777777" w:rsidR="00D343E8" w:rsidRPr="00FF5754" w:rsidRDefault="00D343E8" w:rsidP="00D343E8">
      <w:pPr>
        <w:pStyle w:val="Prrafodelista"/>
        <w:numPr>
          <w:ilvl w:val="0"/>
          <w:numId w:val="26"/>
        </w:numPr>
        <w:rPr>
          <w:rFonts w:eastAsia="TimesNewRomanPSMT"/>
          <w:bCs/>
          <w:iCs/>
          <w:szCs w:val="22"/>
        </w:rPr>
      </w:pPr>
      <w:r w:rsidRPr="00FF5754">
        <w:rPr>
          <w:rFonts w:eastAsia="TimesNewRomanPSMT"/>
          <w:bCs/>
          <w:iCs/>
          <w:szCs w:val="22"/>
        </w:rPr>
        <w:t>The CEP is asked to endorse the updated and reformatted draft CCRWP (2021) and use it to replace the current version of the CCRWP (2015)</w:t>
      </w:r>
      <w:r>
        <w:rPr>
          <w:rFonts w:eastAsia="TimesNewRomanPSMT"/>
          <w:bCs/>
          <w:iCs/>
          <w:szCs w:val="22"/>
        </w:rPr>
        <w:t>.</w:t>
      </w:r>
      <w:r w:rsidRPr="00FF5754">
        <w:rPr>
          <w:rFonts w:eastAsia="TimesNewRomanPSMT"/>
          <w:bCs/>
          <w:iCs/>
          <w:szCs w:val="22"/>
        </w:rPr>
        <w:t xml:space="preserve"> </w:t>
      </w:r>
    </w:p>
    <w:p w14:paraId="3F6C02F2" w14:textId="77777777" w:rsidR="00D343E8" w:rsidRPr="00FF5754" w:rsidRDefault="00D343E8" w:rsidP="00D343E8">
      <w:pPr>
        <w:pStyle w:val="Prrafodelista"/>
        <w:numPr>
          <w:ilvl w:val="0"/>
          <w:numId w:val="26"/>
        </w:numPr>
        <w:rPr>
          <w:rFonts w:eastAsia="TimesNewRomanPSMT"/>
          <w:bCs/>
          <w:iCs/>
          <w:szCs w:val="22"/>
        </w:rPr>
      </w:pPr>
      <w:r w:rsidRPr="00FF5754">
        <w:rPr>
          <w:rFonts w:eastAsia="TimesNewRomanPSMT"/>
          <w:bCs/>
          <w:iCs/>
          <w:szCs w:val="22"/>
        </w:rPr>
        <w:t xml:space="preserve">The CEP is asked to endorse the addition of the identified CCRWP </w:t>
      </w:r>
      <w:r>
        <w:rPr>
          <w:rFonts w:eastAsia="TimesNewRomanPSMT"/>
          <w:bCs/>
          <w:iCs/>
          <w:szCs w:val="22"/>
        </w:rPr>
        <w:t>science</w:t>
      </w:r>
      <w:r w:rsidRPr="00FF5754">
        <w:rPr>
          <w:rFonts w:eastAsia="TimesNewRomanPSMT"/>
          <w:bCs/>
          <w:iCs/>
          <w:szCs w:val="22"/>
        </w:rPr>
        <w:t xml:space="preserve"> needs to those of the CEP 5-Year Work Plan</w:t>
      </w:r>
      <w:r>
        <w:rPr>
          <w:rFonts w:eastAsia="TimesNewRomanPSMT"/>
          <w:bCs/>
          <w:iCs/>
          <w:szCs w:val="22"/>
        </w:rPr>
        <w:t>.</w:t>
      </w:r>
    </w:p>
    <w:p w14:paraId="2DB9E491" w14:textId="77777777" w:rsidR="00D343E8" w:rsidRPr="00FF5754" w:rsidRDefault="00D343E8" w:rsidP="00D343E8">
      <w:pPr>
        <w:pStyle w:val="Prrafodelista"/>
        <w:numPr>
          <w:ilvl w:val="0"/>
          <w:numId w:val="26"/>
        </w:numPr>
        <w:rPr>
          <w:bCs/>
          <w:szCs w:val="22"/>
          <w:lang w:val="en-AU"/>
        </w:rPr>
      </w:pPr>
      <w:r w:rsidRPr="00FF5754">
        <w:rPr>
          <w:bCs/>
          <w:szCs w:val="22"/>
          <w:lang w:val="en-AU"/>
        </w:rPr>
        <w:t>The SGCCR asks the Committee to recommend to the ATCM that the Antarctic Treaty Secretariat provide support for the development of webpages relevant to the communication of the CCRWP,</w:t>
      </w:r>
      <w:r w:rsidRPr="00C342AB">
        <w:rPr>
          <w:bCs/>
          <w:szCs w:val="22"/>
          <w:lang w:val="en-AU"/>
        </w:rPr>
        <w:t xml:space="preserve"> </w:t>
      </w:r>
      <w:r>
        <w:rPr>
          <w:bCs/>
          <w:szCs w:val="22"/>
          <w:lang w:val="en-AU"/>
        </w:rPr>
        <w:t>including translation of CCRWP presentations,</w:t>
      </w:r>
      <w:r w:rsidRPr="00FF5754">
        <w:rPr>
          <w:bCs/>
          <w:szCs w:val="22"/>
          <w:lang w:val="en-AU"/>
        </w:rPr>
        <w:t xml:space="preserve"> in collaboration with the SGCCR.</w:t>
      </w:r>
    </w:p>
    <w:p w14:paraId="4F8262AB" w14:textId="77777777" w:rsidR="00D343E8" w:rsidRPr="00FF5754" w:rsidRDefault="00D343E8" w:rsidP="00D343E8">
      <w:pPr>
        <w:pStyle w:val="Prrafodelista"/>
        <w:numPr>
          <w:ilvl w:val="0"/>
          <w:numId w:val="26"/>
        </w:numPr>
        <w:rPr>
          <w:bCs/>
          <w:szCs w:val="22"/>
        </w:rPr>
      </w:pPr>
      <w:r w:rsidRPr="00FF5754">
        <w:rPr>
          <w:bCs/>
          <w:szCs w:val="22"/>
        </w:rPr>
        <w:t>Acknowledging the desire of the CEP to review the effectiveness of the SGCCR since its establishment, the SGCCR recommends that the CEP considers the work undertaken to date by the SGCCR and endorses the continuation of its work under its current Terms of Reference.</w:t>
      </w:r>
    </w:p>
    <w:p w14:paraId="58102BB6" w14:textId="77777777" w:rsidR="00D343E8" w:rsidRDefault="00D343E8" w:rsidP="00D343E8"/>
    <w:p w14:paraId="25D73C7D" w14:textId="77777777" w:rsidR="00D343E8" w:rsidRDefault="00D343E8" w:rsidP="00952E9F"/>
    <w:sectPr w:rsidR="00D343E8"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D283" w14:textId="77777777" w:rsidR="00000000" w:rsidRDefault="00D343E8">
      <w:r>
        <w:separator/>
      </w:r>
    </w:p>
  </w:endnote>
  <w:endnote w:type="continuationSeparator" w:id="0">
    <w:p w14:paraId="0B7F8EBF" w14:textId="77777777" w:rsidR="00000000" w:rsidRDefault="00D3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Malgun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B7EA" w14:textId="77777777" w:rsidR="00FA0B9F" w:rsidRDefault="00D343E8" w:rsidP="00CF5C82">
    <w:pPr>
      <w:framePr w:wrap="around" w:vAnchor="text" w:hAnchor="margin" w:xAlign="right" w:y="1"/>
    </w:pPr>
    <w:r>
      <w:fldChar w:fldCharType="begin"/>
    </w:r>
    <w:r>
      <w:instrText xml:space="preserve">PAGE  </w:instrText>
    </w:r>
    <w:r>
      <w:fldChar w:fldCharType="end"/>
    </w:r>
  </w:p>
  <w:p w14:paraId="74474E17" w14:textId="77777777" w:rsidR="00FA0B9F" w:rsidRDefault="00D343E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99FE" w14:textId="77777777" w:rsidR="00FA0B9F" w:rsidRDefault="00D343E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3386FB9" w14:textId="77777777" w:rsidR="00D10061" w:rsidRDefault="00D343E8" w:rsidP="00D10061">
    <w:pPr>
      <w:ind w:right="360"/>
    </w:pPr>
    <w:r>
      <w:t xml:space="preserve">Attachments: </w:t>
    </w:r>
  </w:p>
  <w:p w14:paraId="0B45EA6C" w14:textId="65CCFCCD" w:rsidR="00D10061" w:rsidRDefault="00D343E8" w:rsidP="00D10061">
    <w:pPr>
      <w:ind w:right="360"/>
    </w:pPr>
    <w:r>
      <w:t xml:space="preserve">Atcm43_att053_e.docx: </w:t>
    </w:r>
    <w:r w:rsidR="00D10061">
      <w:t>Attachment A Draft CCRWP</w:t>
    </w:r>
  </w:p>
  <w:p w14:paraId="143EDD98" w14:textId="62970DA0" w:rsidR="00D10061" w:rsidRDefault="00D343E8" w:rsidP="00D10061">
    <w:pPr>
      <w:ind w:right="360"/>
    </w:pPr>
    <w:r>
      <w:t>Atcm43_att05</w:t>
    </w:r>
    <w:r>
      <w:t>4</w:t>
    </w:r>
    <w:r>
      <w:t xml:space="preserve">_e.docx: </w:t>
    </w:r>
    <w:r w:rsidR="00D10061">
      <w:t>Attachment B Draft science needs</w:t>
    </w:r>
  </w:p>
  <w:p w14:paraId="4AC7D813" w14:textId="00D60F87" w:rsidR="00D10061" w:rsidRDefault="00D343E8" w:rsidP="00D10061">
    <w:pPr>
      <w:ind w:right="360"/>
    </w:pPr>
    <w:r>
      <w:t>Atcm43_att05</w:t>
    </w:r>
    <w:r>
      <w:t>5</w:t>
    </w:r>
    <w:r>
      <w:t xml:space="preserve">_e.docx: </w:t>
    </w:r>
    <w:r w:rsidR="00D10061">
      <w:t xml:space="preserve">Attachment C Process for requesting science </w:t>
    </w:r>
    <w:r>
      <w:t>information.</w:t>
    </w:r>
  </w:p>
  <w:p w14:paraId="6FB93228" w14:textId="5C65D4D5" w:rsidR="00D10061" w:rsidRDefault="00D343E8" w:rsidP="00D10061">
    <w:pPr>
      <w:ind w:right="360"/>
    </w:pPr>
    <w:r>
      <w:t>Atcm43_att05</w:t>
    </w:r>
    <w:r>
      <w:t>6</w:t>
    </w:r>
    <w:r>
      <w:t>_e.</w:t>
    </w:r>
    <w:r>
      <w:t>pptx</w:t>
    </w:r>
    <w:r>
      <w:t xml:space="preserve">: </w:t>
    </w:r>
    <w:r w:rsidR="00D10061">
      <w:t>Attachment D Current CCRWP presentation</w:t>
    </w:r>
  </w:p>
  <w:p w14:paraId="138C7F61" w14:textId="77777777" w:rsidR="00D343E8" w:rsidRDefault="00D343E8" w:rsidP="00D343E8">
    <w:pPr>
      <w:ind w:right="360"/>
    </w:pPr>
    <w:r>
      <w:t>Atcm43_att05</w:t>
    </w:r>
    <w:r>
      <w:t>7</w:t>
    </w:r>
    <w:r>
      <w:t>_e.</w:t>
    </w:r>
    <w:r>
      <w:t>pptx</w:t>
    </w:r>
    <w:r>
      <w:t>:</w:t>
    </w:r>
    <w:r>
      <w:t xml:space="preserve"> </w:t>
    </w:r>
    <w:r>
      <w:t>Attachment E Updated CCRWP presentation</w:t>
    </w:r>
  </w:p>
  <w:p w14:paraId="01C2554F" w14:textId="5F5CAC2B" w:rsidR="00D10061" w:rsidRDefault="00D343E8" w:rsidP="00D10061">
    <w:pPr>
      <w:ind w:right="360"/>
    </w:pPr>
    <w:r>
      <w:t>Atcm43_att05</w:t>
    </w:r>
    <w:r>
      <w:t>8</w:t>
    </w:r>
    <w:r>
      <w:t xml:space="preserve">_e.docx: </w:t>
    </w:r>
    <w:r w:rsidR="00D10061">
      <w:t>Attachment F SGCCR work plan</w:t>
    </w:r>
  </w:p>
  <w:p w14:paraId="6B825081" w14:textId="174F6542" w:rsidR="00FA0B9F" w:rsidRDefault="00D343E8"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8E97" w14:textId="77777777" w:rsidR="00E311C9" w:rsidRDefault="00D343E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F3C2AEA" w14:textId="77777777" w:rsidR="00E311C9" w:rsidRDefault="00D343E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BAD59" w14:textId="77777777" w:rsidR="00000000" w:rsidRDefault="00D343E8">
      <w:r>
        <w:separator/>
      </w:r>
    </w:p>
  </w:footnote>
  <w:footnote w:type="continuationSeparator" w:id="0">
    <w:p w14:paraId="5D6B45FD" w14:textId="77777777" w:rsidR="00000000" w:rsidRDefault="00D34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042D6" w14:paraId="535A31FE" w14:textId="77777777" w:rsidTr="00490760">
      <w:trPr>
        <w:trHeight w:val="344"/>
        <w:jc w:val="center"/>
      </w:trPr>
      <w:tc>
        <w:tcPr>
          <w:tcW w:w="5495" w:type="dxa"/>
        </w:tcPr>
        <w:p w14:paraId="74FCEB0C" w14:textId="77777777" w:rsidR="00DB7C09" w:rsidRDefault="00D343E8" w:rsidP="00F968D4"/>
      </w:tc>
      <w:tc>
        <w:tcPr>
          <w:tcW w:w="4253" w:type="dxa"/>
          <w:gridSpan w:val="2"/>
        </w:tcPr>
        <w:p w14:paraId="25D22545" w14:textId="77777777" w:rsidR="00DB7C09" w:rsidRPr="00BD47E4" w:rsidRDefault="00D343E8" w:rsidP="002A07BC">
          <w:pPr>
            <w:jc w:val="right"/>
            <w:rPr>
              <w:b/>
              <w:sz w:val="32"/>
              <w:szCs w:val="32"/>
            </w:rPr>
          </w:pPr>
          <w:bookmarkStart w:id="2" w:name="type"/>
          <w:r w:rsidRPr="00BD47E4">
            <w:rPr>
              <w:b/>
              <w:sz w:val="32"/>
              <w:szCs w:val="32"/>
            </w:rPr>
            <w:t>WP</w:t>
          </w:r>
          <w:bookmarkEnd w:id="2"/>
        </w:p>
      </w:tc>
      <w:tc>
        <w:tcPr>
          <w:tcW w:w="1524" w:type="dxa"/>
          <w:gridSpan w:val="2"/>
        </w:tcPr>
        <w:p w14:paraId="09EC8FED" w14:textId="77777777" w:rsidR="00DB7C09" w:rsidRPr="00BD47E4" w:rsidRDefault="00D343E8" w:rsidP="00DB7C09">
          <w:pPr>
            <w:rPr>
              <w:b/>
              <w:sz w:val="32"/>
              <w:szCs w:val="32"/>
            </w:rPr>
          </w:pPr>
          <w:bookmarkStart w:id="3" w:name="number"/>
          <w:r w:rsidRPr="00BD47E4">
            <w:rPr>
              <w:b/>
              <w:sz w:val="32"/>
              <w:szCs w:val="32"/>
            </w:rPr>
            <w:t>14</w:t>
          </w:r>
          <w:bookmarkEnd w:id="3"/>
        </w:p>
      </w:tc>
    </w:tr>
    <w:tr w:rsidR="00E042D6" w14:paraId="29DEEC8C" w14:textId="77777777" w:rsidTr="00490760">
      <w:trPr>
        <w:trHeight w:val="2165"/>
        <w:jc w:val="center"/>
      </w:trPr>
      <w:tc>
        <w:tcPr>
          <w:tcW w:w="5495" w:type="dxa"/>
        </w:tcPr>
        <w:p w14:paraId="463CAE45" w14:textId="77777777" w:rsidR="00490760" w:rsidRPr="00EE4D48" w:rsidRDefault="00D343E8" w:rsidP="002A07BC">
          <w:pPr>
            <w:rPr>
              <w:b/>
              <w:sz w:val="28"/>
              <w:szCs w:val="28"/>
            </w:rPr>
          </w:pPr>
          <w:r>
            <w:rPr>
              <w:b/>
              <w:noProof/>
              <w:sz w:val="28"/>
              <w:szCs w:val="28"/>
            </w:rPr>
            <w:drawing>
              <wp:inline distT="0" distB="0" distL="0" distR="0" wp14:anchorId="5C70460B" wp14:editId="5A3C012A">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1186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0F67478" w14:textId="77777777" w:rsidR="00490760" w:rsidRPr="00FE5146" w:rsidRDefault="00D343E8" w:rsidP="00490760">
          <w:pPr>
            <w:jc w:val="right"/>
            <w:rPr>
              <w:sz w:val="144"/>
              <w:szCs w:val="144"/>
            </w:rPr>
          </w:pPr>
          <w:r w:rsidRPr="00FE5146">
            <w:rPr>
              <w:sz w:val="144"/>
              <w:szCs w:val="144"/>
            </w:rPr>
            <w:t>ENG</w:t>
          </w:r>
        </w:p>
      </w:tc>
    </w:tr>
    <w:tr w:rsidR="00E042D6" w14:paraId="5F08E7DA" w14:textId="77777777" w:rsidTr="00BD47E4">
      <w:trPr>
        <w:trHeight w:val="409"/>
        <w:jc w:val="center"/>
      </w:trPr>
      <w:tc>
        <w:tcPr>
          <w:tcW w:w="9039" w:type="dxa"/>
          <w:gridSpan w:val="2"/>
        </w:tcPr>
        <w:p w14:paraId="68257F3D" w14:textId="77777777" w:rsidR="00BD47E4" w:rsidRDefault="00D343E8" w:rsidP="002C30DA">
          <w:pPr>
            <w:jc w:val="right"/>
          </w:pPr>
          <w:r>
            <w:t>Agenda Item:</w:t>
          </w:r>
        </w:p>
      </w:tc>
      <w:tc>
        <w:tcPr>
          <w:tcW w:w="1843" w:type="dxa"/>
          <w:gridSpan w:val="2"/>
        </w:tcPr>
        <w:p w14:paraId="018F32D6" w14:textId="77777777" w:rsidR="00BD47E4" w:rsidRDefault="00D343E8" w:rsidP="002C30DA">
          <w:pPr>
            <w:jc w:val="right"/>
          </w:pPr>
          <w:bookmarkStart w:id="4" w:name="agenda"/>
          <w:r>
            <w:t>CEP 7b</w:t>
          </w:r>
          <w:bookmarkEnd w:id="4"/>
        </w:p>
      </w:tc>
      <w:tc>
        <w:tcPr>
          <w:tcW w:w="390" w:type="dxa"/>
        </w:tcPr>
        <w:p w14:paraId="6D9DEFE4" w14:textId="77777777" w:rsidR="00BD47E4" w:rsidRDefault="00D343E8" w:rsidP="00387A65">
          <w:pPr>
            <w:jc w:val="right"/>
          </w:pPr>
        </w:p>
      </w:tc>
    </w:tr>
    <w:tr w:rsidR="00E042D6" w14:paraId="2F1C7570" w14:textId="77777777" w:rsidTr="00BD47E4">
      <w:trPr>
        <w:trHeight w:val="397"/>
        <w:jc w:val="center"/>
      </w:trPr>
      <w:tc>
        <w:tcPr>
          <w:tcW w:w="9039" w:type="dxa"/>
          <w:gridSpan w:val="2"/>
        </w:tcPr>
        <w:p w14:paraId="73B37C78" w14:textId="77777777" w:rsidR="00BD47E4" w:rsidRDefault="00D343E8" w:rsidP="002C30DA">
          <w:pPr>
            <w:jc w:val="right"/>
          </w:pPr>
          <w:r>
            <w:t>Presented by:</w:t>
          </w:r>
        </w:p>
      </w:tc>
      <w:tc>
        <w:tcPr>
          <w:tcW w:w="1843" w:type="dxa"/>
          <w:gridSpan w:val="2"/>
        </w:tcPr>
        <w:p w14:paraId="47BB0579" w14:textId="77777777" w:rsidR="00BD47E4" w:rsidRDefault="00D343E8" w:rsidP="002C30DA">
          <w:pPr>
            <w:jc w:val="right"/>
          </w:pPr>
          <w:bookmarkStart w:id="5" w:name="party"/>
          <w:r>
            <w:t>United Kingdom</w:t>
          </w:r>
          <w:bookmarkEnd w:id="5"/>
        </w:p>
      </w:tc>
      <w:tc>
        <w:tcPr>
          <w:tcW w:w="390" w:type="dxa"/>
        </w:tcPr>
        <w:p w14:paraId="6CCDD2CA" w14:textId="77777777" w:rsidR="00BD47E4" w:rsidRDefault="00D343E8" w:rsidP="00387A65">
          <w:pPr>
            <w:jc w:val="right"/>
          </w:pPr>
        </w:p>
      </w:tc>
    </w:tr>
    <w:tr w:rsidR="00E042D6" w14:paraId="5F83A686" w14:textId="77777777" w:rsidTr="00BD47E4">
      <w:trPr>
        <w:trHeight w:val="409"/>
        <w:jc w:val="center"/>
      </w:trPr>
      <w:tc>
        <w:tcPr>
          <w:tcW w:w="9039" w:type="dxa"/>
          <w:gridSpan w:val="2"/>
        </w:tcPr>
        <w:p w14:paraId="71D20C72" w14:textId="77777777" w:rsidR="00BD47E4" w:rsidRDefault="00D343E8" w:rsidP="002C30DA">
          <w:pPr>
            <w:jc w:val="right"/>
          </w:pPr>
          <w:r>
            <w:t>Original:</w:t>
          </w:r>
        </w:p>
      </w:tc>
      <w:tc>
        <w:tcPr>
          <w:tcW w:w="1843" w:type="dxa"/>
          <w:gridSpan w:val="2"/>
        </w:tcPr>
        <w:p w14:paraId="22346B8D" w14:textId="77777777" w:rsidR="00BD47E4" w:rsidRDefault="00D343E8" w:rsidP="002C30DA">
          <w:pPr>
            <w:jc w:val="right"/>
          </w:pPr>
          <w:bookmarkStart w:id="6" w:name="language"/>
          <w:r>
            <w:t>English</w:t>
          </w:r>
          <w:bookmarkEnd w:id="6"/>
        </w:p>
      </w:tc>
      <w:tc>
        <w:tcPr>
          <w:tcW w:w="390" w:type="dxa"/>
        </w:tcPr>
        <w:p w14:paraId="500EB6B2" w14:textId="77777777" w:rsidR="00BD47E4" w:rsidRDefault="00D343E8" w:rsidP="00387A65">
          <w:pPr>
            <w:jc w:val="right"/>
          </w:pPr>
        </w:p>
      </w:tc>
    </w:tr>
    <w:tr w:rsidR="00E042D6" w14:paraId="2D9439FB" w14:textId="77777777" w:rsidTr="00BD47E4">
      <w:trPr>
        <w:trHeight w:val="409"/>
        <w:jc w:val="center"/>
      </w:trPr>
      <w:tc>
        <w:tcPr>
          <w:tcW w:w="9039" w:type="dxa"/>
          <w:gridSpan w:val="2"/>
        </w:tcPr>
        <w:p w14:paraId="5898570B" w14:textId="77777777" w:rsidR="0097629D" w:rsidRDefault="00D343E8" w:rsidP="002C30DA">
          <w:pPr>
            <w:jc w:val="right"/>
          </w:pPr>
          <w:r>
            <w:t>Submitted:</w:t>
          </w:r>
        </w:p>
      </w:tc>
      <w:tc>
        <w:tcPr>
          <w:tcW w:w="1843" w:type="dxa"/>
          <w:gridSpan w:val="2"/>
        </w:tcPr>
        <w:p w14:paraId="67501E34" w14:textId="77777777" w:rsidR="0097629D" w:rsidRDefault="00D343E8" w:rsidP="0097629D">
          <w:pPr>
            <w:jc w:val="right"/>
          </w:pPr>
          <w:bookmarkStart w:id="7" w:name="date_submission"/>
          <w:r>
            <w:t>28/4/2021</w:t>
          </w:r>
          <w:bookmarkEnd w:id="7"/>
        </w:p>
      </w:tc>
      <w:tc>
        <w:tcPr>
          <w:tcW w:w="390" w:type="dxa"/>
        </w:tcPr>
        <w:p w14:paraId="07A3AF99" w14:textId="77777777" w:rsidR="0097629D" w:rsidRDefault="00D343E8" w:rsidP="00387A65">
          <w:pPr>
            <w:jc w:val="right"/>
          </w:pPr>
        </w:p>
      </w:tc>
    </w:tr>
  </w:tbl>
  <w:p w14:paraId="2A810AE8" w14:textId="77777777" w:rsidR="00AE5DD0" w:rsidRDefault="00D34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042D6" w14:paraId="2FABE2D0" w14:textId="77777777">
      <w:trPr>
        <w:trHeight w:val="354"/>
        <w:jc w:val="center"/>
      </w:trPr>
      <w:tc>
        <w:tcPr>
          <w:tcW w:w="9694" w:type="dxa"/>
        </w:tcPr>
        <w:p w14:paraId="6BB7ABCC" w14:textId="656D7FD9" w:rsidR="00AE5DD0" w:rsidRPr="00BD47E4" w:rsidRDefault="00D10061" w:rsidP="00C26F2D">
          <w:pPr>
            <w:jc w:val="right"/>
            <w:rPr>
              <w:b/>
              <w:sz w:val="32"/>
              <w:szCs w:val="32"/>
            </w:rPr>
          </w:pPr>
          <w:r>
            <w:rPr>
              <w:b/>
              <w:sz w:val="32"/>
              <w:szCs w:val="32"/>
            </w:rPr>
            <w:t>WP</w:t>
          </w:r>
        </w:p>
      </w:tc>
      <w:tc>
        <w:tcPr>
          <w:tcW w:w="1332" w:type="dxa"/>
        </w:tcPr>
        <w:p w14:paraId="00469AC3" w14:textId="78062922" w:rsidR="00AE5DD0" w:rsidRPr="00BD47E4" w:rsidRDefault="00D10061" w:rsidP="00080F4C">
          <w:pPr>
            <w:rPr>
              <w:b/>
              <w:sz w:val="32"/>
              <w:szCs w:val="32"/>
            </w:rPr>
          </w:pPr>
          <w:r>
            <w:rPr>
              <w:b/>
              <w:sz w:val="32"/>
              <w:szCs w:val="32"/>
            </w:rPr>
            <w:t>14</w:t>
          </w:r>
        </w:p>
      </w:tc>
    </w:tr>
  </w:tbl>
  <w:p w14:paraId="70291356" w14:textId="77777777" w:rsidR="00AE5DD0" w:rsidRDefault="00D34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40BA0"/>
    <w:multiLevelType w:val="hybridMultilevel"/>
    <w:tmpl w:val="6C069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1BA34D8"/>
    <w:multiLevelType w:val="hybridMultilevel"/>
    <w:tmpl w:val="ED824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607C00"/>
    <w:multiLevelType w:val="hybridMultilevel"/>
    <w:tmpl w:val="CCF2F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6577EA"/>
    <w:multiLevelType w:val="hybridMultilevel"/>
    <w:tmpl w:val="21A63D98"/>
    <w:lvl w:ilvl="0" w:tplc="76202320">
      <w:start w:val="1"/>
      <w:numFmt w:val="bullet"/>
      <w:pStyle w:val="ATSBullet1"/>
      <w:lvlText w:val=""/>
      <w:lvlJc w:val="left"/>
      <w:pPr>
        <w:tabs>
          <w:tab w:val="num" w:pos="360"/>
        </w:tabs>
        <w:ind w:left="360" w:hanging="360"/>
      </w:pPr>
      <w:rPr>
        <w:rFonts w:ascii="Symbol" w:hAnsi="Symbol" w:hint="default"/>
        <w:color w:val="auto"/>
      </w:rPr>
    </w:lvl>
    <w:lvl w:ilvl="1" w:tplc="E5081CC6" w:tentative="1">
      <w:start w:val="1"/>
      <w:numFmt w:val="bullet"/>
      <w:lvlText w:val="o"/>
      <w:lvlJc w:val="left"/>
      <w:pPr>
        <w:tabs>
          <w:tab w:val="num" w:pos="1440"/>
        </w:tabs>
        <w:ind w:left="1440" w:hanging="360"/>
      </w:pPr>
      <w:rPr>
        <w:rFonts w:ascii="Courier New" w:hAnsi="Courier New" w:cs="Courier New" w:hint="default"/>
      </w:rPr>
    </w:lvl>
    <w:lvl w:ilvl="2" w:tplc="2EC4A4D6" w:tentative="1">
      <w:start w:val="1"/>
      <w:numFmt w:val="bullet"/>
      <w:lvlText w:val=""/>
      <w:lvlJc w:val="left"/>
      <w:pPr>
        <w:tabs>
          <w:tab w:val="num" w:pos="2160"/>
        </w:tabs>
        <w:ind w:left="2160" w:hanging="360"/>
      </w:pPr>
      <w:rPr>
        <w:rFonts w:ascii="Wingdings" w:hAnsi="Wingdings" w:hint="default"/>
      </w:rPr>
    </w:lvl>
    <w:lvl w:ilvl="3" w:tplc="363E5BD6" w:tentative="1">
      <w:start w:val="1"/>
      <w:numFmt w:val="bullet"/>
      <w:lvlText w:val=""/>
      <w:lvlJc w:val="left"/>
      <w:pPr>
        <w:tabs>
          <w:tab w:val="num" w:pos="2880"/>
        </w:tabs>
        <w:ind w:left="2880" w:hanging="360"/>
      </w:pPr>
      <w:rPr>
        <w:rFonts w:ascii="Symbol" w:hAnsi="Symbol" w:hint="default"/>
      </w:rPr>
    </w:lvl>
    <w:lvl w:ilvl="4" w:tplc="A3188080" w:tentative="1">
      <w:start w:val="1"/>
      <w:numFmt w:val="bullet"/>
      <w:lvlText w:val="o"/>
      <w:lvlJc w:val="left"/>
      <w:pPr>
        <w:tabs>
          <w:tab w:val="num" w:pos="3600"/>
        </w:tabs>
        <w:ind w:left="3600" w:hanging="360"/>
      </w:pPr>
      <w:rPr>
        <w:rFonts w:ascii="Courier New" w:hAnsi="Courier New" w:cs="Courier New" w:hint="default"/>
      </w:rPr>
    </w:lvl>
    <w:lvl w:ilvl="5" w:tplc="3BF6CCBC" w:tentative="1">
      <w:start w:val="1"/>
      <w:numFmt w:val="bullet"/>
      <w:lvlText w:val=""/>
      <w:lvlJc w:val="left"/>
      <w:pPr>
        <w:tabs>
          <w:tab w:val="num" w:pos="4320"/>
        </w:tabs>
        <w:ind w:left="4320" w:hanging="360"/>
      </w:pPr>
      <w:rPr>
        <w:rFonts w:ascii="Wingdings" w:hAnsi="Wingdings" w:hint="default"/>
      </w:rPr>
    </w:lvl>
    <w:lvl w:ilvl="6" w:tplc="FA183218" w:tentative="1">
      <w:start w:val="1"/>
      <w:numFmt w:val="bullet"/>
      <w:lvlText w:val=""/>
      <w:lvlJc w:val="left"/>
      <w:pPr>
        <w:tabs>
          <w:tab w:val="num" w:pos="5040"/>
        </w:tabs>
        <w:ind w:left="5040" w:hanging="360"/>
      </w:pPr>
      <w:rPr>
        <w:rFonts w:ascii="Symbol" w:hAnsi="Symbol" w:hint="default"/>
      </w:rPr>
    </w:lvl>
    <w:lvl w:ilvl="7" w:tplc="51E2C290" w:tentative="1">
      <w:start w:val="1"/>
      <w:numFmt w:val="bullet"/>
      <w:lvlText w:val="o"/>
      <w:lvlJc w:val="left"/>
      <w:pPr>
        <w:tabs>
          <w:tab w:val="num" w:pos="5760"/>
        </w:tabs>
        <w:ind w:left="5760" w:hanging="360"/>
      </w:pPr>
      <w:rPr>
        <w:rFonts w:ascii="Courier New" w:hAnsi="Courier New" w:cs="Courier New" w:hint="default"/>
      </w:rPr>
    </w:lvl>
    <w:lvl w:ilvl="8" w:tplc="817869C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D35C15"/>
    <w:multiLevelType w:val="hybridMultilevel"/>
    <w:tmpl w:val="A8A2E45C"/>
    <w:lvl w:ilvl="0" w:tplc="AF222E9C">
      <w:start w:val="1"/>
      <w:numFmt w:val="decimal"/>
      <w:lvlText w:val="%1)"/>
      <w:lvlJc w:val="left"/>
      <w:pPr>
        <w:tabs>
          <w:tab w:val="num" w:pos="340"/>
        </w:tabs>
        <w:ind w:left="340" w:hanging="340"/>
      </w:pPr>
      <w:rPr>
        <w:rFonts w:hint="default"/>
      </w:rPr>
    </w:lvl>
    <w:lvl w:ilvl="1" w:tplc="8E666824" w:tentative="1">
      <w:start w:val="1"/>
      <w:numFmt w:val="lowerLetter"/>
      <w:lvlText w:val="%2."/>
      <w:lvlJc w:val="left"/>
      <w:pPr>
        <w:tabs>
          <w:tab w:val="num" w:pos="1440"/>
        </w:tabs>
        <w:ind w:left="1440" w:hanging="360"/>
      </w:pPr>
    </w:lvl>
    <w:lvl w:ilvl="2" w:tplc="CD7476E0" w:tentative="1">
      <w:start w:val="1"/>
      <w:numFmt w:val="lowerRoman"/>
      <w:lvlText w:val="%3."/>
      <w:lvlJc w:val="right"/>
      <w:pPr>
        <w:tabs>
          <w:tab w:val="num" w:pos="2160"/>
        </w:tabs>
        <w:ind w:left="2160" w:hanging="180"/>
      </w:pPr>
    </w:lvl>
    <w:lvl w:ilvl="3" w:tplc="0DFCBF36" w:tentative="1">
      <w:start w:val="1"/>
      <w:numFmt w:val="decimal"/>
      <w:lvlText w:val="%4."/>
      <w:lvlJc w:val="left"/>
      <w:pPr>
        <w:tabs>
          <w:tab w:val="num" w:pos="2880"/>
        </w:tabs>
        <w:ind w:left="2880" w:hanging="360"/>
      </w:pPr>
    </w:lvl>
    <w:lvl w:ilvl="4" w:tplc="0C14A702" w:tentative="1">
      <w:start w:val="1"/>
      <w:numFmt w:val="lowerLetter"/>
      <w:lvlText w:val="%5."/>
      <w:lvlJc w:val="left"/>
      <w:pPr>
        <w:tabs>
          <w:tab w:val="num" w:pos="3600"/>
        </w:tabs>
        <w:ind w:left="3600" w:hanging="360"/>
      </w:pPr>
    </w:lvl>
    <w:lvl w:ilvl="5" w:tplc="A78E61A6" w:tentative="1">
      <w:start w:val="1"/>
      <w:numFmt w:val="lowerRoman"/>
      <w:lvlText w:val="%6."/>
      <w:lvlJc w:val="right"/>
      <w:pPr>
        <w:tabs>
          <w:tab w:val="num" w:pos="4320"/>
        </w:tabs>
        <w:ind w:left="4320" w:hanging="180"/>
      </w:pPr>
    </w:lvl>
    <w:lvl w:ilvl="6" w:tplc="81505AD4" w:tentative="1">
      <w:start w:val="1"/>
      <w:numFmt w:val="decimal"/>
      <w:lvlText w:val="%7."/>
      <w:lvlJc w:val="left"/>
      <w:pPr>
        <w:tabs>
          <w:tab w:val="num" w:pos="5040"/>
        </w:tabs>
        <w:ind w:left="5040" w:hanging="360"/>
      </w:pPr>
    </w:lvl>
    <w:lvl w:ilvl="7" w:tplc="E57A1980" w:tentative="1">
      <w:start w:val="1"/>
      <w:numFmt w:val="lowerLetter"/>
      <w:lvlText w:val="%8."/>
      <w:lvlJc w:val="left"/>
      <w:pPr>
        <w:tabs>
          <w:tab w:val="num" w:pos="5760"/>
        </w:tabs>
        <w:ind w:left="5760" w:hanging="360"/>
      </w:pPr>
    </w:lvl>
    <w:lvl w:ilvl="8" w:tplc="9800E06A" w:tentative="1">
      <w:start w:val="1"/>
      <w:numFmt w:val="lowerRoman"/>
      <w:lvlText w:val="%9."/>
      <w:lvlJc w:val="right"/>
      <w:pPr>
        <w:tabs>
          <w:tab w:val="num" w:pos="6480"/>
        </w:tabs>
        <w:ind w:left="6480" w:hanging="180"/>
      </w:pPr>
    </w:lvl>
  </w:abstractNum>
  <w:abstractNum w:abstractNumId="16" w15:restartNumberingAfterBreak="0">
    <w:nsid w:val="5F3F4769"/>
    <w:multiLevelType w:val="hybridMultilevel"/>
    <w:tmpl w:val="B3B0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2F3AFA"/>
    <w:multiLevelType w:val="hybridMultilevel"/>
    <w:tmpl w:val="9DF09BE6"/>
    <w:lvl w:ilvl="0" w:tplc="394ECC8E">
      <w:start w:val="1"/>
      <w:numFmt w:val="decimal"/>
      <w:lvlText w:val="%1."/>
      <w:lvlJc w:val="left"/>
      <w:pPr>
        <w:tabs>
          <w:tab w:val="num" w:pos="1057"/>
        </w:tabs>
        <w:ind w:left="1057" w:hanging="360"/>
      </w:pPr>
      <w:rPr>
        <w:rFonts w:hint="default"/>
      </w:rPr>
    </w:lvl>
    <w:lvl w:ilvl="1" w:tplc="E4DEC8A6" w:tentative="1">
      <w:start w:val="1"/>
      <w:numFmt w:val="lowerLetter"/>
      <w:lvlText w:val="%2."/>
      <w:lvlJc w:val="left"/>
      <w:pPr>
        <w:tabs>
          <w:tab w:val="num" w:pos="2137"/>
        </w:tabs>
        <w:ind w:left="2137" w:hanging="360"/>
      </w:pPr>
    </w:lvl>
    <w:lvl w:ilvl="2" w:tplc="1DBE5F86" w:tentative="1">
      <w:start w:val="1"/>
      <w:numFmt w:val="lowerRoman"/>
      <w:lvlText w:val="%3."/>
      <w:lvlJc w:val="right"/>
      <w:pPr>
        <w:tabs>
          <w:tab w:val="num" w:pos="2857"/>
        </w:tabs>
        <w:ind w:left="2857" w:hanging="180"/>
      </w:pPr>
    </w:lvl>
    <w:lvl w:ilvl="3" w:tplc="00168E82" w:tentative="1">
      <w:start w:val="1"/>
      <w:numFmt w:val="decimal"/>
      <w:lvlText w:val="%4."/>
      <w:lvlJc w:val="left"/>
      <w:pPr>
        <w:tabs>
          <w:tab w:val="num" w:pos="3577"/>
        </w:tabs>
        <w:ind w:left="3577" w:hanging="360"/>
      </w:pPr>
    </w:lvl>
    <w:lvl w:ilvl="4" w:tplc="792CEA34" w:tentative="1">
      <w:start w:val="1"/>
      <w:numFmt w:val="lowerLetter"/>
      <w:lvlText w:val="%5."/>
      <w:lvlJc w:val="left"/>
      <w:pPr>
        <w:tabs>
          <w:tab w:val="num" w:pos="4297"/>
        </w:tabs>
        <w:ind w:left="4297" w:hanging="360"/>
      </w:pPr>
    </w:lvl>
    <w:lvl w:ilvl="5" w:tplc="84542208" w:tentative="1">
      <w:start w:val="1"/>
      <w:numFmt w:val="lowerRoman"/>
      <w:lvlText w:val="%6."/>
      <w:lvlJc w:val="right"/>
      <w:pPr>
        <w:tabs>
          <w:tab w:val="num" w:pos="5017"/>
        </w:tabs>
        <w:ind w:left="5017" w:hanging="180"/>
      </w:pPr>
    </w:lvl>
    <w:lvl w:ilvl="6" w:tplc="DB8036D2" w:tentative="1">
      <w:start w:val="1"/>
      <w:numFmt w:val="decimal"/>
      <w:lvlText w:val="%7."/>
      <w:lvlJc w:val="left"/>
      <w:pPr>
        <w:tabs>
          <w:tab w:val="num" w:pos="5737"/>
        </w:tabs>
        <w:ind w:left="5737" w:hanging="360"/>
      </w:pPr>
    </w:lvl>
    <w:lvl w:ilvl="7" w:tplc="97984824" w:tentative="1">
      <w:start w:val="1"/>
      <w:numFmt w:val="lowerLetter"/>
      <w:lvlText w:val="%8."/>
      <w:lvlJc w:val="left"/>
      <w:pPr>
        <w:tabs>
          <w:tab w:val="num" w:pos="6457"/>
        </w:tabs>
        <w:ind w:left="6457" w:hanging="360"/>
      </w:pPr>
    </w:lvl>
    <w:lvl w:ilvl="8" w:tplc="1CAA065A" w:tentative="1">
      <w:start w:val="1"/>
      <w:numFmt w:val="lowerRoman"/>
      <w:lvlText w:val="%9."/>
      <w:lvlJc w:val="right"/>
      <w:pPr>
        <w:tabs>
          <w:tab w:val="num" w:pos="7177"/>
        </w:tabs>
        <w:ind w:left="7177" w:hanging="180"/>
      </w:pPr>
    </w:lvl>
  </w:abstractNum>
  <w:abstractNum w:abstractNumId="18" w15:restartNumberingAfterBreak="0">
    <w:nsid w:val="7212657C"/>
    <w:multiLevelType w:val="hybridMultilevel"/>
    <w:tmpl w:val="0A8E2A84"/>
    <w:lvl w:ilvl="0" w:tplc="7A5E0B60">
      <w:start w:val="1"/>
      <w:numFmt w:val="decimal"/>
      <w:pStyle w:val="ATSNumber1"/>
      <w:lvlText w:val="%1)"/>
      <w:lvlJc w:val="left"/>
      <w:pPr>
        <w:tabs>
          <w:tab w:val="num" w:pos="720"/>
        </w:tabs>
        <w:ind w:left="720" w:hanging="360"/>
      </w:pPr>
    </w:lvl>
    <w:lvl w:ilvl="1" w:tplc="9FEA855C" w:tentative="1">
      <w:start w:val="1"/>
      <w:numFmt w:val="lowerLetter"/>
      <w:lvlText w:val="%2."/>
      <w:lvlJc w:val="left"/>
      <w:pPr>
        <w:tabs>
          <w:tab w:val="num" w:pos="1440"/>
        </w:tabs>
        <w:ind w:left="1440" w:hanging="360"/>
      </w:pPr>
    </w:lvl>
    <w:lvl w:ilvl="2" w:tplc="AECE8972" w:tentative="1">
      <w:start w:val="1"/>
      <w:numFmt w:val="lowerRoman"/>
      <w:lvlText w:val="%3."/>
      <w:lvlJc w:val="right"/>
      <w:pPr>
        <w:tabs>
          <w:tab w:val="num" w:pos="2160"/>
        </w:tabs>
        <w:ind w:left="2160" w:hanging="180"/>
      </w:pPr>
    </w:lvl>
    <w:lvl w:ilvl="3" w:tplc="4202D7CE" w:tentative="1">
      <w:start w:val="1"/>
      <w:numFmt w:val="decimal"/>
      <w:lvlText w:val="%4."/>
      <w:lvlJc w:val="left"/>
      <w:pPr>
        <w:tabs>
          <w:tab w:val="num" w:pos="2880"/>
        </w:tabs>
        <w:ind w:left="2880" w:hanging="360"/>
      </w:pPr>
    </w:lvl>
    <w:lvl w:ilvl="4" w:tplc="73E6C0DE" w:tentative="1">
      <w:start w:val="1"/>
      <w:numFmt w:val="lowerLetter"/>
      <w:lvlText w:val="%5."/>
      <w:lvlJc w:val="left"/>
      <w:pPr>
        <w:tabs>
          <w:tab w:val="num" w:pos="3600"/>
        </w:tabs>
        <w:ind w:left="3600" w:hanging="360"/>
      </w:pPr>
    </w:lvl>
    <w:lvl w:ilvl="5" w:tplc="BE58D132" w:tentative="1">
      <w:start w:val="1"/>
      <w:numFmt w:val="lowerRoman"/>
      <w:lvlText w:val="%6."/>
      <w:lvlJc w:val="right"/>
      <w:pPr>
        <w:tabs>
          <w:tab w:val="num" w:pos="4320"/>
        </w:tabs>
        <w:ind w:left="4320" w:hanging="180"/>
      </w:pPr>
    </w:lvl>
    <w:lvl w:ilvl="6" w:tplc="F1A6F1BE" w:tentative="1">
      <w:start w:val="1"/>
      <w:numFmt w:val="decimal"/>
      <w:lvlText w:val="%7."/>
      <w:lvlJc w:val="left"/>
      <w:pPr>
        <w:tabs>
          <w:tab w:val="num" w:pos="5040"/>
        </w:tabs>
        <w:ind w:left="5040" w:hanging="360"/>
      </w:pPr>
    </w:lvl>
    <w:lvl w:ilvl="7" w:tplc="98EE762E" w:tentative="1">
      <w:start w:val="1"/>
      <w:numFmt w:val="lowerLetter"/>
      <w:lvlText w:val="%8."/>
      <w:lvlJc w:val="left"/>
      <w:pPr>
        <w:tabs>
          <w:tab w:val="num" w:pos="5760"/>
        </w:tabs>
        <w:ind w:left="5760" w:hanging="360"/>
      </w:pPr>
    </w:lvl>
    <w:lvl w:ilvl="8" w:tplc="51B4FD3E" w:tentative="1">
      <w:start w:val="1"/>
      <w:numFmt w:val="lowerRoman"/>
      <w:lvlText w:val="%9."/>
      <w:lvlJc w:val="right"/>
      <w:pPr>
        <w:tabs>
          <w:tab w:val="num" w:pos="6480"/>
        </w:tabs>
        <w:ind w:left="6480" w:hanging="180"/>
      </w:pPr>
    </w:lvl>
  </w:abstractNum>
  <w:abstractNum w:abstractNumId="19" w15:restartNumberingAfterBreak="0">
    <w:nsid w:val="743D2161"/>
    <w:multiLevelType w:val="hybridMultilevel"/>
    <w:tmpl w:val="B0868D9E"/>
    <w:lvl w:ilvl="0" w:tplc="66AC3F3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8028DB4" w:tentative="1">
      <w:start w:val="1"/>
      <w:numFmt w:val="bullet"/>
      <w:lvlText w:val="o"/>
      <w:lvlJc w:val="left"/>
      <w:pPr>
        <w:tabs>
          <w:tab w:val="num" w:pos="2517"/>
        </w:tabs>
        <w:ind w:left="2517" w:hanging="360"/>
      </w:pPr>
      <w:rPr>
        <w:rFonts w:ascii="Courier New" w:hAnsi="Courier New" w:cs="Courier New" w:hint="default"/>
      </w:rPr>
    </w:lvl>
    <w:lvl w:ilvl="2" w:tplc="9AA63B40" w:tentative="1">
      <w:start w:val="1"/>
      <w:numFmt w:val="bullet"/>
      <w:lvlText w:val=""/>
      <w:lvlJc w:val="left"/>
      <w:pPr>
        <w:tabs>
          <w:tab w:val="num" w:pos="3237"/>
        </w:tabs>
        <w:ind w:left="3237" w:hanging="360"/>
      </w:pPr>
      <w:rPr>
        <w:rFonts w:ascii="Wingdings" w:hAnsi="Wingdings" w:hint="default"/>
      </w:rPr>
    </w:lvl>
    <w:lvl w:ilvl="3" w:tplc="8F2295B0" w:tentative="1">
      <w:start w:val="1"/>
      <w:numFmt w:val="bullet"/>
      <w:lvlText w:val=""/>
      <w:lvlJc w:val="left"/>
      <w:pPr>
        <w:tabs>
          <w:tab w:val="num" w:pos="3957"/>
        </w:tabs>
        <w:ind w:left="3957" w:hanging="360"/>
      </w:pPr>
      <w:rPr>
        <w:rFonts w:ascii="Symbol" w:hAnsi="Symbol" w:hint="default"/>
      </w:rPr>
    </w:lvl>
    <w:lvl w:ilvl="4" w:tplc="1C6CB9A8" w:tentative="1">
      <w:start w:val="1"/>
      <w:numFmt w:val="bullet"/>
      <w:lvlText w:val="o"/>
      <w:lvlJc w:val="left"/>
      <w:pPr>
        <w:tabs>
          <w:tab w:val="num" w:pos="4677"/>
        </w:tabs>
        <w:ind w:left="4677" w:hanging="360"/>
      </w:pPr>
      <w:rPr>
        <w:rFonts w:ascii="Courier New" w:hAnsi="Courier New" w:cs="Courier New" w:hint="default"/>
      </w:rPr>
    </w:lvl>
    <w:lvl w:ilvl="5" w:tplc="087CF43E" w:tentative="1">
      <w:start w:val="1"/>
      <w:numFmt w:val="bullet"/>
      <w:lvlText w:val=""/>
      <w:lvlJc w:val="left"/>
      <w:pPr>
        <w:tabs>
          <w:tab w:val="num" w:pos="5397"/>
        </w:tabs>
        <w:ind w:left="5397" w:hanging="360"/>
      </w:pPr>
      <w:rPr>
        <w:rFonts w:ascii="Wingdings" w:hAnsi="Wingdings" w:hint="default"/>
      </w:rPr>
    </w:lvl>
    <w:lvl w:ilvl="6" w:tplc="8CF287BC" w:tentative="1">
      <w:start w:val="1"/>
      <w:numFmt w:val="bullet"/>
      <w:lvlText w:val=""/>
      <w:lvlJc w:val="left"/>
      <w:pPr>
        <w:tabs>
          <w:tab w:val="num" w:pos="6117"/>
        </w:tabs>
        <w:ind w:left="6117" w:hanging="360"/>
      </w:pPr>
      <w:rPr>
        <w:rFonts w:ascii="Symbol" w:hAnsi="Symbol" w:hint="default"/>
      </w:rPr>
    </w:lvl>
    <w:lvl w:ilvl="7" w:tplc="A92C8268" w:tentative="1">
      <w:start w:val="1"/>
      <w:numFmt w:val="bullet"/>
      <w:lvlText w:val="o"/>
      <w:lvlJc w:val="left"/>
      <w:pPr>
        <w:tabs>
          <w:tab w:val="num" w:pos="6837"/>
        </w:tabs>
        <w:ind w:left="6837" w:hanging="360"/>
      </w:pPr>
      <w:rPr>
        <w:rFonts w:ascii="Courier New" w:hAnsi="Courier New" w:cs="Courier New" w:hint="default"/>
      </w:rPr>
    </w:lvl>
    <w:lvl w:ilvl="8" w:tplc="481CD0E8" w:tentative="1">
      <w:start w:val="1"/>
      <w:numFmt w:val="bullet"/>
      <w:lvlText w:val=""/>
      <w:lvlJc w:val="left"/>
      <w:pPr>
        <w:tabs>
          <w:tab w:val="num" w:pos="7557"/>
        </w:tabs>
        <w:ind w:left="7557" w:hanging="360"/>
      </w:pPr>
      <w:rPr>
        <w:rFonts w:ascii="Wingdings" w:hAnsi="Wingdings" w:hint="default"/>
      </w:rPr>
    </w:lvl>
  </w:abstractNum>
  <w:abstractNum w:abstractNumId="20" w15:restartNumberingAfterBreak="0">
    <w:nsid w:val="78C143F9"/>
    <w:multiLevelType w:val="hybridMultilevel"/>
    <w:tmpl w:val="ED824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C84303"/>
    <w:multiLevelType w:val="hybridMultilevel"/>
    <w:tmpl w:val="32BE1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866FC0"/>
    <w:multiLevelType w:val="hybridMultilevel"/>
    <w:tmpl w:val="57EA2900"/>
    <w:lvl w:ilvl="0" w:tplc="3BD0F2E0">
      <w:start w:val="1"/>
      <w:numFmt w:val="decimal"/>
      <w:pStyle w:val="ATSNumber2"/>
      <w:lvlText w:val="%1."/>
      <w:lvlJc w:val="left"/>
      <w:pPr>
        <w:tabs>
          <w:tab w:val="num" w:pos="720"/>
        </w:tabs>
        <w:ind w:left="720" w:hanging="360"/>
      </w:pPr>
      <w:rPr>
        <w:rFonts w:hint="default"/>
      </w:rPr>
    </w:lvl>
    <w:lvl w:ilvl="1" w:tplc="3E90849E" w:tentative="1">
      <w:start w:val="1"/>
      <w:numFmt w:val="lowerLetter"/>
      <w:lvlText w:val="%2."/>
      <w:lvlJc w:val="left"/>
      <w:pPr>
        <w:tabs>
          <w:tab w:val="num" w:pos="1440"/>
        </w:tabs>
        <w:ind w:left="1440" w:hanging="360"/>
      </w:pPr>
    </w:lvl>
    <w:lvl w:ilvl="2" w:tplc="32BEFC60" w:tentative="1">
      <w:start w:val="1"/>
      <w:numFmt w:val="lowerRoman"/>
      <w:lvlText w:val="%3."/>
      <w:lvlJc w:val="right"/>
      <w:pPr>
        <w:tabs>
          <w:tab w:val="num" w:pos="2160"/>
        </w:tabs>
        <w:ind w:left="2160" w:hanging="180"/>
      </w:pPr>
    </w:lvl>
    <w:lvl w:ilvl="3" w:tplc="9B8A8052" w:tentative="1">
      <w:start w:val="1"/>
      <w:numFmt w:val="decimal"/>
      <w:lvlText w:val="%4."/>
      <w:lvlJc w:val="left"/>
      <w:pPr>
        <w:tabs>
          <w:tab w:val="num" w:pos="2880"/>
        </w:tabs>
        <w:ind w:left="2880" w:hanging="360"/>
      </w:pPr>
    </w:lvl>
    <w:lvl w:ilvl="4" w:tplc="29FE6670" w:tentative="1">
      <w:start w:val="1"/>
      <w:numFmt w:val="lowerLetter"/>
      <w:lvlText w:val="%5."/>
      <w:lvlJc w:val="left"/>
      <w:pPr>
        <w:tabs>
          <w:tab w:val="num" w:pos="3600"/>
        </w:tabs>
        <w:ind w:left="3600" w:hanging="360"/>
      </w:pPr>
    </w:lvl>
    <w:lvl w:ilvl="5" w:tplc="5B1223EC" w:tentative="1">
      <w:start w:val="1"/>
      <w:numFmt w:val="lowerRoman"/>
      <w:lvlText w:val="%6."/>
      <w:lvlJc w:val="right"/>
      <w:pPr>
        <w:tabs>
          <w:tab w:val="num" w:pos="4320"/>
        </w:tabs>
        <w:ind w:left="4320" w:hanging="180"/>
      </w:pPr>
    </w:lvl>
    <w:lvl w:ilvl="6" w:tplc="98FA2B02" w:tentative="1">
      <w:start w:val="1"/>
      <w:numFmt w:val="decimal"/>
      <w:lvlText w:val="%7."/>
      <w:lvlJc w:val="left"/>
      <w:pPr>
        <w:tabs>
          <w:tab w:val="num" w:pos="5040"/>
        </w:tabs>
        <w:ind w:left="5040" w:hanging="360"/>
      </w:pPr>
    </w:lvl>
    <w:lvl w:ilvl="7" w:tplc="3578C0B6" w:tentative="1">
      <w:start w:val="1"/>
      <w:numFmt w:val="lowerLetter"/>
      <w:lvlText w:val="%8."/>
      <w:lvlJc w:val="left"/>
      <w:pPr>
        <w:tabs>
          <w:tab w:val="num" w:pos="5760"/>
        </w:tabs>
        <w:ind w:left="5760" w:hanging="360"/>
      </w:pPr>
    </w:lvl>
    <w:lvl w:ilvl="8" w:tplc="8F1CCB3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18"/>
  </w:num>
  <w:num w:numId="14">
    <w:abstractNumId w:val="15"/>
  </w:num>
  <w:num w:numId="15">
    <w:abstractNumId w:val="17"/>
  </w:num>
  <w:num w:numId="16">
    <w:abstractNumId w:val="11"/>
  </w:num>
  <w:num w:numId="17">
    <w:abstractNumId w:val="14"/>
  </w:num>
  <w:num w:numId="18">
    <w:abstractNumId w:val="19"/>
  </w:num>
  <w:num w:numId="19">
    <w:abstractNumId w:val="18"/>
  </w:num>
  <w:num w:numId="20">
    <w:abstractNumId w:val="22"/>
  </w:num>
  <w:num w:numId="21">
    <w:abstractNumId w:val="13"/>
  </w:num>
  <w:num w:numId="22">
    <w:abstractNumId w:val="16"/>
  </w:num>
  <w:num w:numId="23">
    <w:abstractNumId w:val="21"/>
  </w:num>
  <w:num w:numId="24">
    <w:abstractNumId w:val="10"/>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D6"/>
    <w:rsid w:val="00D10061"/>
    <w:rsid w:val="00D343E8"/>
    <w:rsid w:val="00E042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9FFB1"/>
  <w15:chartTrackingRefBased/>
  <w15:docId w15:val="{7DA9F536-CDEA-4BE5-812A-56A6A8B8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aliases w:val="CEP Bullet List"/>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D343E8"/>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nvironments.a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2142</Words>
  <Characters>11552</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2021-04-28T13:13:00Z</dcterms:modified>
</cp:coreProperties>
</file>