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7363" w14:textId="77777777" w:rsidR="00C26F2D" w:rsidRPr="00BF077B" w:rsidRDefault="0063499F" w:rsidP="00BF077B">
      <w:pPr>
        <w:pStyle w:val="ATSNormal"/>
        <w:rPr>
          <w:rStyle w:val="Ttulodellibro"/>
        </w:rPr>
      </w:pPr>
    </w:p>
    <w:p w14:paraId="148C86D7" w14:textId="77777777" w:rsidR="002F0A13" w:rsidRDefault="0063499F" w:rsidP="004B4A60">
      <w:pPr>
        <w:rPr>
          <w:b/>
          <w:u w:val="single"/>
          <w:lang w:val="es-ES_tradnl"/>
        </w:rPr>
      </w:pPr>
    </w:p>
    <w:p w14:paraId="6E1DB2E8" w14:textId="77777777" w:rsidR="002F0A13" w:rsidRDefault="0063499F" w:rsidP="004B4A60">
      <w:pPr>
        <w:rPr>
          <w:b/>
          <w:u w:val="single"/>
          <w:lang w:val="es-ES_tradnl"/>
        </w:rPr>
      </w:pPr>
    </w:p>
    <w:p w14:paraId="04654F18" w14:textId="77777777" w:rsidR="002F0A13" w:rsidRDefault="0063499F" w:rsidP="004B4A60">
      <w:pPr>
        <w:rPr>
          <w:b/>
          <w:u w:val="single"/>
          <w:lang w:val="es-ES_tradnl"/>
        </w:rPr>
      </w:pPr>
    </w:p>
    <w:p w14:paraId="3D97F2E8" w14:textId="77777777" w:rsidR="002F0A13" w:rsidRDefault="0063499F" w:rsidP="004B4A60">
      <w:pPr>
        <w:rPr>
          <w:b/>
          <w:u w:val="single"/>
          <w:lang w:val="es-ES_tradnl"/>
        </w:rPr>
      </w:pPr>
    </w:p>
    <w:p w14:paraId="094E880D" w14:textId="77777777" w:rsidR="00C26F2D" w:rsidRDefault="0063499F" w:rsidP="004B4A60">
      <w:pPr>
        <w:rPr>
          <w:b/>
          <w:u w:val="single"/>
          <w:lang w:val="es-ES_tradnl"/>
        </w:rPr>
      </w:pPr>
    </w:p>
    <w:p w14:paraId="24C5FF11" w14:textId="77777777" w:rsidR="004B4A60" w:rsidRPr="0057246E" w:rsidRDefault="0063499F" w:rsidP="001B789F">
      <w:pPr>
        <w:pStyle w:val="ATSTitle"/>
      </w:pPr>
      <w:bookmarkStart w:id="0" w:name="name"/>
      <w:r>
        <w:t>Fourth report of the Intersessional Contact Group on Education and Outreach</w:t>
      </w:r>
      <w:bookmarkEnd w:id="0"/>
    </w:p>
    <w:p w14:paraId="5AD6E652" w14:textId="77777777" w:rsidR="004B4A60" w:rsidRPr="0057246E" w:rsidRDefault="0063499F" w:rsidP="00F75424">
      <w:pPr>
        <w:jc w:val="center"/>
      </w:pPr>
    </w:p>
    <w:p w14:paraId="014ECC02" w14:textId="77777777" w:rsidR="004B4A60" w:rsidRPr="002F0A13" w:rsidRDefault="0063499F" w:rsidP="002F0A13"/>
    <w:p w14:paraId="46F511A3" w14:textId="77777777" w:rsidR="004B4A60" w:rsidRDefault="0063499F" w:rsidP="00F75424">
      <w:pPr>
        <w:jc w:val="center"/>
      </w:pPr>
      <w:bookmarkStart w:id="1" w:name="memo"/>
      <w:bookmarkEnd w:id="1"/>
    </w:p>
    <w:p w14:paraId="42B27ACC" w14:textId="77777777" w:rsidR="0097629D" w:rsidRDefault="0063499F" w:rsidP="00F75424">
      <w:pPr>
        <w:jc w:val="center"/>
      </w:pPr>
    </w:p>
    <w:p w14:paraId="541DCE95" w14:textId="77777777" w:rsidR="0097629D" w:rsidRDefault="0063499F" w:rsidP="00F75424">
      <w:pPr>
        <w:jc w:val="center"/>
      </w:pPr>
    </w:p>
    <w:p w14:paraId="168B083E" w14:textId="77777777" w:rsidR="0097629D" w:rsidRDefault="0063499F" w:rsidP="00F75424">
      <w:pPr>
        <w:jc w:val="center"/>
      </w:pPr>
    </w:p>
    <w:p w14:paraId="6EC7EB64" w14:textId="77777777" w:rsidR="0097629D" w:rsidRPr="00C26F2D" w:rsidRDefault="0063499F" w:rsidP="00F75424">
      <w:pPr>
        <w:jc w:val="center"/>
      </w:pPr>
    </w:p>
    <w:p w14:paraId="069E565D" w14:textId="77777777" w:rsidR="004B4A60" w:rsidRPr="0057246E" w:rsidRDefault="0063499F" w:rsidP="004B4A60"/>
    <w:p w14:paraId="0363EB28" w14:textId="77777777" w:rsidR="00C26F2D" w:rsidRDefault="0063499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B4107F1" w14:textId="62D1E856" w:rsidR="004B4A60" w:rsidRDefault="0063499F" w:rsidP="00952E9F"/>
    <w:p w14:paraId="59D5DE7C" w14:textId="77777777" w:rsidR="0063499F" w:rsidRDefault="0063499F" w:rsidP="0063499F">
      <w:pPr>
        <w:pStyle w:val="ATSHeading1"/>
        <w:rPr>
          <w:color w:val="222222"/>
          <w:sz w:val="24"/>
        </w:rPr>
      </w:pPr>
      <w:r>
        <w:t>Fourth report of the Intersessional Contact Group on Education and Outreach</w:t>
      </w:r>
    </w:p>
    <w:p w14:paraId="7CC533AE" w14:textId="77777777" w:rsidR="0063499F" w:rsidRDefault="0063499F" w:rsidP="0063499F">
      <w:pPr>
        <w:rPr>
          <w:rFonts w:ascii="Arial" w:hAnsi="Arial" w:cs="Arial"/>
          <w:sz w:val="24"/>
        </w:rPr>
      </w:pPr>
    </w:p>
    <w:p w14:paraId="345C84FC" w14:textId="77777777" w:rsidR="0063499F" w:rsidRDefault="0063499F" w:rsidP="0063499F">
      <w:pPr>
        <w:pStyle w:val="ATSNormal"/>
        <w:jc w:val="center"/>
      </w:pPr>
      <w:r>
        <w:t>Working Paper submitted by Bulgaria, Belgium, Brazil, Chile, Portugal, Spain and UK</w:t>
      </w:r>
    </w:p>
    <w:p w14:paraId="5C668B3E" w14:textId="77777777" w:rsidR="0063499F" w:rsidRDefault="0063499F" w:rsidP="0063499F"/>
    <w:p w14:paraId="2FEAB9E8" w14:textId="77777777" w:rsidR="0063499F" w:rsidRDefault="0063499F" w:rsidP="0063499F">
      <w:pPr>
        <w:spacing w:before="480" w:after="120"/>
        <w:jc w:val="both"/>
        <w:rPr>
          <w:rFonts w:ascii="Arial" w:hAnsi="Arial" w:cs="Arial"/>
          <w:b/>
          <w:i/>
          <w:color w:val="222222"/>
          <w:sz w:val="24"/>
        </w:rPr>
      </w:pPr>
      <w:r>
        <w:rPr>
          <w:rFonts w:ascii="Arial" w:hAnsi="Arial" w:cs="Arial"/>
          <w:b/>
          <w:i/>
          <w:sz w:val="24"/>
        </w:rPr>
        <w:t>Summary</w:t>
      </w:r>
    </w:p>
    <w:p w14:paraId="5AEAD943" w14:textId="77777777" w:rsidR="0063499F" w:rsidRPr="00695969" w:rsidRDefault="0063499F" w:rsidP="0063499F">
      <w:pPr>
        <w:rPr>
          <w:color w:val="000000" w:themeColor="text1"/>
        </w:rPr>
      </w:pPr>
      <w:r w:rsidRPr="00695969">
        <w:rPr>
          <w:color w:val="000000" w:themeColor="text1"/>
        </w:rPr>
        <w:t xml:space="preserve">At </w:t>
      </w:r>
      <w:r w:rsidRPr="00CB4B42">
        <w:rPr>
          <w:color w:val="000000" w:themeColor="text1"/>
        </w:rPr>
        <w:t>ATCM XLII</w:t>
      </w:r>
      <w:r>
        <w:rPr>
          <w:color w:val="000000" w:themeColor="text1"/>
        </w:rPr>
        <w:t xml:space="preserve"> (2019) in </w:t>
      </w:r>
      <w:r w:rsidRPr="00695969">
        <w:rPr>
          <w:color w:val="000000" w:themeColor="text1"/>
          <w:lang w:val="en-US"/>
        </w:rPr>
        <w:t>Prague</w:t>
      </w:r>
      <w:r w:rsidRPr="00695969">
        <w:rPr>
          <w:color w:val="000000" w:themeColor="text1"/>
        </w:rPr>
        <w:t>, Parties decided to continue the work of the intersessional contact group (ICG) on Education and Outreach, following a number of Terms of reference related to Education and Outreach. As well as the last year the</w:t>
      </w:r>
      <w:r>
        <w:rPr>
          <w:color w:val="000000" w:themeColor="text1"/>
        </w:rPr>
        <w:t xml:space="preserve"> ATCM</w:t>
      </w:r>
      <w:r w:rsidRPr="00695969">
        <w:rPr>
          <w:color w:val="000000" w:themeColor="text1"/>
        </w:rPr>
        <w:t xml:space="preserve"> in </w:t>
      </w:r>
      <w:r>
        <w:rPr>
          <w:color w:val="000000" w:themeColor="text1"/>
        </w:rPr>
        <w:t xml:space="preserve">Finland was cancelled, the work of ICG on Education and Outreach continued over two years. </w:t>
      </w:r>
      <w:r w:rsidRPr="00695969">
        <w:rPr>
          <w:color w:val="000000" w:themeColor="text1"/>
        </w:rPr>
        <w:t>As requested by the Meeting, this paper aims to provide a</w:t>
      </w:r>
      <w:r>
        <w:rPr>
          <w:color w:val="000000" w:themeColor="text1"/>
        </w:rPr>
        <w:t xml:space="preserve"> summary </w:t>
      </w:r>
      <w:r w:rsidRPr="00695969">
        <w:rPr>
          <w:color w:val="000000" w:themeColor="text1"/>
        </w:rPr>
        <w:t>on the discussions taken within the ICG and recommends considerations by the ATCM of the outcomes of the intersessional work.</w:t>
      </w:r>
      <w:r>
        <w:rPr>
          <w:color w:val="000000" w:themeColor="text1"/>
          <w:lang w:val="en-US"/>
        </w:rPr>
        <w:t xml:space="preserve"> Overall, t</w:t>
      </w:r>
      <w:r w:rsidRPr="00E07F47">
        <w:rPr>
          <w:color w:val="000000" w:themeColor="text1"/>
          <w:lang w:val="en-US"/>
        </w:rPr>
        <w:t xml:space="preserve">here are </w:t>
      </w:r>
      <w:r>
        <w:rPr>
          <w:color w:val="000000" w:themeColor="text1"/>
          <w:lang w:val="bg-BG"/>
        </w:rPr>
        <w:t>25</w:t>
      </w:r>
      <w:r w:rsidRPr="00E07F47">
        <w:rPr>
          <w:color w:val="000000" w:themeColor="text1"/>
          <w:lang w:val="en-US"/>
        </w:rPr>
        <w:t xml:space="preserve"> posts</w:t>
      </w:r>
      <w:r>
        <w:rPr>
          <w:color w:val="000000" w:themeColor="text1"/>
          <w:lang w:val="en-US"/>
        </w:rPr>
        <w:t xml:space="preserve"> </w:t>
      </w:r>
      <w:r w:rsidRPr="00E07F47">
        <w:rPr>
          <w:color w:val="000000" w:themeColor="text1"/>
          <w:lang w:val="en-US"/>
        </w:rPr>
        <w:t xml:space="preserve">(up to </w:t>
      </w:r>
      <w:r>
        <w:rPr>
          <w:color w:val="000000" w:themeColor="text1"/>
          <w:lang w:val="en-US"/>
        </w:rPr>
        <w:t>2</w:t>
      </w:r>
      <w:r>
        <w:rPr>
          <w:color w:val="000000" w:themeColor="text1"/>
          <w:lang w:val="bg-BG"/>
        </w:rPr>
        <w:t>7</w:t>
      </w:r>
      <w:r>
        <w:rPr>
          <w:color w:val="000000" w:themeColor="text1"/>
          <w:lang w:val="en-US"/>
        </w:rPr>
        <w:t>.04.2021</w:t>
      </w:r>
      <w:r w:rsidRPr="00E07F47">
        <w:rPr>
          <w:color w:val="000000" w:themeColor="text1"/>
          <w:lang w:val="en-US"/>
        </w:rPr>
        <w:t xml:space="preserve">) from </w:t>
      </w:r>
      <w:r>
        <w:rPr>
          <w:color w:val="000000" w:themeColor="text1"/>
          <w:lang w:val="bg-BG"/>
        </w:rPr>
        <w:t>7</w:t>
      </w:r>
      <w:r w:rsidRPr="00E07F47">
        <w:rPr>
          <w:color w:val="000000" w:themeColor="text1"/>
          <w:lang w:val="en-US"/>
        </w:rPr>
        <w:t xml:space="preserve"> </w:t>
      </w:r>
      <w:r>
        <w:rPr>
          <w:color w:val="000000" w:themeColor="text1"/>
          <w:lang w:val="en-US"/>
        </w:rPr>
        <w:t>P</w:t>
      </w:r>
      <w:r w:rsidRPr="00E07F47">
        <w:rPr>
          <w:color w:val="000000" w:themeColor="text1"/>
          <w:lang w:val="en-US"/>
        </w:rPr>
        <w:t>arties</w:t>
      </w:r>
      <w:r>
        <w:rPr>
          <w:color w:val="000000" w:themeColor="text1"/>
          <w:lang w:val="en-US"/>
        </w:rPr>
        <w:t>,</w:t>
      </w:r>
      <w:r w:rsidRPr="00E07F47">
        <w:rPr>
          <w:color w:val="000000" w:themeColor="text1"/>
          <w:lang w:val="en-US"/>
        </w:rPr>
        <w:t xml:space="preserve"> </w:t>
      </w:r>
      <w:r>
        <w:rPr>
          <w:color w:val="000000" w:themeColor="text1"/>
          <w:lang w:val="en-US"/>
        </w:rPr>
        <w:t>O</w:t>
      </w:r>
      <w:r w:rsidRPr="00E07F47">
        <w:rPr>
          <w:color w:val="000000" w:themeColor="text1"/>
          <w:lang w:val="en-US"/>
        </w:rPr>
        <w:t xml:space="preserve">bservers and </w:t>
      </w:r>
      <w:r>
        <w:rPr>
          <w:color w:val="000000" w:themeColor="text1"/>
          <w:lang w:val="en-US"/>
        </w:rPr>
        <w:t>E</w:t>
      </w:r>
      <w:r w:rsidRPr="00E07F47">
        <w:rPr>
          <w:color w:val="000000" w:themeColor="text1"/>
          <w:lang w:val="en-US"/>
        </w:rPr>
        <w:t xml:space="preserve">xperts </w:t>
      </w:r>
      <w:r>
        <w:rPr>
          <w:color w:val="000000" w:themeColor="text1"/>
          <w:lang w:val="en-US"/>
        </w:rPr>
        <w:t xml:space="preserve">comprising </w:t>
      </w:r>
      <w:r>
        <w:rPr>
          <w:color w:val="000000" w:themeColor="text1"/>
        </w:rPr>
        <w:t>425</w:t>
      </w:r>
      <w:r w:rsidRPr="004B1221">
        <w:rPr>
          <w:color w:val="000000" w:themeColor="text1"/>
        </w:rPr>
        <w:t xml:space="preserve"> views </w:t>
      </w:r>
      <w:r w:rsidRPr="00E07F47">
        <w:rPr>
          <w:color w:val="000000" w:themeColor="text1"/>
        </w:rPr>
        <w:t>within the forum</w:t>
      </w:r>
      <w:r>
        <w:rPr>
          <w:color w:val="000000" w:themeColor="text1"/>
        </w:rPr>
        <w:t>, particularly on national and international education and outreach activities.</w:t>
      </w:r>
    </w:p>
    <w:p w14:paraId="7E9DD353" w14:textId="77777777" w:rsidR="0063499F" w:rsidRPr="00146307" w:rsidRDefault="0063499F" w:rsidP="0063499F">
      <w:pPr>
        <w:rPr>
          <w:color w:val="8EAADB" w:themeColor="accent1" w:themeTint="99"/>
        </w:rPr>
      </w:pPr>
    </w:p>
    <w:p w14:paraId="07C11E40" w14:textId="77777777" w:rsidR="0063499F" w:rsidRDefault="0063499F" w:rsidP="0063499F">
      <w:pPr>
        <w:spacing w:before="480" w:after="120"/>
        <w:jc w:val="both"/>
        <w:rPr>
          <w:rFonts w:ascii="Arial" w:hAnsi="Arial" w:cs="Arial"/>
          <w:b/>
          <w:i/>
          <w:sz w:val="24"/>
        </w:rPr>
      </w:pPr>
      <w:r>
        <w:rPr>
          <w:rFonts w:ascii="Arial" w:hAnsi="Arial" w:cs="Arial"/>
          <w:b/>
          <w:i/>
          <w:sz w:val="24"/>
        </w:rPr>
        <w:t>Background</w:t>
      </w:r>
    </w:p>
    <w:p w14:paraId="16B243E9" w14:textId="77777777" w:rsidR="0063499F" w:rsidRPr="00695969" w:rsidRDefault="0063499F" w:rsidP="0063499F">
      <w:pPr>
        <w:spacing w:before="120" w:after="120"/>
        <w:rPr>
          <w:color w:val="000000" w:themeColor="text1"/>
        </w:rPr>
      </w:pPr>
      <w:bookmarkStart w:id="8" w:name="_30j0zll" w:colFirst="0" w:colLast="0"/>
      <w:bookmarkEnd w:id="8"/>
      <w:r>
        <w:rPr>
          <w:color w:val="000000" w:themeColor="text1"/>
        </w:rPr>
        <w:t>The</w:t>
      </w:r>
      <w:r w:rsidRPr="00695969">
        <w:rPr>
          <w:color w:val="000000" w:themeColor="text1"/>
        </w:rPr>
        <w:t xml:space="preserve"> ICG on Education and </w:t>
      </w:r>
      <w:r>
        <w:rPr>
          <w:color w:val="000000" w:themeColor="text1"/>
        </w:rPr>
        <w:t>O</w:t>
      </w:r>
      <w:r w:rsidRPr="00695969">
        <w:rPr>
          <w:color w:val="000000" w:themeColor="text1"/>
        </w:rPr>
        <w:t>utreach was establish</w:t>
      </w:r>
      <w:r>
        <w:rPr>
          <w:color w:val="000000" w:themeColor="text1"/>
        </w:rPr>
        <w:t>ed during ATCM XXXVIII (2015) in Sofia and it was followed by a</w:t>
      </w:r>
      <w:r w:rsidRPr="00695969">
        <w:rPr>
          <w:color w:val="000000" w:themeColor="text1"/>
        </w:rPr>
        <w:t xml:space="preserve"> very successful workshop </w:t>
      </w:r>
      <w:r>
        <w:rPr>
          <w:color w:val="000000" w:themeColor="text1"/>
        </w:rPr>
        <w:t>in which</w:t>
      </w:r>
      <w:r w:rsidRPr="00695969">
        <w:rPr>
          <w:color w:val="000000" w:themeColor="text1"/>
        </w:rPr>
        <w:t xml:space="preserve"> ninety-seven participants from thirty-seven </w:t>
      </w:r>
      <w:r>
        <w:rPr>
          <w:color w:val="000000" w:themeColor="text1"/>
        </w:rPr>
        <w:t>P</w:t>
      </w:r>
      <w:r w:rsidRPr="00695969">
        <w:rPr>
          <w:color w:val="000000" w:themeColor="text1"/>
        </w:rPr>
        <w:t xml:space="preserve">arties, </w:t>
      </w:r>
      <w:r>
        <w:rPr>
          <w:color w:val="000000" w:themeColor="text1"/>
        </w:rPr>
        <w:t>O</w:t>
      </w:r>
      <w:r w:rsidRPr="00695969">
        <w:rPr>
          <w:color w:val="000000" w:themeColor="text1"/>
        </w:rPr>
        <w:t xml:space="preserve">bservers and </w:t>
      </w:r>
      <w:r>
        <w:rPr>
          <w:color w:val="000000" w:themeColor="text1"/>
        </w:rPr>
        <w:t>E</w:t>
      </w:r>
      <w:r w:rsidRPr="00695969">
        <w:rPr>
          <w:color w:val="000000" w:themeColor="text1"/>
        </w:rPr>
        <w:t>xperts took part. During ATCM XXXIX</w:t>
      </w:r>
      <w:r>
        <w:rPr>
          <w:color w:val="000000" w:themeColor="text1"/>
        </w:rPr>
        <w:t xml:space="preserve"> (2016)</w:t>
      </w:r>
      <w:r w:rsidRPr="00695969">
        <w:rPr>
          <w:color w:val="000000" w:themeColor="text1"/>
        </w:rPr>
        <w:t xml:space="preserve"> in Santiago, Bulgaria introduced WP 24 </w:t>
      </w:r>
      <w:r w:rsidRPr="00695969">
        <w:rPr>
          <w:i/>
          <w:color w:val="000000" w:themeColor="text1"/>
        </w:rPr>
        <w:t xml:space="preserve">First Report on the Intersessional Contact Group on Education and Outreach, </w:t>
      </w:r>
      <w:r w:rsidRPr="00695969">
        <w:rPr>
          <w:color w:val="000000" w:themeColor="text1"/>
        </w:rPr>
        <w:t xml:space="preserve">jointly prepared with Belgium, Brazil, Chile, Portugal and the United Kingdom. The ATCM recognised the contribution of </w:t>
      </w:r>
      <w:r>
        <w:rPr>
          <w:color w:val="000000" w:themeColor="text1"/>
        </w:rPr>
        <w:t>P</w:t>
      </w:r>
      <w:r w:rsidRPr="00695969">
        <w:rPr>
          <w:color w:val="000000" w:themeColor="text1"/>
        </w:rPr>
        <w:t xml:space="preserve">arties and the usefulness of the ICG’s work. Parties were advised to continue to use and promote the forum on Education and Outreach to share information on Education and Outreach activities and events with each other. Contributions to Education and Outreach activities from an Antarctic Treaty Perspective remains within the Multi-Year Strategic Work Plan of the ATCM. </w:t>
      </w:r>
    </w:p>
    <w:p w14:paraId="4FE40022" w14:textId="77777777" w:rsidR="0063499F" w:rsidRDefault="0063499F" w:rsidP="0063499F">
      <w:pPr>
        <w:rPr>
          <w:color w:val="000000" w:themeColor="text1"/>
        </w:rPr>
      </w:pPr>
      <w:r w:rsidRPr="00695969">
        <w:rPr>
          <w:color w:val="000000" w:themeColor="text1"/>
        </w:rPr>
        <w:t xml:space="preserve">As stated in the final report of ATCM </w:t>
      </w:r>
      <w:r>
        <w:rPr>
          <w:color w:val="000000" w:themeColor="text1"/>
        </w:rPr>
        <w:t>XLII</w:t>
      </w:r>
      <w:r w:rsidRPr="00695969">
        <w:rPr>
          <w:color w:val="000000" w:themeColor="text1"/>
        </w:rPr>
        <w:t xml:space="preserve"> </w:t>
      </w:r>
      <w:r>
        <w:rPr>
          <w:color w:val="000000" w:themeColor="text1"/>
        </w:rPr>
        <w:t xml:space="preserve">(2019) </w:t>
      </w:r>
      <w:r w:rsidRPr="00695969">
        <w:rPr>
          <w:color w:val="000000" w:themeColor="text1"/>
        </w:rPr>
        <w:t xml:space="preserve">in </w:t>
      </w:r>
      <w:r>
        <w:rPr>
          <w:color w:val="000000" w:themeColor="text1"/>
        </w:rPr>
        <w:t>Prague</w:t>
      </w:r>
      <w:r w:rsidRPr="00695969">
        <w:rPr>
          <w:color w:val="000000" w:themeColor="text1"/>
        </w:rPr>
        <w:t xml:space="preserve">, paragraph </w:t>
      </w:r>
      <w:r>
        <w:rPr>
          <w:color w:val="000000" w:themeColor="text1"/>
        </w:rPr>
        <w:t>208</w:t>
      </w:r>
      <w:r w:rsidRPr="00695969">
        <w:rPr>
          <w:color w:val="000000" w:themeColor="text1"/>
        </w:rPr>
        <w:t>, the Meeting agreed to continue the ICG on Education and Outreach for another intersessional period, and agreed to the following terms of reference:</w:t>
      </w:r>
    </w:p>
    <w:p w14:paraId="78E604EB" w14:textId="77777777" w:rsidR="0063499F" w:rsidRPr="00A116ED" w:rsidRDefault="0063499F" w:rsidP="0063499F">
      <w:pPr>
        <w:pStyle w:val="Prrafodelista"/>
        <w:numPr>
          <w:ilvl w:val="0"/>
          <w:numId w:val="23"/>
        </w:numPr>
        <w:rPr>
          <w:color w:val="000000" w:themeColor="text1"/>
        </w:rPr>
      </w:pPr>
      <w:r w:rsidRPr="00A116ED">
        <w:rPr>
          <w:color w:val="000000" w:themeColor="text1"/>
        </w:rPr>
        <w:t>Foster collaboration at both the national and international level, on Education and Outreach;</w:t>
      </w:r>
    </w:p>
    <w:p w14:paraId="2B57B325" w14:textId="77777777" w:rsidR="0063499F" w:rsidRPr="00A116ED" w:rsidRDefault="0063499F" w:rsidP="0063499F">
      <w:pPr>
        <w:pStyle w:val="Prrafodelista"/>
        <w:numPr>
          <w:ilvl w:val="0"/>
          <w:numId w:val="23"/>
        </w:numPr>
        <w:rPr>
          <w:color w:val="000000" w:themeColor="text1"/>
        </w:rPr>
      </w:pPr>
      <w:r w:rsidRPr="00A116ED">
        <w:rPr>
          <w:color w:val="000000" w:themeColor="text1"/>
        </w:rPr>
        <w:t>Identify key international activities/events related to education and outreach for possible engagement by the Antarctic Treaty Parties;</w:t>
      </w:r>
    </w:p>
    <w:p w14:paraId="5E804B03" w14:textId="77777777" w:rsidR="0063499F" w:rsidRPr="00A116ED" w:rsidRDefault="0063499F" w:rsidP="0063499F">
      <w:pPr>
        <w:pStyle w:val="Prrafodelista"/>
        <w:numPr>
          <w:ilvl w:val="0"/>
          <w:numId w:val="23"/>
        </w:numPr>
        <w:rPr>
          <w:color w:val="000000" w:themeColor="text1"/>
        </w:rPr>
      </w:pPr>
      <w:r w:rsidRPr="00A116ED">
        <w:rPr>
          <w:color w:val="000000" w:themeColor="text1"/>
        </w:rPr>
        <w:t>Share results of education and outreach initiatives that demonstrate the work of Antarctic Treaty Parties in managing the Antarctic Treaty area;</w:t>
      </w:r>
    </w:p>
    <w:p w14:paraId="7ACA913F" w14:textId="77777777" w:rsidR="0063499F" w:rsidRPr="00A116ED" w:rsidRDefault="0063499F" w:rsidP="0063499F">
      <w:pPr>
        <w:pStyle w:val="Prrafodelista"/>
        <w:numPr>
          <w:ilvl w:val="0"/>
          <w:numId w:val="23"/>
        </w:numPr>
        <w:rPr>
          <w:color w:val="000000" w:themeColor="text1"/>
        </w:rPr>
      </w:pPr>
      <w:r w:rsidRPr="00A116ED">
        <w:rPr>
          <w:color w:val="000000" w:themeColor="text1"/>
        </w:rPr>
        <w:t>Emphasise ongoing environmental protection initiatives that had been informed by scientific observations and results, in order to reinforce the importance of the Antarctic Treaty and its Protocol on Environmental</w:t>
      </w:r>
      <w:r>
        <w:rPr>
          <w:color w:val="000000" w:themeColor="text1"/>
        </w:rPr>
        <w:t xml:space="preserve"> </w:t>
      </w:r>
      <w:r w:rsidRPr="00A116ED">
        <w:rPr>
          <w:color w:val="000000" w:themeColor="text1"/>
        </w:rPr>
        <w:t>Protection</w:t>
      </w:r>
      <w:r>
        <w:rPr>
          <w:color w:val="000000" w:themeColor="text1"/>
        </w:rPr>
        <w:t>;</w:t>
      </w:r>
    </w:p>
    <w:p w14:paraId="483311F3" w14:textId="77777777" w:rsidR="0063499F" w:rsidRPr="00A116ED" w:rsidRDefault="0063499F" w:rsidP="0063499F">
      <w:pPr>
        <w:pStyle w:val="Prrafodelista"/>
        <w:numPr>
          <w:ilvl w:val="0"/>
          <w:numId w:val="23"/>
        </w:numPr>
        <w:rPr>
          <w:color w:val="000000" w:themeColor="text1"/>
        </w:rPr>
      </w:pPr>
      <w:r w:rsidRPr="00A116ED">
        <w:rPr>
          <w:color w:val="000000" w:themeColor="text1"/>
        </w:rPr>
        <w:t>Promote related education and outreach activities by Experts and Observers, and encourage cooperation with these groups;</w:t>
      </w:r>
    </w:p>
    <w:p w14:paraId="6A447F0D" w14:textId="77777777" w:rsidR="0063499F" w:rsidRPr="00A116ED" w:rsidRDefault="0063499F" w:rsidP="0063499F">
      <w:pPr>
        <w:pStyle w:val="Prrafodelista"/>
        <w:numPr>
          <w:ilvl w:val="0"/>
          <w:numId w:val="23"/>
        </w:numPr>
        <w:rPr>
          <w:color w:val="000000" w:themeColor="text1"/>
        </w:rPr>
      </w:pPr>
      <w:r w:rsidRPr="00A116ED">
        <w:rPr>
          <w:color w:val="000000" w:themeColor="text1"/>
        </w:rPr>
        <w:t>Discuss the possibility for the creation of an Antarctic Education and Outreach section on the A</w:t>
      </w:r>
      <w:r>
        <w:rPr>
          <w:color w:val="000000" w:themeColor="text1"/>
        </w:rPr>
        <w:t xml:space="preserve">ntarctic </w:t>
      </w:r>
      <w:r w:rsidRPr="00A116ED">
        <w:rPr>
          <w:color w:val="000000" w:themeColor="text1"/>
        </w:rPr>
        <w:t>T</w:t>
      </w:r>
      <w:r>
        <w:rPr>
          <w:color w:val="000000" w:themeColor="text1"/>
        </w:rPr>
        <w:t xml:space="preserve">reaty </w:t>
      </w:r>
      <w:r w:rsidRPr="00A116ED">
        <w:rPr>
          <w:color w:val="000000" w:themeColor="text1"/>
        </w:rPr>
        <w:t>S</w:t>
      </w:r>
      <w:r>
        <w:rPr>
          <w:color w:val="000000" w:themeColor="text1"/>
        </w:rPr>
        <w:t>ystem (ATS)</w:t>
      </w:r>
      <w:r w:rsidRPr="00A116ED">
        <w:rPr>
          <w:color w:val="000000" w:themeColor="text1"/>
        </w:rPr>
        <w:t xml:space="preserve"> website.</w:t>
      </w:r>
    </w:p>
    <w:p w14:paraId="60CB0584" w14:textId="77777777" w:rsidR="0063499F" w:rsidRPr="00695969" w:rsidRDefault="0063499F" w:rsidP="0063499F">
      <w:pPr>
        <w:rPr>
          <w:color w:val="000000" w:themeColor="text1"/>
        </w:rPr>
      </w:pPr>
      <w:r w:rsidRPr="00695969">
        <w:rPr>
          <w:color w:val="000000" w:themeColor="text1"/>
        </w:rPr>
        <w:br/>
      </w:r>
      <w:r w:rsidRPr="00695969">
        <w:rPr>
          <w:color w:val="000000" w:themeColor="text1"/>
          <w:lang w:val="en-US"/>
        </w:rPr>
        <w:t xml:space="preserve">Belgium, </w:t>
      </w:r>
      <w:r w:rsidRPr="00695969">
        <w:rPr>
          <w:color w:val="000000" w:themeColor="text1"/>
        </w:rPr>
        <w:t>Bulgaria, Brazil, Chile, P</w:t>
      </w:r>
      <w:r>
        <w:rPr>
          <w:color w:val="000000" w:themeColor="text1"/>
        </w:rPr>
        <w:t xml:space="preserve">ortugal, </w:t>
      </w:r>
      <w:r w:rsidRPr="006E6EE1">
        <w:rPr>
          <w:color w:val="000000" w:themeColor="text1"/>
        </w:rPr>
        <w:t>Spain a</w:t>
      </w:r>
      <w:r>
        <w:rPr>
          <w:color w:val="000000" w:themeColor="text1"/>
        </w:rPr>
        <w:t xml:space="preserve">nd the United Kingdom </w:t>
      </w:r>
      <w:r w:rsidRPr="00695969">
        <w:rPr>
          <w:color w:val="000000" w:themeColor="text1"/>
        </w:rPr>
        <w:t>will continue to form the Core Group which will moderate this forum.</w:t>
      </w:r>
    </w:p>
    <w:p w14:paraId="679F7317" w14:textId="77777777" w:rsidR="0063499F" w:rsidRDefault="0063499F" w:rsidP="0063499F">
      <w:pPr>
        <w:spacing w:before="480" w:after="120"/>
        <w:jc w:val="both"/>
        <w:rPr>
          <w:rFonts w:ascii="Arial" w:hAnsi="Arial" w:cs="Arial"/>
          <w:b/>
          <w:i/>
          <w:color w:val="222222"/>
          <w:sz w:val="24"/>
        </w:rPr>
      </w:pPr>
      <w:r>
        <w:rPr>
          <w:rFonts w:ascii="Arial" w:hAnsi="Arial" w:cs="Arial"/>
          <w:b/>
          <w:i/>
          <w:sz w:val="24"/>
        </w:rPr>
        <w:lastRenderedPageBreak/>
        <w:t>Method of Operation</w:t>
      </w:r>
    </w:p>
    <w:p w14:paraId="6B0F26E6" w14:textId="77777777" w:rsidR="0063499F" w:rsidRPr="006E6EE1" w:rsidRDefault="0063499F" w:rsidP="0063499F">
      <w:pPr>
        <w:rPr>
          <w:color w:val="000000" w:themeColor="text1"/>
        </w:rPr>
      </w:pPr>
      <w:r w:rsidRPr="006E6EE1">
        <w:rPr>
          <w:color w:val="000000" w:themeColor="text1"/>
        </w:rPr>
        <w:t>The ICG operates using the online ATCM Discussion Forum, under the topic ‘ICG on Education a</w:t>
      </w:r>
      <w:r>
        <w:rPr>
          <w:color w:val="000000" w:themeColor="text1"/>
        </w:rPr>
        <w:t>nd Outreach’. The discussion is</w:t>
      </w:r>
      <w:r w:rsidRPr="006E6EE1">
        <w:rPr>
          <w:color w:val="000000" w:themeColor="text1"/>
        </w:rPr>
        <w:t xml:space="preserve"> open to all Parties, Observers and Experts. Currently there are </w:t>
      </w:r>
      <w:r w:rsidRPr="0093362E">
        <w:rPr>
          <w:color w:val="000000" w:themeColor="text1"/>
        </w:rPr>
        <w:t>38</w:t>
      </w:r>
      <w:r w:rsidRPr="006E6EE1">
        <w:rPr>
          <w:color w:val="000000" w:themeColor="text1"/>
        </w:rPr>
        <w:t xml:space="preserve"> points of contact listed as participating in the ICG. Of these </w:t>
      </w:r>
      <w:r>
        <w:rPr>
          <w:color w:val="000000" w:themeColor="text1"/>
          <w:lang w:val="en-US"/>
        </w:rPr>
        <w:t>7</w:t>
      </w:r>
      <w:r w:rsidRPr="006E6EE1">
        <w:rPr>
          <w:color w:val="000000" w:themeColor="text1"/>
          <w:lang w:val="en-US"/>
        </w:rPr>
        <w:t xml:space="preserve"> </w:t>
      </w:r>
      <w:r w:rsidRPr="006E6EE1">
        <w:rPr>
          <w:color w:val="000000" w:themeColor="text1"/>
        </w:rPr>
        <w:t>parties</w:t>
      </w:r>
      <w:r w:rsidRPr="006E6EE1">
        <w:rPr>
          <w:color w:val="000000" w:themeColor="text1"/>
          <w:lang w:val="en-US"/>
        </w:rPr>
        <w:t xml:space="preserve"> and</w:t>
      </w:r>
      <w:r>
        <w:rPr>
          <w:color w:val="000000" w:themeColor="text1"/>
          <w:lang w:val="en-US"/>
        </w:rPr>
        <w:t xml:space="preserve"> </w:t>
      </w:r>
      <w:r w:rsidRPr="006E6EE1">
        <w:rPr>
          <w:color w:val="000000" w:themeColor="text1"/>
        </w:rPr>
        <w:t xml:space="preserve">observers and experts (up to </w:t>
      </w:r>
      <w:r>
        <w:rPr>
          <w:color w:val="000000" w:themeColor="text1"/>
          <w:lang w:val="en-US"/>
        </w:rPr>
        <w:t>27.04.2021</w:t>
      </w:r>
      <w:r w:rsidRPr="006E6EE1">
        <w:rPr>
          <w:color w:val="000000" w:themeColor="text1"/>
        </w:rPr>
        <w:t xml:space="preserve">) have participated in the forum. The ICG began work with an opening announcement by the convener </w:t>
      </w:r>
      <w:r>
        <w:rPr>
          <w:color w:val="000000" w:themeColor="text1"/>
        </w:rPr>
        <w:t>15</w:t>
      </w:r>
      <w:r w:rsidRPr="006E6EE1">
        <w:rPr>
          <w:color w:val="000000" w:themeColor="text1"/>
          <w:vertAlign w:val="superscript"/>
        </w:rPr>
        <w:t>th</w:t>
      </w:r>
      <w:r>
        <w:rPr>
          <w:color w:val="000000" w:themeColor="text1"/>
        </w:rPr>
        <w:t xml:space="preserve"> October 2019</w:t>
      </w:r>
      <w:r w:rsidRPr="006E6EE1">
        <w:rPr>
          <w:color w:val="000000" w:themeColor="text1"/>
        </w:rPr>
        <w:t>. The work plan was arranged in three stages:</w:t>
      </w:r>
    </w:p>
    <w:p w14:paraId="3F5434D3" w14:textId="77777777" w:rsidR="0063499F" w:rsidRPr="006E6EE1" w:rsidRDefault="0063499F" w:rsidP="0063499F">
      <w:pPr>
        <w:widowControl w:val="0"/>
        <w:numPr>
          <w:ilvl w:val="0"/>
          <w:numId w:val="21"/>
        </w:numPr>
        <w:ind w:hanging="360"/>
        <w:rPr>
          <w:color w:val="000000" w:themeColor="text1"/>
        </w:rPr>
      </w:pPr>
      <w:r w:rsidRPr="006E6EE1">
        <w:rPr>
          <w:color w:val="000000" w:themeColor="text1"/>
        </w:rPr>
        <w:t>Stage 1: Opening announcement with opening notes, proposed timetable and working scheme</w:t>
      </w:r>
      <w:r>
        <w:rPr>
          <w:color w:val="000000" w:themeColor="text1"/>
        </w:rPr>
        <w:t>;</w:t>
      </w:r>
    </w:p>
    <w:p w14:paraId="1C7B5274" w14:textId="77777777" w:rsidR="0063499F" w:rsidRPr="006E6EE1" w:rsidRDefault="0063499F" w:rsidP="0063499F">
      <w:pPr>
        <w:widowControl w:val="0"/>
        <w:numPr>
          <w:ilvl w:val="0"/>
          <w:numId w:val="21"/>
        </w:numPr>
        <w:ind w:hanging="360"/>
        <w:rPr>
          <w:color w:val="000000" w:themeColor="text1"/>
        </w:rPr>
      </w:pPr>
      <w:r w:rsidRPr="006E6EE1">
        <w:rPr>
          <w:color w:val="000000" w:themeColor="text1"/>
        </w:rPr>
        <w:t>Stage 2:  Requesting parties to provide initial comments, proposals and sh</w:t>
      </w:r>
      <w:r>
        <w:rPr>
          <w:color w:val="000000" w:themeColor="text1"/>
        </w:rPr>
        <w:t>aring information on ToR issues</w:t>
      </w:r>
      <w:r w:rsidRPr="006E6EE1">
        <w:rPr>
          <w:color w:val="000000" w:themeColor="text1"/>
        </w:rPr>
        <w:t>;</w:t>
      </w:r>
    </w:p>
    <w:p w14:paraId="4216F0C6" w14:textId="77777777" w:rsidR="0063499F" w:rsidRDefault="0063499F" w:rsidP="0063499F">
      <w:pPr>
        <w:widowControl w:val="0"/>
        <w:numPr>
          <w:ilvl w:val="0"/>
          <w:numId w:val="21"/>
        </w:numPr>
        <w:ind w:hanging="360"/>
        <w:rPr>
          <w:color w:val="000000" w:themeColor="text1"/>
        </w:rPr>
      </w:pPr>
      <w:r w:rsidRPr="006E6EE1">
        <w:rPr>
          <w:color w:val="000000" w:themeColor="text1"/>
        </w:rPr>
        <w:t>Stage 3: Preparation and submission of Working P</w:t>
      </w:r>
      <w:r>
        <w:rPr>
          <w:color w:val="000000" w:themeColor="text1"/>
        </w:rPr>
        <w:t>aper report of the ICG for ATCM.</w:t>
      </w:r>
    </w:p>
    <w:p w14:paraId="051FC475" w14:textId="77777777" w:rsidR="0063499F" w:rsidRDefault="0063499F" w:rsidP="0063499F">
      <w:pPr>
        <w:widowControl w:val="0"/>
        <w:ind w:left="720"/>
        <w:rPr>
          <w:color w:val="000000" w:themeColor="text1"/>
        </w:rPr>
      </w:pPr>
    </w:p>
    <w:p w14:paraId="2EC07EE4" w14:textId="77777777" w:rsidR="0063499F" w:rsidRPr="00E07F47" w:rsidRDefault="0063499F" w:rsidP="0063499F">
      <w:pPr>
        <w:widowControl w:val="0"/>
        <w:rPr>
          <w:color w:val="000000" w:themeColor="text1"/>
          <w:lang w:val="bg-BG"/>
        </w:rPr>
      </w:pPr>
      <w:r>
        <w:rPr>
          <w:color w:val="000000" w:themeColor="text1"/>
        </w:rPr>
        <w:t>Taking in account that the last year`s ATCM was postponed, the work of the ICG continued over a period of two years.</w:t>
      </w:r>
    </w:p>
    <w:p w14:paraId="29D0C81F" w14:textId="77777777" w:rsidR="0063499F" w:rsidRPr="00E6274C" w:rsidRDefault="0063499F" w:rsidP="0063499F">
      <w:pPr>
        <w:spacing w:before="120"/>
        <w:rPr>
          <w:lang w:val="en-US"/>
        </w:rPr>
      </w:pPr>
      <w:r>
        <w:rPr>
          <w:rFonts w:ascii="Arial" w:hAnsi="Arial" w:cs="Arial"/>
          <w:b/>
          <w:i/>
          <w:sz w:val="24"/>
        </w:rPr>
        <w:t>Discussions</w:t>
      </w:r>
    </w:p>
    <w:p w14:paraId="499A1831" w14:textId="77777777" w:rsidR="0063499F" w:rsidRPr="00685BA9" w:rsidRDefault="0063499F" w:rsidP="0063499F">
      <w:pPr>
        <w:spacing w:before="120"/>
        <w:rPr>
          <w:color w:val="000000" w:themeColor="text1"/>
        </w:rPr>
      </w:pPr>
      <w:r w:rsidRPr="00E07F47">
        <w:rPr>
          <w:color w:val="000000" w:themeColor="text1"/>
          <w:lang w:val="en-US"/>
        </w:rPr>
        <w:t xml:space="preserve">There are </w:t>
      </w:r>
      <w:r>
        <w:rPr>
          <w:color w:val="000000" w:themeColor="text1"/>
          <w:lang w:val="en-US"/>
        </w:rPr>
        <w:t>25</w:t>
      </w:r>
      <w:r w:rsidRPr="00E07F47">
        <w:rPr>
          <w:color w:val="000000" w:themeColor="text1"/>
          <w:lang w:val="en-US"/>
        </w:rPr>
        <w:t xml:space="preserve"> posts</w:t>
      </w:r>
      <w:r>
        <w:rPr>
          <w:color w:val="000000" w:themeColor="text1"/>
          <w:lang w:val="en-US"/>
        </w:rPr>
        <w:t xml:space="preserve"> </w:t>
      </w:r>
      <w:r w:rsidRPr="00E07F47">
        <w:rPr>
          <w:color w:val="000000" w:themeColor="text1"/>
          <w:lang w:val="en-US"/>
        </w:rPr>
        <w:t xml:space="preserve">(up to </w:t>
      </w:r>
      <w:r>
        <w:rPr>
          <w:color w:val="000000" w:themeColor="text1"/>
          <w:lang w:val="en-US"/>
        </w:rPr>
        <w:t>27.04.2021</w:t>
      </w:r>
      <w:r w:rsidRPr="00E07F47">
        <w:rPr>
          <w:color w:val="000000" w:themeColor="text1"/>
          <w:lang w:val="en-US"/>
        </w:rPr>
        <w:t xml:space="preserve">) from </w:t>
      </w:r>
      <w:r>
        <w:rPr>
          <w:color w:val="000000" w:themeColor="text1"/>
          <w:lang w:val="en-US"/>
        </w:rPr>
        <w:t>7</w:t>
      </w:r>
      <w:r w:rsidRPr="00E07F47">
        <w:rPr>
          <w:color w:val="000000" w:themeColor="text1"/>
          <w:lang w:val="en-US"/>
        </w:rPr>
        <w:t xml:space="preserve"> parties</w:t>
      </w:r>
      <w:r>
        <w:rPr>
          <w:color w:val="000000" w:themeColor="text1"/>
          <w:lang w:val="en-US"/>
        </w:rPr>
        <w:t>,</w:t>
      </w:r>
      <w:r w:rsidRPr="00E07F47">
        <w:rPr>
          <w:color w:val="000000" w:themeColor="text1"/>
          <w:lang w:val="en-US"/>
        </w:rPr>
        <w:t xml:space="preserve"> observers and experts (</w:t>
      </w:r>
      <w:r>
        <w:rPr>
          <w:color w:val="000000" w:themeColor="text1"/>
          <w:lang w:val="en-US"/>
        </w:rPr>
        <w:t>Belgium</w:t>
      </w:r>
      <w:r w:rsidRPr="00E07F47">
        <w:rPr>
          <w:color w:val="000000" w:themeColor="text1"/>
          <w:lang w:val="en-US"/>
        </w:rPr>
        <w:t>, Bulgaria,</w:t>
      </w:r>
      <w:r>
        <w:rPr>
          <w:color w:val="000000" w:themeColor="text1"/>
          <w:lang w:val="en-US"/>
        </w:rPr>
        <w:t xml:space="preserve"> Czech Republic,</w:t>
      </w:r>
      <w:r w:rsidRPr="00E07F47">
        <w:rPr>
          <w:color w:val="000000" w:themeColor="text1"/>
          <w:lang w:val="en-US"/>
        </w:rPr>
        <w:t xml:space="preserve"> </w:t>
      </w:r>
      <w:r>
        <w:rPr>
          <w:color w:val="000000" w:themeColor="text1"/>
          <w:lang w:val="en-US"/>
        </w:rPr>
        <w:t>India, Portugal, UK and</w:t>
      </w:r>
      <w:r w:rsidRPr="00E07F47">
        <w:rPr>
          <w:color w:val="000000" w:themeColor="text1"/>
          <w:lang w:val="en-US"/>
        </w:rPr>
        <w:t xml:space="preserve"> </w:t>
      </w:r>
      <w:r>
        <w:rPr>
          <w:color w:val="000000" w:themeColor="text1"/>
          <w:lang w:val="en-US"/>
        </w:rPr>
        <w:t>COMNAP</w:t>
      </w:r>
      <w:r w:rsidRPr="00E07F47">
        <w:rPr>
          <w:color w:val="000000" w:themeColor="text1"/>
          <w:lang w:val="en-US"/>
        </w:rPr>
        <w:t>)</w:t>
      </w:r>
      <w:r>
        <w:rPr>
          <w:color w:val="000000" w:themeColor="text1"/>
          <w:lang w:val="en-US"/>
        </w:rPr>
        <w:t>.</w:t>
      </w:r>
      <w:r w:rsidRPr="00E07F47">
        <w:rPr>
          <w:color w:val="000000" w:themeColor="text1"/>
        </w:rPr>
        <w:t xml:space="preserve"> There are </w:t>
      </w:r>
      <w:r>
        <w:rPr>
          <w:color w:val="000000" w:themeColor="text1"/>
          <w:lang w:val="en-US"/>
        </w:rPr>
        <w:t>16</w:t>
      </w:r>
      <w:r w:rsidRPr="00E07F47">
        <w:rPr>
          <w:color w:val="000000" w:themeColor="text1"/>
        </w:rPr>
        <w:t xml:space="preserve"> topics</w:t>
      </w:r>
      <w:r w:rsidRPr="004B1221">
        <w:t xml:space="preserve"> </w:t>
      </w:r>
      <w:r w:rsidRPr="004B1221">
        <w:rPr>
          <w:color w:val="000000" w:themeColor="text1"/>
        </w:rPr>
        <w:t xml:space="preserve">and </w:t>
      </w:r>
      <w:r>
        <w:rPr>
          <w:color w:val="000000" w:themeColor="text1"/>
        </w:rPr>
        <w:t>425</w:t>
      </w:r>
      <w:r w:rsidRPr="004B1221">
        <w:rPr>
          <w:color w:val="000000" w:themeColor="text1"/>
        </w:rPr>
        <w:t xml:space="preserve"> views </w:t>
      </w:r>
      <w:r w:rsidRPr="00E07F47">
        <w:rPr>
          <w:color w:val="000000" w:themeColor="text1"/>
        </w:rPr>
        <w:t>within the forum:</w:t>
      </w:r>
      <w:r w:rsidRPr="00E07F47">
        <w:rPr>
          <w:i/>
          <w:color w:val="000000" w:themeColor="text1"/>
        </w:rPr>
        <w:t xml:space="preserve"> Opening Announcement</w:t>
      </w:r>
      <w:r w:rsidRPr="00E07F47">
        <w:rPr>
          <w:color w:val="000000" w:themeColor="text1"/>
          <w:lang w:val="en-US"/>
        </w:rPr>
        <w:t>;</w:t>
      </w:r>
      <w:r w:rsidRPr="004B1221">
        <w:t xml:space="preserve"> </w:t>
      </w:r>
      <w:r w:rsidRPr="004B1221">
        <w:rPr>
          <w:i/>
          <w:color w:val="000000" w:themeColor="text1"/>
          <w:lang w:val="en-US"/>
        </w:rPr>
        <w:t>Celebrating Fernão de Magalhães/Fernand Magellan/Hernando de Magallanes</w:t>
      </w:r>
      <w:r>
        <w:rPr>
          <w:color w:val="000000" w:themeColor="text1"/>
        </w:rPr>
        <w:t>;</w:t>
      </w:r>
      <w:r w:rsidRPr="00E07F47">
        <w:rPr>
          <w:i/>
          <w:color w:val="000000" w:themeColor="text1"/>
        </w:rPr>
        <w:t xml:space="preserve"> Antarctica Day 201</w:t>
      </w:r>
      <w:r>
        <w:rPr>
          <w:i/>
          <w:color w:val="000000" w:themeColor="text1"/>
        </w:rPr>
        <w:t>9</w:t>
      </w:r>
      <w:r w:rsidRPr="00E07F47">
        <w:rPr>
          <w:color w:val="000000" w:themeColor="text1"/>
          <w:lang w:val="en-US"/>
        </w:rPr>
        <w:t>;</w:t>
      </w:r>
      <w:r>
        <w:rPr>
          <w:color w:val="000000" w:themeColor="text1"/>
          <w:lang w:val="en-US"/>
        </w:rPr>
        <w:t xml:space="preserve"> </w:t>
      </w:r>
      <w:r w:rsidRPr="004B1221">
        <w:rPr>
          <w:i/>
          <w:color w:val="000000" w:themeColor="text1"/>
          <w:lang w:val="en-US"/>
        </w:rPr>
        <w:t>UN Conference on Oceans: links to the Antarctic Treaty</w:t>
      </w:r>
      <w:r>
        <w:rPr>
          <w:color w:val="000000" w:themeColor="text1"/>
        </w:rPr>
        <w:t xml:space="preserve">; </w:t>
      </w:r>
      <w:r w:rsidRPr="004B1221">
        <w:rPr>
          <w:i/>
          <w:color w:val="000000" w:themeColor="text1"/>
        </w:rPr>
        <w:t>Special issue on Polar Education and Outreach</w:t>
      </w:r>
      <w:r w:rsidRPr="00E07F47">
        <w:rPr>
          <w:i/>
          <w:color w:val="000000" w:themeColor="text1"/>
          <w:lang w:val="en-US"/>
        </w:rPr>
        <w:t>;</w:t>
      </w:r>
      <w:r w:rsidRPr="004B1221">
        <w:t xml:space="preserve"> </w:t>
      </w:r>
      <w:r w:rsidRPr="004B1221">
        <w:rPr>
          <w:i/>
          <w:color w:val="000000" w:themeColor="text1"/>
          <w:lang w:val="en-US"/>
        </w:rPr>
        <w:t>Contributions of Belgian scientists to Education and Outreach related to Antarctica</w:t>
      </w:r>
      <w:r w:rsidRPr="00E07F47">
        <w:rPr>
          <w:color w:val="000000" w:themeColor="text1"/>
          <w:lang w:val="en-US"/>
        </w:rPr>
        <w:t xml:space="preserve">; </w:t>
      </w:r>
      <w:r>
        <w:rPr>
          <w:color w:val="000000" w:themeColor="text1"/>
          <w:lang w:val="en-US"/>
        </w:rPr>
        <w:t xml:space="preserve"> </w:t>
      </w:r>
      <w:r w:rsidRPr="004B1221">
        <w:rPr>
          <w:i/>
          <w:color w:val="000000" w:themeColor="text1"/>
          <w:lang w:val="en-US"/>
        </w:rPr>
        <w:t>COMNAP Workshop 2019</w:t>
      </w:r>
      <w:r>
        <w:rPr>
          <w:color w:val="000000" w:themeColor="text1"/>
          <w:lang w:val="en-US"/>
        </w:rPr>
        <w:t xml:space="preserve">; </w:t>
      </w:r>
      <w:r w:rsidRPr="004B1221">
        <w:rPr>
          <w:color w:val="000000" w:themeColor="text1"/>
          <w:lang w:val="en-US"/>
        </w:rPr>
        <w:t xml:space="preserve"> </w:t>
      </w:r>
      <w:r w:rsidRPr="004B1221">
        <w:rPr>
          <w:i/>
          <w:color w:val="000000" w:themeColor="text1"/>
          <w:lang w:val="en-US"/>
        </w:rPr>
        <w:t>Czech Republic - Education and Outreach activities - 2019;</w:t>
      </w:r>
      <w:r>
        <w:rPr>
          <w:color w:val="000000" w:themeColor="text1"/>
          <w:lang w:val="en-US"/>
        </w:rPr>
        <w:t xml:space="preserve"> </w:t>
      </w:r>
      <w:r w:rsidRPr="004B1221">
        <w:rPr>
          <w:i/>
          <w:color w:val="000000" w:themeColor="text1"/>
          <w:lang w:val="en-US"/>
        </w:rPr>
        <w:t>POLAR WEEKS 2020 and ongoing  Outcomes</w:t>
      </w:r>
      <w:r>
        <w:rPr>
          <w:color w:val="000000" w:themeColor="text1"/>
        </w:rPr>
        <w:t xml:space="preserve">; </w:t>
      </w:r>
      <w:r w:rsidRPr="004B1221">
        <w:rPr>
          <w:color w:val="000000" w:themeColor="text1"/>
        </w:rPr>
        <w:t xml:space="preserve"> </w:t>
      </w:r>
      <w:r w:rsidRPr="004B1221">
        <w:rPr>
          <w:i/>
          <w:color w:val="000000" w:themeColor="text1"/>
        </w:rPr>
        <w:t xml:space="preserve">Bulgaria - Education and Outreach Activities march 2020-march </w:t>
      </w:r>
      <w:r w:rsidRPr="003B1473">
        <w:rPr>
          <w:i/>
          <w:color w:val="000000" w:themeColor="text1"/>
        </w:rPr>
        <w:t>2021</w:t>
      </w:r>
      <w:r>
        <w:rPr>
          <w:rStyle w:val="apple-converted-space"/>
          <w:color w:val="000000" w:themeColor="text1"/>
          <w:sz w:val="17"/>
          <w:szCs w:val="17"/>
        </w:rPr>
        <w:t xml:space="preserve">; </w:t>
      </w:r>
      <w:r w:rsidRPr="006A4F10">
        <w:rPr>
          <w:rStyle w:val="apple-converted-space"/>
          <w:i/>
          <w:color w:val="000000" w:themeColor="text1"/>
          <w:szCs w:val="22"/>
        </w:rPr>
        <w:t>UK public engagement in a new polar research ship, enhancing diversity in polar science and education and outreach during a global pandemic</w:t>
      </w:r>
      <w:r>
        <w:rPr>
          <w:rStyle w:val="apple-converted-space"/>
          <w:i/>
          <w:color w:val="000000" w:themeColor="text1"/>
          <w:szCs w:val="22"/>
        </w:rPr>
        <w:t xml:space="preserve">; </w:t>
      </w:r>
      <w:r>
        <w:rPr>
          <w:i/>
          <w:color w:val="000000" w:themeColor="text1"/>
        </w:rPr>
        <w:t>APECS report on E &amp; O 2020</w:t>
      </w:r>
      <w:r>
        <w:rPr>
          <w:rStyle w:val="apple-converted-space"/>
          <w:color w:val="000000" w:themeColor="text1"/>
          <w:sz w:val="17"/>
          <w:szCs w:val="17"/>
        </w:rPr>
        <w:t xml:space="preserve">. </w:t>
      </w:r>
    </w:p>
    <w:p w14:paraId="379EDBDB" w14:textId="77777777" w:rsidR="0063499F" w:rsidRPr="00E07F47" w:rsidRDefault="0063499F" w:rsidP="0063499F">
      <w:pPr>
        <w:spacing w:before="120"/>
        <w:rPr>
          <w:color w:val="000000" w:themeColor="text1"/>
        </w:rPr>
      </w:pPr>
      <w:r>
        <w:rPr>
          <w:color w:val="000000" w:themeColor="text1"/>
        </w:rPr>
        <w:t xml:space="preserve">The pandemic coronavirus disease </w:t>
      </w:r>
      <w:r w:rsidRPr="00BF68BC">
        <w:rPr>
          <w:color w:val="000000" w:themeColor="text1"/>
        </w:rPr>
        <w:t>COVID19</w:t>
      </w:r>
      <w:r>
        <w:rPr>
          <w:color w:val="000000" w:themeColor="text1"/>
        </w:rPr>
        <w:t xml:space="preserve"> required most of the reported</w:t>
      </w:r>
      <w:r w:rsidRPr="00BF68BC">
        <w:rPr>
          <w:color w:val="000000" w:themeColor="text1"/>
        </w:rPr>
        <w:t xml:space="preserve"> activities </w:t>
      </w:r>
      <w:r>
        <w:rPr>
          <w:color w:val="000000" w:themeColor="text1"/>
        </w:rPr>
        <w:t>to be</w:t>
      </w:r>
      <w:r w:rsidRPr="00BF68BC">
        <w:rPr>
          <w:color w:val="000000" w:themeColor="text1"/>
        </w:rPr>
        <w:t xml:space="preserve"> carried out online</w:t>
      </w:r>
      <w:r>
        <w:rPr>
          <w:color w:val="000000" w:themeColor="text1"/>
        </w:rPr>
        <w:t xml:space="preserve"> or in accordance with the pandemic restrictions in different countries. </w:t>
      </w:r>
    </w:p>
    <w:p w14:paraId="6465220B" w14:textId="77777777" w:rsidR="0063499F" w:rsidRDefault="0063499F" w:rsidP="0063499F">
      <w:pPr>
        <w:spacing w:before="120"/>
        <w:rPr>
          <w:color w:val="000000" w:themeColor="text1"/>
        </w:rPr>
      </w:pPr>
      <w:r>
        <w:rPr>
          <w:color w:val="000000" w:themeColor="text1"/>
        </w:rPr>
        <w:t>A</w:t>
      </w:r>
      <w:r w:rsidRPr="00BF68BC">
        <w:rPr>
          <w:color w:val="000000" w:themeColor="text1"/>
        </w:rPr>
        <w:t xml:space="preserve"> number of activities celebrating the 500th anniversary of the first World circumnavigation made by the expedition of Fernão de Magalhães/Fernand Magellan</w:t>
      </w:r>
      <w:r>
        <w:rPr>
          <w:color w:val="000000" w:themeColor="text1"/>
        </w:rPr>
        <w:t>/Hernando de Magallanes in 1519 were discussed and noted.</w:t>
      </w:r>
    </w:p>
    <w:p w14:paraId="16D7F6C3" w14:textId="77777777" w:rsidR="0063499F" w:rsidRDefault="0063499F" w:rsidP="0063499F">
      <w:pPr>
        <w:spacing w:before="120"/>
        <w:rPr>
          <w:sz w:val="24"/>
          <w:lang w:val="en-US"/>
        </w:rPr>
      </w:pPr>
      <w:r>
        <w:rPr>
          <w:color w:val="000000" w:themeColor="text1"/>
        </w:rPr>
        <w:t>Some Parties (Czech Republic, Belgium and Bulgaria) shared information about their education and outreach activities in the intersessional period. Belgium shared a very positive experience of an itinerant exhibition, Antarctica, by</w:t>
      </w:r>
      <w:r w:rsidRPr="0051540E">
        <w:rPr>
          <w:sz w:val="24"/>
          <w:lang w:val="en-US"/>
        </w:rPr>
        <w:t xml:space="preserve"> </w:t>
      </w:r>
      <w:r w:rsidRPr="00F637D6">
        <w:rPr>
          <w:sz w:val="24"/>
          <w:lang w:val="en-US"/>
        </w:rPr>
        <w:t>Luc Jacquet</w:t>
      </w:r>
      <w:r>
        <w:rPr>
          <w:sz w:val="24"/>
          <w:lang w:val="en-US"/>
        </w:rPr>
        <w:t>.</w:t>
      </w:r>
    </w:p>
    <w:p w14:paraId="7622467E" w14:textId="77777777" w:rsidR="0063499F" w:rsidRPr="00685BA9" w:rsidRDefault="0063499F" w:rsidP="0063499F">
      <w:pPr>
        <w:spacing w:before="120"/>
        <w:rPr>
          <w:szCs w:val="22"/>
          <w:lang w:val="en-US"/>
        </w:rPr>
      </w:pPr>
      <w:r w:rsidRPr="00685BA9">
        <w:rPr>
          <w:color w:val="000000" w:themeColor="text1"/>
          <w:szCs w:val="22"/>
        </w:rPr>
        <w:t xml:space="preserve">POLAR WEEKS and Antarctica Day celebrations were shared with numerous online activities organised by the different countries. Digital technologies such as Zoom, Microsoft Teams and Webinars provide effective online platforms to connect polar scientists, schools and general public. As an example, Association of Polar Early Career Scientists (APECS) Portugal and PEI (Polar Educators International) carried out a POLAR WEEK in September 2020 and engaged 11152 students, 12 Antarctic scientists and 78 teachers/educators with related partners; and British Antarctic Survey’s Antarctica Week 10 zoom webinars attracted over 70000 viewers and a further 1800 viewings of the recordings.  The estimated total audience for </w:t>
      </w:r>
      <w:r w:rsidRPr="00685BA9">
        <w:rPr>
          <w:szCs w:val="22"/>
          <w:lang w:eastAsia="en-GB"/>
        </w:rPr>
        <w:t>#AntarcticaWeek posts shared across BAS, and external social media was 1.03 million.</w:t>
      </w:r>
    </w:p>
    <w:p w14:paraId="1BF73DB2" w14:textId="77777777" w:rsidR="0063499F" w:rsidRDefault="0063499F" w:rsidP="0063499F">
      <w:pPr>
        <w:spacing w:before="120"/>
        <w:rPr>
          <w:color w:val="000000" w:themeColor="text1"/>
        </w:rPr>
      </w:pPr>
      <w:r>
        <w:t xml:space="preserve">A UK STEM campaign built around the high profile and public celebration of the new Royal Research Ship – the RRS </w:t>
      </w:r>
      <w:r w:rsidRPr="00D83DD2">
        <w:rPr>
          <w:i/>
        </w:rPr>
        <w:t>Sir David Attenborough</w:t>
      </w:r>
      <w:r>
        <w:rPr>
          <w:i/>
        </w:rPr>
        <w:t xml:space="preserve"> </w:t>
      </w:r>
      <w:r>
        <w:t>over three days 26-28 September engaged millions of school children from Britain and around the world</w:t>
      </w:r>
      <w:r>
        <w:rPr>
          <w:i/>
        </w:rPr>
        <w:t>.</w:t>
      </w:r>
    </w:p>
    <w:p w14:paraId="77069B1F" w14:textId="77777777" w:rsidR="0063499F" w:rsidRDefault="0063499F" w:rsidP="0063499F">
      <w:pPr>
        <w:spacing w:before="120"/>
        <w:rPr>
          <w:color w:val="000000" w:themeColor="text1"/>
        </w:rPr>
      </w:pPr>
      <w:r>
        <w:rPr>
          <w:color w:val="000000" w:themeColor="text1"/>
        </w:rPr>
        <w:t>Council of Managers of National Antarctic Programs (</w:t>
      </w:r>
      <w:r w:rsidRPr="00F44721">
        <w:rPr>
          <w:color w:val="000000" w:themeColor="text1"/>
        </w:rPr>
        <w:t>COMNAP</w:t>
      </w:r>
      <w:r>
        <w:rPr>
          <w:color w:val="000000" w:themeColor="text1"/>
        </w:rPr>
        <w:t>) reported the outcome from the</w:t>
      </w:r>
      <w:r w:rsidRPr="00F44721">
        <w:rPr>
          <w:color w:val="000000" w:themeColor="text1"/>
        </w:rPr>
        <w:t xml:space="preserve"> half day Education and Outreach Workshop called “Communicating the Importance of our Antarctic Research</w:t>
      </w:r>
      <w:r>
        <w:rPr>
          <w:color w:val="000000" w:themeColor="text1"/>
        </w:rPr>
        <w:t xml:space="preserve">”, which was held during the </w:t>
      </w:r>
      <w:r w:rsidRPr="00F44721">
        <w:rPr>
          <w:color w:val="000000" w:themeColor="text1"/>
        </w:rPr>
        <w:t>Annual General Meeting XXXI (2019) in Plovdiv, Bulgaria</w:t>
      </w:r>
      <w:r>
        <w:rPr>
          <w:color w:val="000000" w:themeColor="text1"/>
        </w:rPr>
        <w:t xml:space="preserve">. </w:t>
      </w:r>
      <w:r w:rsidRPr="00D13F49">
        <w:rPr>
          <w:color w:val="000000" w:themeColor="text1"/>
        </w:rPr>
        <w:t>During the workshop, national Antarctic programs shared their experiences in launching a general public campaign through the media and live updates about the current and future work of the Antarctic programs.</w:t>
      </w:r>
      <w:r>
        <w:rPr>
          <w:color w:val="000000" w:themeColor="text1"/>
        </w:rPr>
        <w:t xml:space="preserve"> In the report it was emphasised the importance of the usage of digital media, online platforms and modern technology for reaching out to the better communities</w:t>
      </w:r>
      <w:r w:rsidRPr="00D13F49">
        <w:t xml:space="preserve"> </w:t>
      </w:r>
      <w:r w:rsidRPr="00D13F49">
        <w:rPr>
          <w:color w:val="000000" w:themeColor="text1"/>
        </w:rPr>
        <w:t xml:space="preserve">between Antarctic stations and </w:t>
      </w:r>
      <w:r>
        <w:rPr>
          <w:color w:val="000000" w:themeColor="text1"/>
        </w:rPr>
        <w:t>general public.</w:t>
      </w:r>
    </w:p>
    <w:p w14:paraId="5379DCB6" w14:textId="77777777" w:rsidR="0063499F" w:rsidRDefault="0063499F" w:rsidP="0063499F">
      <w:pPr>
        <w:spacing w:before="120"/>
        <w:rPr>
          <w:color w:val="000000" w:themeColor="text1"/>
        </w:rPr>
      </w:pPr>
      <w:r>
        <w:rPr>
          <w:color w:val="000000" w:themeColor="text1"/>
        </w:rPr>
        <w:t xml:space="preserve">The article, </w:t>
      </w:r>
      <w:r w:rsidRPr="001E623A">
        <w:rPr>
          <w:color w:val="000000" w:themeColor="text1"/>
        </w:rPr>
        <w:t>“Education and outreach by the Antarctic Treaty Parties, Observers and Experts under the framework of the Antarctic Treaty Consultative Meetings”</w:t>
      </w:r>
      <w:r>
        <w:rPr>
          <w:color w:val="000000" w:themeColor="text1"/>
        </w:rPr>
        <w:t>, in the s</w:t>
      </w:r>
      <w:r w:rsidRPr="001E623A">
        <w:rPr>
          <w:color w:val="000000" w:themeColor="text1"/>
        </w:rPr>
        <w:t xml:space="preserve">pecial Issue on Education and Outreach </w:t>
      </w:r>
      <w:r>
        <w:rPr>
          <w:color w:val="000000" w:themeColor="text1"/>
        </w:rPr>
        <w:lastRenderedPageBreak/>
        <w:t>by the journal Polar Records,</w:t>
      </w:r>
      <w:r w:rsidRPr="001E623A">
        <w:t xml:space="preserve"> </w:t>
      </w:r>
      <w:r w:rsidRPr="001E623A">
        <w:rPr>
          <w:color w:val="000000" w:themeColor="text1"/>
        </w:rPr>
        <w:t>reflecting on Education, Outreach and Engagement ten years after the I</w:t>
      </w:r>
      <w:r>
        <w:rPr>
          <w:color w:val="000000" w:themeColor="text1"/>
        </w:rPr>
        <w:t xml:space="preserve">nternational Polar Year 2007-8, was shared widely online.  </w:t>
      </w:r>
    </w:p>
    <w:p w14:paraId="0515140D" w14:textId="77777777" w:rsidR="0063499F" w:rsidRDefault="0063499F" w:rsidP="0063499F">
      <w:pPr>
        <w:spacing w:before="480" w:after="120"/>
        <w:jc w:val="both"/>
        <w:rPr>
          <w:rFonts w:ascii="Arial" w:hAnsi="Arial" w:cs="Arial"/>
          <w:b/>
          <w:i/>
          <w:sz w:val="24"/>
        </w:rPr>
      </w:pPr>
      <w:r>
        <w:rPr>
          <w:rFonts w:ascii="Arial" w:hAnsi="Arial" w:cs="Arial"/>
          <w:b/>
          <w:i/>
          <w:sz w:val="24"/>
        </w:rPr>
        <w:t>Recommendations</w:t>
      </w:r>
    </w:p>
    <w:p w14:paraId="14AEF9B6" w14:textId="77777777" w:rsidR="0063499F" w:rsidRPr="00146307" w:rsidRDefault="0063499F" w:rsidP="0063499F">
      <w:pPr>
        <w:spacing w:before="120"/>
        <w:rPr>
          <w:color w:val="8EAADB" w:themeColor="accent1" w:themeTint="99"/>
        </w:rPr>
      </w:pPr>
      <w:r w:rsidRPr="00825180">
        <w:t>The ICG recommends that the ATCM</w:t>
      </w:r>
    </w:p>
    <w:p w14:paraId="17AE7D6E" w14:textId="77777777" w:rsidR="0063499F" w:rsidRPr="0093362E" w:rsidRDefault="0063499F" w:rsidP="0063499F">
      <w:pPr>
        <w:pStyle w:val="Prrafodelista"/>
        <w:numPr>
          <w:ilvl w:val="0"/>
          <w:numId w:val="22"/>
        </w:numPr>
        <w:spacing w:before="120"/>
        <w:rPr>
          <w:szCs w:val="22"/>
          <w:lang w:eastAsia="bg-BG"/>
        </w:rPr>
      </w:pPr>
      <w:r w:rsidRPr="0093362E">
        <w:rPr>
          <w:szCs w:val="22"/>
          <w:lang w:eastAsia="bg-BG"/>
        </w:rPr>
        <w:t>Recognizes the usefulness of the Forum on Education and Outreach</w:t>
      </w:r>
    </w:p>
    <w:p w14:paraId="1C0EB549" w14:textId="77777777" w:rsidR="0063499F" w:rsidRPr="0093362E" w:rsidRDefault="0063499F" w:rsidP="0063499F">
      <w:pPr>
        <w:pStyle w:val="Prrafodelista"/>
        <w:numPr>
          <w:ilvl w:val="0"/>
          <w:numId w:val="22"/>
        </w:numPr>
        <w:spacing w:before="120"/>
        <w:rPr>
          <w:szCs w:val="22"/>
          <w:lang w:eastAsia="bg-BG"/>
        </w:rPr>
      </w:pPr>
      <w:r w:rsidRPr="0093362E">
        <w:rPr>
          <w:szCs w:val="22"/>
          <w:lang w:eastAsia="bg-BG"/>
        </w:rPr>
        <w:t>Advises the Parties to keep promoting the usage of the Forum to provide information of their activities related to Education and Outreach</w:t>
      </w:r>
    </w:p>
    <w:p w14:paraId="7B4D8091" w14:textId="77777777" w:rsidR="0063499F" w:rsidRPr="0093362E" w:rsidRDefault="0063499F" w:rsidP="0063499F">
      <w:pPr>
        <w:pStyle w:val="Prrafodelista"/>
        <w:numPr>
          <w:ilvl w:val="0"/>
          <w:numId w:val="22"/>
        </w:numPr>
        <w:spacing w:before="120"/>
        <w:rPr>
          <w:szCs w:val="22"/>
          <w:lang w:eastAsia="bg-BG"/>
        </w:rPr>
      </w:pPr>
      <w:r>
        <w:rPr>
          <w:szCs w:val="22"/>
          <w:lang w:eastAsia="bg-BG"/>
        </w:rPr>
        <w:t xml:space="preserve">Encourage </w:t>
      </w:r>
      <w:r w:rsidRPr="0093362E">
        <w:rPr>
          <w:szCs w:val="22"/>
          <w:lang w:eastAsia="bg-BG"/>
        </w:rPr>
        <w:t>key international activities/events related to education and outreach that Parties can engage</w:t>
      </w:r>
    </w:p>
    <w:p w14:paraId="674A2CB7" w14:textId="77777777" w:rsidR="0063499F" w:rsidRPr="0093362E" w:rsidRDefault="0063499F" w:rsidP="0063499F">
      <w:pPr>
        <w:pStyle w:val="Prrafodelista"/>
        <w:numPr>
          <w:ilvl w:val="0"/>
          <w:numId w:val="22"/>
        </w:numPr>
        <w:spacing w:before="120"/>
        <w:rPr>
          <w:szCs w:val="22"/>
          <w:lang w:eastAsia="bg-BG"/>
        </w:rPr>
      </w:pPr>
      <w:r w:rsidRPr="0093362E">
        <w:rPr>
          <w:szCs w:val="22"/>
          <w:lang w:eastAsia="bg-BG"/>
        </w:rPr>
        <w:t>Advises the Parties to</w:t>
      </w:r>
      <w:r>
        <w:rPr>
          <w:szCs w:val="22"/>
          <w:lang w:eastAsia="bg-BG"/>
        </w:rPr>
        <w:t xml:space="preserve"> </w:t>
      </w:r>
      <w:r w:rsidRPr="0093362E">
        <w:rPr>
          <w:szCs w:val="22"/>
          <w:lang w:eastAsia="bg-BG"/>
        </w:rPr>
        <w:t>continue to</w:t>
      </w:r>
      <w:r>
        <w:rPr>
          <w:szCs w:val="22"/>
          <w:lang w:eastAsia="bg-BG"/>
        </w:rPr>
        <w:t xml:space="preserve"> </w:t>
      </w:r>
      <w:r w:rsidRPr="0093362E">
        <w:rPr>
          <w:szCs w:val="22"/>
          <w:lang w:eastAsia="bg-BG"/>
        </w:rPr>
        <w:t>promote not only Antarctica and Antarctic research through their Education and Outreach Activities but the Antarctic Treaty and Environmental Protocol itself.</w:t>
      </w:r>
    </w:p>
    <w:p w14:paraId="23A25401" w14:textId="77777777" w:rsidR="0063499F" w:rsidRDefault="0063499F" w:rsidP="0063499F"/>
    <w:p w14:paraId="29CB28E6" w14:textId="77777777" w:rsidR="0063499F" w:rsidRDefault="0063499F" w:rsidP="00952E9F"/>
    <w:sectPr w:rsidR="0063499F"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F6C0D" w14:textId="77777777" w:rsidR="00000000" w:rsidRDefault="0063499F">
      <w:r>
        <w:separator/>
      </w:r>
    </w:p>
  </w:endnote>
  <w:endnote w:type="continuationSeparator" w:id="0">
    <w:p w14:paraId="5669C513" w14:textId="77777777" w:rsidR="00000000" w:rsidRDefault="00634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E4EB9" w14:textId="77777777" w:rsidR="00FA0B9F" w:rsidRDefault="0063499F" w:rsidP="00CF5C82">
    <w:pPr>
      <w:framePr w:wrap="around" w:vAnchor="text" w:hAnchor="margin" w:xAlign="right" w:y="1"/>
    </w:pPr>
    <w:r>
      <w:fldChar w:fldCharType="begin"/>
    </w:r>
    <w:r>
      <w:instrText xml:space="preserve">PAGE  </w:instrText>
    </w:r>
    <w:r>
      <w:fldChar w:fldCharType="end"/>
    </w:r>
  </w:p>
  <w:p w14:paraId="401ECCA6" w14:textId="77777777" w:rsidR="00FA0B9F" w:rsidRDefault="0063499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9EBC" w14:textId="77777777" w:rsidR="00FA0B9F" w:rsidRDefault="0063499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FC26C22" w14:textId="02399922" w:rsidR="00FA0B9F" w:rsidRDefault="0063499F" w:rsidP="006349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80A4B" w14:textId="77777777" w:rsidR="00E311C9" w:rsidRDefault="0063499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0FFD5A3" w14:textId="77777777" w:rsidR="00E311C9" w:rsidRDefault="0063499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A7B0B" w14:textId="77777777" w:rsidR="00000000" w:rsidRDefault="0063499F">
      <w:r>
        <w:separator/>
      </w:r>
    </w:p>
  </w:footnote>
  <w:footnote w:type="continuationSeparator" w:id="0">
    <w:p w14:paraId="1150381C" w14:textId="77777777" w:rsidR="00000000" w:rsidRDefault="00634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22F81" w14:paraId="2FE4411D" w14:textId="77777777" w:rsidTr="00490760">
      <w:trPr>
        <w:trHeight w:val="344"/>
        <w:jc w:val="center"/>
      </w:trPr>
      <w:tc>
        <w:tcPr>
          <w:tcW w:w="5495" w:type="dxa"/>
        </w:tcPr>
        <w:p w14:paraId="08CF4C2D" w14:textId="77777777" w:rsidR="00DB7C09" w:rsidRDefault="0063499F" w:rsidP="00F968D4"/>
      </w:tc>
      <w:tc>
        <w:tcPr>
          <w:tcW w:w="4253" w:type="dxa"/>
          <w:gridSpan w:val="2"/>
        </w:tcPr>
        <w:p w14:paraId="13AA1C83" w14:textId="77777777" w:rsidR="00DB7C09" w:rsidRPr="00BD47E4" w:rsidRDefault="0063499F" w:rsidP="002A07BC">
          <w:pPr>
            <w:jc w:val="right"/>
            <w:rPr>
              <w:b/>
              <w:sz w:val="32"/>
              <w:szCs w:val="32"/>
            </w:rPr>
          </w:pPr>
          <w:bookmarkStart w:id="2" w:name="type"/>
          <w:r w:rsidRPr="00BD47E4">
            <w:rPr>
              <w:b/>
              <w:sz w:val="32"/>
              <w:szCs w:val="32"/>
            </w:rPr>
            <w:t>WP</w:t>
          </w:r>
          <w:bookmarkEnd w:id="2"/>
        </w:p>
      </w:tc>
      <w:tc>
        <w:tcPr>
          <w:tcW w:w="1524" w:type="dxa"/>
          <w:gridSpan w:val="2"/>
        </w:tcPr>
        <w:p w14:paraId="00148FFB" w14:textId="77777777" w:rsidR="00DB7C09" w:rsidRPr="00BD47E4" w:rsidRDefault="0063499F" w:rsidP="00DB7C09">
          <w:pPr>
            <w:rPr>
              <w:b/>
              <w:sz w:val="32"/>
              <w:szCs w:val="32"/>
            </w:rPr>
          </w:pPr>
          <w:bookmarkStart w:id="3" w:name="number"/>
          <w:r w:rsidRPr="00BD47E4">
            <w:rPr>
              <w:b/>
              <w:sz w:val="32"/>
              <w:szCs w:val="32"/>
            </w:rPr>
            <w:t>15</w:t>
          </w:r>
          <w:bookmarkEnd w:id="3"/>
        </w:p>
      </w:tc>
    </w:tr>
    <w:tr w:rsidR="00822F81" w14:paraId="5CB21778" w14:textId="77777777" w:rsidTr="00490760">
      <w:trPr>
        <w:trHeight w:val="2165"/>
        <w:jc w:val="center"/>
      </w:trPr>
      <w:tc>
        <w:tcPr>
          <w:tcW w:w="5495" w:type="dxa"/>
        </w:tcPr>
        <w:p w14:paraId="62A2C077" w14:textId="77777777" w:rsidR="00490760" w:rsidRPr="00EE4D48" w:rsidRDefault="0063499F" w:rsidP="002A07BC">
          <w:pPr>
            <w:rPr>
              <w:b/>
              <w:sz w:val="28"/>
              <w:szCs w:val="28"/>
            </w:rPr>
          </w:pPr>
          <w:r>
            <w:rPr>
              <w:b/>
              <w:noProof/>
              <w:sz w:val="28"/>
              <w:szCs w:val="28"/>
            </w:rPr>
            <w:drawing>
              <wp:inline distT="0" distB="0" distL="0" distR="0" wp14:anchorId="6E31CC9B" wp14:editId="078349B4">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552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8BE6EEC" w14:textId="77777777" w:rsidR="00490760" w:rsidRPr="00FE5146" w:rsidRDefault="0063499F" w:rsidP="00490760">
          <w:pPr>
            <w:jc w:val="right"/>
            <w:rPr>
              <w:sz w:val="144"/>
              <w:szCs w:val="144"/>
            </w:rPr>
          </w:pPr>
          <w:r w:rsidRPr="00FE5146">
            <w:rPr>
              <w:sz w:val="144"/>
              <w:szCs w:val="144"/>
            </w:rPr>
            <w:t>ENG</w:t>
          </w:r>
        </w:p>
      </w:tc>
    </w:tr>
    <w:tr w:rsidR="00822F81" w14:paraId="1EA97AEF" w14:textId="77777777" w:rsidTr="00BD47E4">
      <w:trPr>
        <w:trHeight w:val="409"/>
        <w:jc w:val="center"/>
      </w:trPr>
      <w:tc>
        <w:tcPr>
          <w:tcW w:w="9039" w:type="dxa"/>
          <w:gridSpan w:val="2"/>
        </w:tcPr>
        <w:p w14:paraId="373B383A" w14:textId="77777777" w:rsidR="00BD47E4" w:rsidRDefault="0063499F" w:rsidP="002C30DA">
          <w:pPr>
            <w:jc w:val="right"/>
          </w:pPr>
          <w:r>
            <w:t>Agenda Item:</w:t>
          </w:r>
        </w:p>
      </w:tc>
      <w:tc>
        <w:tcPr>
          <w:tcW w:w="1843" w:type="dxa"/>
          <w:gridSpan w:val="2"/>
        </w:tcPr>
        <w:p w14:paraId="75E8D68B" w14:textId="77777777" w:rsidR="00BD47E4" w:rsidRDefault="0063499F" w:rsidP="002C30DA">
          <w:pPr>
            <w:jc w:val="right"/>
          </w:pPr>
          <w:bookmarkStart w:id="4" w:name="agenda"/>
          <w:r>
            <w:t>ATCM 11</w:t>
          </w:r>
          <w:bookmarkEnd w:id="4"/>
        </w:p>
      </w:tc>
      <w:tc>
        <w:tcPr>
          <w:tcW w:w="390" w:type="dxa"/>
        </w:tcPr>
        <w:p w14:paraId="007B8BA9" w14:textId="77777777" w:rsidR="00BD47E4" w:rsidRDefault="0063499F" w:rsidP="00387A65">
          <w:pPr>
            <w:jc w:val="right"/>
          </w:pPr>
        </w:p>
      </w:tc>
    </w:tr>
    <w:tr w:rsidR="00822F81" w14:paraId="48766D09" w14:textId="77777777" w:rsidTr="00BD47E4">
      <w:trPr>
        <w:trHeight w:val="397"/>
        <w:jc w:val="center"/>
      </w:trPr>
      <w:tc>
        <w:tcPr>
          <w:tcW w:w="9039" w:type="dxa"/>
          <w:gridSpan w:val="2"/>
        </w:tcPr>
        <w:p w14:paraId="66DDE090" w14:textId="77777777" w:rsidR="00BD47E4" w:rsidRDefault="0063499F" w:rsidP="002C30DA">
          <w:pPr>
            <w:jc w:val="right"/>
          </w:pPr>
          <w:r>
            <w:t>Presented by:</w:t>
          </w:r>
        </w:p>
      </w:tc>
      <w:tc>
        <w:tcPr>
          <w:tcW w:w="1843" w:type="dxa"/>
          <w:gridSpan w:val="2"/>
        </w:tcPr>
        <w:p w14:paraId="68FCF36D" w14:textId="79368F47" w:rsidR="00BD47E4" w:rsidRDefault="0063499F" w:rsidP="002C30DA">
          <w:pPr>
            <w:jc w:val="right"/>
          </w:pPr>
          <w:bookmarkStart w:id="5" w:name="party"/>
          <w:r>
            <w:t xml:space="preserve">Bulgaria, Belgium, Brazil, Chile, Portugal, Spain, </w:t>
          </w:r>
          <w:r>
            <w:br/>
          </w:r>
          <w:r>
            <w:t>United Kingdom</w:t>
          </w:r>
          <w:bookmarkEnd w:id="5"/>
        </w:p>
      </w:tc>
      <w:tc>
        <w:tcPr>
          <w:tcW w:w="390" w:type="dxa"/>
        </w:tcPr>
        <w:p w14:paraId="4B138F8A" w14:textId="77777777" w:rsidR="00BD47E4" w:rsidRDefault="0063499F" w:rsidP="00387A65">
          <w:pPr>
            <w:jc w:val="right"/>
          </w:pPr>
        </w:p>
      </w:tc>
    </w:tr>
    <w:tr w:rsidR="00822F81" w14:paraId="574C7F5A" w14:textId="77777777" w:rsidTr="00BD47E4">
      <w:trPr>
        <w:trHeight w:val="409"/>
        <w:jc w:val="center"/>
      </w:trPr>
      <w:tc>
        <w:tcPr>
          <w:tcW w:w="9039" w:type="dxa"/>
          <w:gridSpan w:val="2"/>
        </w:tcPr>
        <w:p w14:paraId="0241CC30" w14:textId="77777777" w:rsidR="00BD47E4" w:rsidRDefault="0063499F" w:rsidP="002C30DA">
          <w:pPr>
            <w:jc w:val="right"/>
          </w:pPr>
          <w:r>
            <w:t>Original:</w:t>
          </w:r>
        </w:p>
      </w:tc>
      <w:tc>
        <w:tcPr>
          <w:tcW w:w="1843" w:type="dxa"/>
          <w:gridSpan w:val="2"/>
        </w:tcPr>
        <w:p w14:paraId="3142FFB7" w14:textId="77777777" w:rsidR="00BD47E4" w:rsidRDefault="0063499F" w:rsidP="002C30DA">
          <w:pPr>
            <w:jc w:val="right"/>
          </w:pPr>
          <w:bookmarkStart w:id="6" w:name="language"/>
          <w:r>
            <w:t>English</w:t>
          </w:r>
          <w:bookmarkEnd w:id="6"/>
        </w:p>
      </w:tc>
      <w:tc>
        <w:tcPr>
          <w:tcW w:w="390" w:type="dxa"/>
        </w:tcPr>
        <w:p w14:paraId="7258E4C0" w14:textId="77777777" w:rsidR="00BD47E4" w:rsidRDefault="0063499F" w:rsidP="00387A65">
          <w:pPr>
            <w:jc w:val="right"/>
          </w:pPr>
        </w:p>
      </w:tc>
    </w:tr>
    <w:tr w:rsidR="00822F81" w14:paraId="1F4482E9" w14:textId="77777777" w:rsidTr="00BD47E4">
      <w:trPr>
        <w:trHeight w:val="409"/>
        <w:jc w:val="center"/>
      </w:trPr>
      <w:tc>
        <w:tcPr>
          <w:tcW w:w="9039" w:type="dxa"/>
          <w:gridSpan w:val="2"/>
        </w:tcPr>
        <w:p w14:paraId="2CBE853A" w14:textId="77777777" w:rsidR="0097629D" w:rsidRDefault="0063499F" w:rsidP="002C30DA">
          <w:pPr>
            <w:jc w:val="right"/>
          </w:pPr>
          <w:r>
            <w:t>Submitted:</w:t>
          </w:r>
        </w:p>
      </w:tc>
      <w:tc>
        <w:tcPr>
          <w:tcW w:w="1843" w:type="dxa"/>
          <w:gridSpan w:val="2"/>
        </w:tcPr>
        <w:p w14:paraId="2409BA45" w14:textId="77777777" w:rsidR="0097629D" w:rsidRDefault="0063499F" w:rsidP="0097629D">
          <w:pPr>
            <w:jc w:val="right"/>
          </w:pPr>
          <w:bookmarkStart w:id="7" w:name="date_submission"/>
          <w:r>
            <w:t>28/4/2021</w:t>
          </w:r>
          <w:bookmarkEnd w:id="7"/>
        </w:p>
      </w:tc>
      <w:tc>
        <w:tcPr>
          <w:tcW w:w="390" w:type="dxa"/>
        </w:tcPr>
        <w:p w14:paraId="243BA563" w14:textId="77777777" w:rsidR="0097629D" w:rsidRDefault="0063499F" w:rsidP="00387A65">
          <w:pPr>
            <w:jc w:val="right"/>
          </w:pPr>
        </w:p>
      </w:tc>
    </w:tr>
  </w:tbl>
  <w:p w14:paraId="225EE41C" w14:textId="77777777" w:rsidR="00AE5DD0" w:rsidRDefault="006349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22F81" w14:paraId="212F1EF3" w14:textId="77777777">
      <w:trPr>
        <w:trHeight w:val="354"/>
        <w:jc w:val="center"/>
      </w:trPr>
      <w:tc>
        <w:tcPr>
          <w:tcW w:w="9694" w:type="dxa"/>
        </w:tcPr>
        <w:p w14:paraId="3D1F9646" w14:textId="685FC6D5" w:rsidR="00AE5DD0" w:rsidRPr="00BD47E4" w:rsidRDefault="0063499F" w:rsidP="00C26F2D">
          <w:pPr>
            <w:jc w:val="right"/>
            <w:rPr>
              <w:b/>
              <w:sz w:val="32"/>
              <w:szCs w:val="32"/>
            </w:rPr>
          </w:pPr>
          <w:r>
            <w:rPr>
              <w:b/>
              <w:sz w:val="32"/>
              <w:szCs w:val="32"/>
            </w:rPr>
            <w:t>WP</w:t>
          </w:r>
        </w:p>
      </w:tc>
      <w:tc>
        <w:tcPr>
          <w:tcW w:w="1332" w:type="dxa"/>
        </w:tcPr>
        <w:p w14:paraId="7FD4C8FA" w14:textId="58E4F683" w:rsidR="00AE5DD0" w:rsidRPr="00BD47E4" w:rsidRDefault="0063499F" w:rsidP="00080F4C">
          <w:pPr>
            <w:rPr>
              <w:b/>
              <w:sz w:val="32"/>
              <w:szCs w:val="32"/>
            </w:rPr>
          </w:pPr>
          <w:r>
            <w:rPr>
              <w:b/>
              <w:sz w:val="32"/>
              <w:szCs w:val="32"/>
            </w:rPr>
            <w:t>15</w:t>
          </w:r>
        </w:p>
      </w:tc>
    </w:tr>
  </w:tbl>
  <w:p w14:paraId="27C31B22" w14:textId="77777777" w:rsidR="00AE5DD0" w:rsidRDefault="006349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838F7"/>
    <w:multiLevelType w:val="multilevel"/>
    <w:tmpl w:val="1BFC0EBE"/>
    <w:lvl w:ilvl="0">
      <w:start w:val="1"/>
      <w:numFmt w:val="bullet"/>
      <w:lvlText w:val="●"/>
      <w:lvlJc w:val="left"/>
      <w:pPr>
        <w:ind w:left="720" w:firstLine="360"/>
      </w:pPr>
      <w:rPr>
        <w:rFonts w:ascii="Arial" w:eastAsia="Times New Roman" w:hAnsi="Arial"/>
        <w:sz w:val="20"/>
      </w:rPr>
    </w:lvl>
    <w:lvl w:ilvl="1">
      <w:start w:val="1"/>
      <w:numFmt w:val="bullet"/>
      <w:lvlText w:val="●"/>
      <w:lvlJc w:val="left"/>
      <w:pPr>
        <w:ind w:left="1440" w:firstLine="1080"/>
      </w:pPr>
      <w:rPr>
        <w:rFonts w:ascii="Arial" w:eastAsia="Times New Roman" w:hAnsi="Arial"/>
        <w:sz w:val="20"/>
      </w:rPr>
    </w:lvl>
    <w:lvl w:ilvl="2">
      <w:start w:val="1"/>
      <w:numFmt w:val="bullet"/>
      <w:lvlText w:val="●"/>
      <w:lvlJc w:val="left"/>
      <w:pPr>
        <w:ind w:left="2160" w:firstLine="1800"/>
      </w:pPr>
      <w:rPr>
        <w:rFonts w:ascii="Arial" w:eastAsia="Times New Roman" w:hAnsi="Arial"/>
        <w:sz w:val="20"/>
      </w:rPr>
    </w:lvl>
    <w:lvl w:ilvl="3">
      <w:start w:val="1"/>
      <w:numFmt w:val="bullet"/>
      <w:lvlText w:val="●"/>
      <w:lvlJc w:val="left"/>
      <w:pPr>
        <w:ind w:left="2880" w:firstLine="2520"/>
      </w:pPr>
      <w:rPr>
        <w:rFonts w:ascii="Arial" w:eastAsia="Times New Roman" w:hAnsi="Arial"/>
        <w:sz w:val="20"/>
      </w:rPr>
    </w:lvl>
    <w:lvl w:ilvl="4">
      <w:start w:val="1"/>
      <w:numFmt w:val="bullet"/>
      <w:lvlText w:val="●"/>
      <w:lvlJc w:val="left"/>
      <w:pPr>
        <w:ind w:left="3600" w:firstLine="3240"/>
      </w:pPr>
      <w:rPr>
        <w:rFonts w:ascii="Arial" w:eastAsia="Times New Roman" w:hAnsi="Arial"/>
        <w:sz w:val="20"/>
      </w:rPr>
    </w:lvl>
    <w:lvl w:ilvl="5">
      <w:start w:val="1"/>
      <w:numFmt w:val="bullet"/>
      <w:lvlText w:val="●"/>
      <w:lvlJc w:val="left"/>
      <w:pPr>
        <w:ind w:left="4320" w:firstLine="3960"/>
      </w:pPr>
      <w:rPr>
        <w:rFonts w:ascii="Arial" w:eastAsia="Times New Roman" w:hAnsi="Arial"/>
        <w:sz w:val="20"/>
      </w:rPr>
    </w:lvl>
    <w:lvl w:ilvl="6">
      <w:start w:val="1"/>
      <w:numFmt w:val="bullet"/>
      <w:lvlText w:val="●"/>
      <w:lvlJc w:val="left"/>
      <w:pPr>
        <w:ind w:left="5040" w:firstLine="4680"/>
      </w:pPr>
      <w:rPr>
        <w:rFonts w:ascii="Arial" w:eastAsia="Times New Roman" w:hAnsi="Arial"/>
        <w:sz w:val="20"/>
      </w:rPr>
    </w:lvl>
    <w:lvl w:ilvl="7">
      <w:start w:val="1"/>
      <w:numFmt w:val="bullet"/>
      <w:lvlText w:val="●"/>
      <w:lvlJc w:val="left"/>
      <w:pPr>
        <w:ind w:left="5760" w:firstLine="5400"/>
      </w:pPr>
      <w:rPr>
        <w:rFonts w:ascii="Arial" w:eastAsia="Times New Roman" w:hAnsi="Arial"/>
        <w:sz w:val="20"/>
      </w:rPr>
    </w:lvl>
    <w:lvl w:ilvl="8">
      <w:start w:val="1"/>
      <w:numFmt w:val="bullet"/>
      <w:lvlText w:val="●"/>
      <w:lvlJc w:val="left"/>
      <w:pPr>
        <w:ind w:left="6480" w:firstLine="6120"/>
      </w:pPr>
      <w:rPr>
        <w:rFonts w:ascii="Arial" w:eastAsia="Times New Roman" w:hAnsi="Arial"/>
        <w:sz w:val="20"/>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F850823"/>
    <w:multiLevelType w:val="hybridMultilevel"/>
    <w:tmpl w:val="DFDE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10AE4ECC">
      <w:start w:val="1"/>
      <w:numFmt w:val="bullet"/>
      <w:pStyle w:val="ATSBullet1"/>
      <w:lvlText w:val=""/>
      <w:lvlJc w:val="left"/>
      <w:pPr>
        <w:tabs>
          <w:tab w:val="num" w:pos="360"/>
        </w:tabs>
        <w:ind w:left="360" w:hanging="360"/>
      </w:pPr>
      <w:rPr>
        <w:rFonts w:ascii="Symbol" w:hAnsi="Symbol" w:hint="default"/>
        <w:color w:val="auto"/>
      </w:rPr>
    </w:lvl>
    <w:lvl w:ilvl="1" w:tplc="51E42704" w:tentative="1">
      <w:start w:val="1"/>
      <w:numFmt w:val="bullet"/>
      <w:lvlText w:val="o"/>
      <w:lvlJc w:val="left"/>
      <w:pPr>
        <w:tabs>
          <w:tab w:val="num" w:pos="1440"/>
        </w:tabs>
        <w:ind w:left="1440" w:hanging="360"/>
      </w:pPr>
      <w:rPr>
        <w:rFonts w:ascii="Courier New" w:hAnsi="Courier New" w:cs="Courier New" w:hint="default"/>
      </w:rPr>
    </w:lvl>
    <w:lvl w:ilvl="2" w:tplc="52C24A82" w:tentative="1">
      <w:start w:val="1"/>
      <w:numFmt w:val="bullet"/>
      <w:lvlText w:val=""/>
      <w:lvlJc w:val="left"/>
      <w:pPr>
        <w:tabs>
          <w:tab w:val="num" w:pos="2160"/>
        </w:tabs>
        <w:ind w:left="2160" w:hanging="360"/>
      </w:pPr>
      <w:rPr>
        <w:rFonts w:ascii="Wingdings" w:hAnsi="Wingdings" w:hint="default"/>
      </w:rPr>
    </w:lvl>
    <w:lvl w:ilvl="3" w:tplc="C2B2D180" w:tentative="1">
      <w:start w:val="1"/>
      <w:numFmt w:val="bullet"/>
      <w:lvlText w:val=""/>
      <w:lvlJc w:val="left"/>
      <w:pPr>
        <w:tabs>
          <w:tab w:val="num" w:pos="2880"/>
        </w:tabs>
        <w:ind w:left="2880" w:hanging="360"/>
      </w:pPr>
      <w:rPr>
        <w:rFonts w:ascii="Symbol" w:hAnsi="Symbol" w:hint="default"/>
      </w:rPr>
    </w:lvl>
    <w:lvl w:ilvl="4" w:tplc="D9EE4368" w:tentative="1">
      <w:start w:val="1"/>
      <w:numFmt w:val="bullet"/>
      <w:lvlText w:val="o"/>
      <w:lvlJc w:val="left"/>
      <w:pPr>
        <w:tabs>
          <w:tab w:val="num" w:pos="3600"/>
        </w:tabs>
        <w:ind w:left="3600" w:hanging="360"/>
      </w:pPr>
      <w:rPr>
        <w:rFonts w:ascii="Courier New" w:hAnsi="Courier New" w:cs="Courier New" w:hint="default"/>
      </w:rPr>
    </w:lvl>
    <w:lvl w:ilvl="5" w:tplc="73B8B62E" w:tentative="1">
      <w:start w:val="1"/>
      <w:numFmt w:val="bullet"/>
      <w:lvlText w:val=""/>
      <w:lvlJc w:val="left"/>
      <w:pPr>
        <w:tabs>
          <w:tab w:val="num" w:pos="4320"/>
        </w:tabs>
        <w:ind w:left="4320" w:hanging="360"/>
      </w:pPr>
      <w:rPr>
        <w:rFonts w:ascii="Wingdings" w:hAnsi="Wingdings" w:hint="default"/>
      </w:rPr>
    </w:lvl>
    <w:lvl w:ilvl="6" w:tplc="7C425BBE" w:tentative="1">
      <w:start w:val="1"/>
      <w:numFmt w:val="bullet"/>
      <w:lvlText w:val=""/>
      <w:lvlJc w:val="left"/>
      <w:pPr>
        <w:tabs>
          <w:tab w:val="num" w:pos="5040"/>
        </w:tabs>
        <w:ind w:left="5040" w:hanging="360"/>
      </w:pPr>
      <w:rPr>
        <w:rFonts w:ascii="Symbol" w:hAnsi="Symbol" w:hint="default"/>
      </w:rPr>
    </w:lvl>
    <w:lvl w:ilvl="7" w:tplc="EF120A44" w:tentative="1">
      <w:start w:val="1"/>
      <w:numFmt w:val="bullet"/>
      <w:lvlText w:val="o"/>
      <w:lvlJc w:val="left"/>
      <w:pPr>
        <w:tabs>
          <w:tab w:val="num" w:pos="5760"/>
        </w:tabs>
        <w:ind w:left="5760" w:hanging="360"/>
      </w:pPr>
      <w:rPr>
        <w:rFonts w:ascii="Courier New" w:hAnsi="Courier New" w:cs="Courier New" w:hint="default"/>
      </w:rPr>
    </w:lvl>
    <w:lvl w:ilvl="8" w:tplc="544081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AD1C7BA0">
      <w:start w:val="1"/>
      <w:numFmt w:val="decimal"/>
      <w:lvlText w:val="%1)"/>
      <w:lvlJc w:val="left"/>
      <w:pPr>
        <w:tabs>
          <w:tab w:val="num" w:pos="340"/>
        </w:tabs>
        <w:ind w:left="340" w:hanging="340"/>
      </w:pPr>
      <w:rPr>
        <w:rFonts w:hint="default"/>
      </w:rPr>
    </w:lvl>
    <w:lvl w:ilvl="1" w:tplc="2D80E556" w:tentative="1">
      <w:start w:val="1"/>
      <w:numFmt w:val="lowerLetter"/>
      <w:lvlText w:val="%2."/>
      <w:lvlJc w:val="left"/>
      <w:pPr>
        <w:tabs>
          <w:tab w:val="num" w:pos="1440"/>
        </w:tabs>
        <w:ind w:left="1440" w:hanging="360"/>
      </w:pPr>
    </w:lvl>
    <w:lvl w:ilvl="2" w:tplc="A814878C" w:tentative="1">
      <w:start w:val="1"/>
      <w:numFmt w:val="lowerRoman"/>
      <w:lvlText w:val="%3."/>
      <w:lvlJc w:val="right"/>
      <w:pPr>
        <w:tabs>
          <w:tab w:val="num" w:pos="2160"/>
        </w:tabs>
        <w:ind w:left="2160" w:hanging="180"/>
      </w:pPr>
    </w:lvl>
    <w:lvl w:ilvl="3" w:tplc="AB64B3AA" w:tentative="1">
      <w:start w:val="1"/>
      <w:numFmt w:val="decimal"/>
      <w:lvlText w:val="%4."/>
      <w:lvlJc w:val="left"/>
      <w:pPr>
        <w:tabs>
          <w:tab w:val="num" w:pos="2880"/>
        </w:tabs>
        <w:ind w:left="2880" w:hanging="360"/>
      </w:pPr>
    </w:lvl>
    <w:lvl w:ilvl="4" w:tplc="35F66E70" w:tentative="1">
      <w:start w:val="1"/>
      <w:numFmt w:val="lowerLetter"/>
      <w:lvlText w:val="%5."/>
      <w:lvlJc w:val="left"/>
      <w:pPr>
        <w:tabs>
          <w:tab w:val="num" w:pos="3600"/>
        </w:tabs>
        <w:ind w:left="3600" w:hanging="360"/>
      </w:pPr>
    </w:lvl>
    <w:lvl w:ilvl="5" w:tplc="2968C1D0" w:tentative="1">
      <w:start w:val="1"/>
      <w:numFmt w:val="lowerRoman"/>
      <w:lvlText w:val="%6."/>
      <w:lvlJc w:val="right"/>
      <w:pPr>
        <w:tabs>
          <w:tab w:val="num" w:pos="4320"/>
        </w:tabs>
        <w:ind w:left="4320" w:hanging="180"/>
      </w:pPr>
    </w:lvl>
    <w:lvl w:ilvl="6" w:tplc="E0BE560E" w:tentative="1">
      <w:start w:val="1"/>
      <w:numFmt w:val="decimal"/>
      <w:lvlText w:val="%7."/>
      <w:lvlJc w:val="left"/>
      <w:pPr>
        <w:tabs>
          <w:tab w:val="num" w:pos="5040"/>
        </w:tabs>
        <w:ind w:left="5040" w:hanging="360"/>
      </w:pPr>
    </w:lvl>
    <w:lvl w:ilvl="7" w:tplc="ECD8CF20" w:tentative="1">
      <w:start w:val="1"/>
      <w:numFmt w:val="lowerLetter"/>
      <w:lvlText w:val="%8."/>
      <w:lvlJc w:val="left"/>
      <w:pPr>
        <w:tabs>
          <w:tab w:val="num" w:pos="5760"/>
        </w:tabs>
        <w:ind w:left="5760" w:hanging="360"/>
      </w:pPr>
    </w:lvl>
    <w:lvl w:ilvl="8" w:tplc="B58C3A42" w:tentative="1">
      <w:start w:val="1"/>
      <w:numFmt w:val="lowerRoman"/>
      <w:lvlText w:val="%9."/>
      <w:lvlJc w:val="right"/>
      <w:pPr>
        <w:tabs>
          <w:tab w:val="num" w:pos="6480"/>
        </w:tabs>
        <w:ind w:left="6480" w:hanging="180"/>
      </w:pPr>
    </w:lvl>
  </w:abstractNum>
  <w:abstractNum w:abstractNumId="15" w15:restartNumberingAfterBreak="0">
    <w:nsid w:val="52315AF7"/>
    <w:multiLevelType w:val="hybridMultilevel"/>
    <w:tmpl w:val="98823026"/>
    <w:lvl w:ilvl="0" w:tplc="A3FC8AD6">
      <w:start w:val="5"/>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F3AFA"/>
    <w:multiLevelType w:val="hybridMultilevel"/>
    <w:tmpl w:val="9DF09BE6"/>
    <w:lvl w:ilvl="0" w:tplc="F28EC02C">
      <w:start w:val="1"/>
      <w:numFmt w:val="decimal"/>
      <w:lvlText w:val="%1."/>
      <w:lvlJc w:val="left"/>
      <w:pPr>
        <w:tabs>
          <w:tab w:val="num" w:pos="1057"/>
        </w:tabs>
        <w:ind w:left="1057" w:hanging="360"/>
      </w:pPr>
      <w:rPr>
        <w:rFonts w:hint="default"/>
      </w:rPr>
    </w:lvl>
    <w:lvl w:ilvl="1" w:tplc="E55815D8" w:tentative="1">
      <w:start w:val="1"/>
      <w:numFmt w:val="lowerLetter"/>
      <w:lvlText w:val="%2."/>
      <w:lvlJc w:val="left"/>
      <w:pPr>
        <w:tabs>
          <w:tab w:val="num" w:pos="2137"/>
        </w:tabs>
        <w:ind w:left="2137" w:hanging="360"/>
      </w:pPr>
    </w:lvl>
    <w:lvl w:ilvl="2" w:tplc="65142EC4" w:tentative="1">
      <w:start w:val="1"/>
      <w:numFmt w:val="lowerRoman"/>
      <w:lvlText w:val="%3."/>
      <w:lvlJc w:val="right"/>
      <w:pPr>
        <w:tabs>
          <w:tab w:val="num" w:pos="2857"/>
        </w:tabs>
        <w:ind w:left="2857" w:hanging="180"/>
      </w:pPr>
    </w:lvl>
    <w:lvl w:ilvl="3" w:tplc="5B2896AE" w:tentative="1">
      <w:start w:val="1"/>
      <w:numFmt w:val="decimal"/>
      <w:lvlText w:val="%4."/>
      <w:lvlJc w:val="left"/>
      <w:pPr>
        <w:tabs>
          <w:tab w:val="num" w:pos="3577"/>
        </w:tabs>
        <w:ind w:left="3577" w:hanging="360"/>
      </w:pPr>
    </w:lvl>
    <w:lvl w:ilvl="4" w:tplc="368E744E" w:tentative="1">
      <w:start w:val="1"/>
      <w:numFmt w:val="lowerLetter"/>
      <w:lvlText w:val="%5."/>
      <w:lvlJc w:val="left"/>
      <w:pPr>
        <w:tabs>
          <w:tab w:val="num" w:pos="4297"/>
        </w:tabs>
        <w:ind w:left="4297" w:hanging="360"/>
      </w:pPr>
    </w:lvl>
    <w:lvl w:ilvl="5" w:tplc="3DFE9E6A" w:tentative="1">
      <w:start w:val="1"/>
      <w:numFmt w:val="lowerRoman"/>
      <w:lvlText w:val="%6."/>
      <w:lvlJc w:val="right"/>
      <w:pPr>
        <w:tabs>
          <w:tab w:val="num" w:pos="5017"/>
        </w:tabs>
        <w:ind w:left="5017" w:hanging="180"/>
      </w:pPr>
    </w:lvl>
    <w:lvl w:ilvl="6" w:tplc="C85E6FD2" w:tentative="1">
      <w:start w:val="1"/>
      <w:numFmt w:val="decimal"/>
      <w:lvlText w:val="%7."/>
      <w:lvlJc w:val="left"/>
      <w:pPr>
        <w:tabs>
          <w:tab w:val="num" w:pos="5737"/>
        </w:tabs>
        <w:ind w:left="5737" w:hanging="360"/>
      </w:pPr>
    </w:lvl>
    <w:lvl w:ilvl="7" w:tplc="37F40A0C" w:tentative="1">
      <w:start w:val="1"/>
      <w:numFmt w:val="lowerLetter"/>
      <w:lvlText w:val="%8."/>
      <w:lvlJc w:val="left"/>
      <w:pPr>
        <w:tabs>
          <w:tab w:val="num" w:pos="6457"/>
        </w:tabs>
        <w:ind w:left="6457" w:hanging="360"/>
      </w:pPr>
    </w:lvl>
    <w:lvl w:ilvl="8" w:tplc="C1FEC240"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699E3300">
      <w:start w:val="1"/>
      <w:numFmt w:val="decimal"/>
      <w:pStyle w:val="ATSNumber1"/>
      <w:lvlText w:val="%1)"/>
      <w:lvlJc w:val="left"/>
      <w:pPr>
        <w:tabs>
          <w:tab w:val="num" w:pos="720"/>
        </w:tabs>
        <w:ind w:left="720" w:hanging="360"/>
      </w:pPr>
    </w:lvl>
    <w:lvl w:ilvl="1" w:tplc="10E6C5A0" w:tentative="1">
      <w:start w:val="1"/>
      <w:numFmt w:val="lowerLetter"/>
      <w:lvlText w:val="%2."/>
      <w:lvlJc w:val="left"/>
      <w:pPr>
        <w:tabs>
          <w:tab w:val="num" w:pos="1440"/>
        </w:tabs>
        <w:ind w:left="1440" w:hanging="360"/>
      </w:pPr>
    </w:lvl>
    <w:lvl w:ilvl="2" w:tplc="450685D2" w:tentative="1">
      <w:start w:val="1"/>
      <w:numFmt w:val="lowerRoman"/>
      <w:lvlText w:val="%3."/>
      <w:lvlJc w:val="right"/>
      <w:pPr>
        <w:tabs>
          <w:tab w:val="num" w:pos="2160"/>
        </w:tabs>
        <w:ind w:left="2160" w:hanging="180"/>
      </w:pPr>
    </w:lvl>
    <w:lvl w:ilvl="3" w:tplc="2BE44F16" w:tentative="1">
      <w:start w:val="1"/>
      <w:numFmt w:val="decimal"/>
      <w:lvlText w:val="%4."/>
      <w:lvlJc w:val="left"/>
      <w:pPr>
        <w:tabs>
          <w:tab w:val="num" w:pos="2880"/>
        </w:tabs>
        <w:ind w:left="2880" w:hanging="360"/>
      </w:pPr>
    </w:lvl>
    <w:lvl w:ilvl="4" w:tplc="7372764A" w:tentative="1">
      <w:start w:val="1"/>
      <w:numFmt w:val="lowerLetter"/>
      <w:lvlText w:val="%5."/>
      <w:lvlJc w:val="left"/>
      <w:pPr>
        <w:tabs>
          <w:tab w:val="num" w:pos="3600"/>
        </w:tabs>
        <w:ind w:left="3600" w:hanging="360"/>
      </w:pPr>
    </w:lvl>
    <w:lvl w:ilvl="5" w:tplc="87044C32" w:tentative="1">
      <w:start w:val="1"/>
      <w:numFmt w:val="lowerRoman"/>
      <w:lvlText w:val="%6."/>
      <w:lvlJc w:val="right"/>
      <w:pPr>
        <w:tabs>
          <w:tab w:val="num" w:pos="4320"/>
        </w:tabs>
        <w:ind w:left="4320" w:hanging="180"/>
      </w:pPr>
    </w:lvl>
    <w:lvl w:ilvl="6" w:tplc="7CE2528C" w:tentative="1">
      <w:start w:val="1"/>
      <w:numFmt w:val="decimal"/>
      <w:lvlText w:val="%7."/>
      <w:lvlJc w:val="left"/>
      <w:pPr>
        <w:tabs>
          <w:tab w:val="num" w:pos="5040"/>
        </w:tabs>
        <w:ind w:left="5040" w:hanging="360"/>
      </w:pPr>
    </w:lvl>
    <w:lvl w:ilvl="7" w:tplc="39F27C46" w:tentative="1">
      <w:start w:val="1"/>
      <w:numFmt w:val="lowerLetter"/>
      <w:lvlText w:val="%8."/>
      <w:lvlJc w:val="left"/>
      <w:pPr>
        <w:tabs>
          <w:tab w:val="num" w:pos="5760"/>
        </w:tabs>
        <w:ind w:left="5760" w:hanging="360"/>
      </w:pPr>
    </w:lvl>
    <w:lvl w:ilvl="8" w:tplc="17CE7A3E"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5E4AB62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3BE922E" w:tentative="1">
      <w:start w:val="1"/>
      <w:numFmt w:val="bullet"/>
      <w:lvlText w:val="o"/>
      <w:lvlJc w:val="left"/>
      <w:pPr>
        <w:tabs>
          <w:tab w:val="num" w:pos="2517"/>
        </w:tabs>
        <w:ind w:left="2517" w:hanging="360"/>
      </w:pPr>
      <w:rPr>
        <w:rFonts w:ascii="Courier New" w:hAnsi="Courier New" w:cs="Courier New" w:hint="default"/>
      </w:rPr>
    </w:lvl>
    <w:lvl w:ilvl="2" w:tplc="5E8A3CFA" w:tentative="1">
      <w:start w:val="1"/>
      <w:numFmt w:val="bullet"/>
      <w:lvlText w:val=""/>
      <w:lvlJc w:val="left"/>
      <w:pPr>
        <w:tabs>
          <w:tab w:val="num" w:pos="3237"/>
        </w:tabs>
        <w:ind w:left="3237" w:hanging="360"/>
      </w:pPr>
      <w:rPr>
        <w:rFonts w:ascii="Wingdings" w:hAnsi="Wingdings" w:hint="default"/>
      </w:rPr>
    </w:lvl>
    <w:lvl w:ilvl="3" w:tplc="9CBEA556" w:tentative="1">
      <w:start w:val="1"/>
      <w:numFmt w:val="bullet"/>
      <w:lvlText w:val=""/>
      <w:lvlJc w:val="left"/>
      <w:pPr>
        <w:tabs>
          <w:tab w:val="num" w:pos="3957"/>
        </w:tabs>
        <w:ind w:left="3957" w:hanging="360"/>
      </w:pPr>
      <w:rPr>
        <w:rFonts w:ascii="Symbol" w:hAnsi="Symbol" w:hint="default"/>
      </w:rPr>
    </w:lvl>
    <w:lvl w:ilvl="4" w:tplc="74323852" w:tentative="1">
      <w:start w:val="1"/>
      <w:numFmt w:val="bullet"/>
      <w:lvlText w:val="o"/>
      <w:lvlJc w:val="left"/>
      <w:pPr>
        <w:tabs>
          <w:tab w:val="num" w:pos="4677"/>
        </w:tabs>
        <w:ind w:left="4677" w:hanging="360"/>
      </w:pPr>
      <w:rPr>
        <w:rFonts w:ascii="Courier New" w:hAnsi="Courier New" w:cs="Courier New" w:hint="default"/>
      </w:rPr>
    </w:lvl>
    <w:lvl w:ilvl="5" w:tplc="16889C82" w:tentative="1">
      <w:start w:val="1"/>
      <w:numFmt w:val="bullet"/>
      <w:lvlText w:val=""/>
      <w:lvlJc w:val="left"/>
      <w:pPr>
        <w:tabs>
          <w:tab w:val="num" w:pos="5397"/>
        </w:tabs>
        <w:ind w:left="5397" w:hanging="360"/>
      </w:pPr>
      <w:rPr>
        <w:rFonts w:ascii="Wingdings" w:hAnsi="Wingdings" w:hint="default"/>
      </w:rPr>
    </w:lvl>
    <w:lvl w:ilvl="6" w:tplc="ADDEA502" w:tentative="1">
      <w:start w:val="1"/>
      <w:numFmt w:val="bullet"/>
      <w:lvlText w:val=""/>
      <w:lvlJc w:val="left"/>
      <w:pPr>
        <w:tabs>
          <w:tab w:val="num" w:pos="6117"/>
        </w:tabs>
        <w:ind w:left="6117" w:hanging="360"/>
      </w:pPr>
      <w:rPr>
        <w:rFonts w:ascii="Symbol" w:hAnsi="Symbol" w:hint="default"/>
      </w:rPr>
    </w:lvl>
    <w:lvl w:ilvl="7" w:tplc="B6E2A75A" w:tentative="1">
      <w:start w:val="1"/>
      <w:numFmt w:val="bullet"/>
      <w:lvlText w:val="o"/>
      <w:lvlJc w:val="left"/>
      <w:pPr>
        <w:tabs>
          <w:tab w:val="num" w:pos="6837"/>
        </w:tabs>
        <w:ind w:left="6837" w:hanging="360"/>
      </w:pPr>
      <w:rPr>
        <w:rFonts w:ascii="Courier New" w:hAnsi="Courier New" w:cs="Courier New" w:hint="default"/>
      </w:rPr>
    </w:lvl>
    <w:lvl w:ilvl="8" w:tplc="A1AA7C5C"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5CE89B02">
      <w:start w:val="1"/>
      <w:numFmt w:val="decimal"/>
      <w:pStyle w:val="ATSNumber2"/>
      <w:lvlText w:val="%1."/>
      <w:lvlJc w:val="left"/>
      <w:pPr>
        <w:tabs>
          <w:tab w:val="num" w:pos="720"/>
        </w:tabs>
        <w:ind w:left="720" w:hanging="360"/>
      </w:pPr>
      <w:rPr>
        <w:rFonts w:hint="default"/>
      </w:rPr>
    </w:lvl>
    <w:lvl w:ilvl="1" w:tplc="35C64DFE" w:tentative="1">
      <w:start w:val="1"/>
      <w:numFmt w:val="lowerLetter"/>
      <w:lvlText w:val="%2."/>
      <w:lvlJc w:val="left"/>
      <w:pPr>
        <w:tabs>
          <w:tab w:val="num" w:pos="1440"/>
        </w:tabs>
        <w:ind w:left="1440" w:hanging="360"/>
      </w:pPr>
    </w:lvl>
    <w:lvl w:ilvl="2" w:tplc="94C827F2" w:tentative="1">
      <w:start w:val="1"/>
      <w:numFmt w:val="lowerRoman"/>
      <w:lvlText w:val="%3."/>
      <w:lvlJc w:val="right"/>
      <w:pPr>
        <w:tabs>
          <w:tab w:val="num" w:pos="2160"/>
        </w:tabs>
        <w:ind w:left="2160" w:hanging="180"/>
      </w:pPr>
    </w:lvl>
    <w:lvl w:ilvl="3" w:tplc="DB8417F6" w:tentative="1">
      <w:start w:val="1"/>
      <w:numFmt w:val="decimal"/>
      <w:lvlText w:val="%4."/>
      <w:lvlJc w:val="left"/>
      <w:pPr>
        <w:tabs>
          <w:tab w:val="num" w:pos="2880"/>
        </w:tabs>
        <w:ind w:left="2880" w:hanging="360"/>
      </w:pPr>
    </w:lvl>
    <w:lvl w:ilvl="4" w:tplc="9A2C1ADC" w:tentative="1">
      <w:start w:val="1"/>
      <w:numFmt w:val="lowerLetter"/>
      <w:lvlText w:val="%5."/>
      <w:lvlJc w:val="left"/>
      <w:pPr>
        <w:tabs>
          <w:tab w:val="num" w:pos="3600"/>
        </w:tabs>
        <w:ind w:left="3600" w:hanging="360"/>
      </w:pPr>
    </w:lvl>
    <w:lvl w:ilvl="5" w:tplc="CE482B3A" w:tentative="1">
      <w:start w:val="1"/>
      <w:numFmt w:val="lowerRoman"/>
      <w:lvlText w:val="%6."/>
      <w:lvlJc w:val="right"/>
      <w:pPr>
        <w:tabs>
          <w:tab w:val="num" w:pos="4320"/>
        </w:tabs>
        <w:ind w:left="4320" w:hanging="180"/>
      </w:pPr>
    </w:lvl>
    <w:lvl w:ilvl="6" w:tplc="D9425DD4" w:tentative="1">
      <w:start w:val="1"/>
      <w:numFmt w:val="decimal"/>
      <w:lvlText w:val="%7."/>
      <w:lvlJc w:val="left"/>
      <w:pPr>
        <w:tabs>
          <w:tab w:val="num" w:pos="5040"/>
        </w:tabs>
        <w:ind w:left="5040" w:hanging="360"/>
      </w:pPr>
    </w:lvl>
    <w:lvl w:ilvl="7" w:tplc="0A06F468" w:tentative="1">
      <w:start w:val="1"/>
      <w:numFmt w:val="lowerLetter"/>
      <w:lvlText w:val="%8."/>
      <w:lvlJc w:val="left"/>
      <w:pPr>
        <w:tabs>
          <w:tab w:val="num" w:pos="5760"/>
        </w:tabs>
        <w:ind w:left="5760" w:hanging="360"/>
      </w:pPr>
    </w:lvl>
    <w:lvl w:ilvl="8" w:tplc="F176C87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7"/>
  </w:num>
  <w:num w:numId="14">
    <w:abstractNumId w:val="14"/>
  </w:num>
  <w:num w:numId="15">
    <w:abstractNumId w:val="16"/>
  </w:num>
  <w:num w:numId="16">
    <w:abstractNumId w:val="11"/>
  </w:num>
  <w:num w:numId="17">
    <w:abstractNumId w:val="13"/>
  </w:num>
  <w:num w:numId="18">
    <w:abstractNumId w:val="18"/>
  </w:num>
  <w:num w:numId="19">
    <w:abstractNumId w:val="17"/>
  </w:num>
  <w:num w:numId="20">
    <w:abstractNumId w:val="19"/>
  </w:num>
  <w:num w:numId="21">
    <w:abstractNumId w:val="10"/>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81"/>
    <w:rsid w:val="0063499F"/>
    <w:rsid w:val="00822F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6756E"/>
  <w15:chartTrackingRefBased/>
  <w15:docId w15:val="{7BCF117C-840E-46D7-A80A-24012C40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pple-converted-space">
    <w:name w:val="apple-converted-space"/>
    <w:basedOn w:val="Fuentedeprrafopredeter"/>
    <w:rsid w:val="0063499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1216</Words>
  <Characters>6928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2021-04-28T17:44:00Z</dcterms:modified>
</cp:coreProperties>
</file>